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7"/>
        </w:rPr>
      </w:pPr>
    </w:p>
    <w:p>
      <w:pPr>
        <w:spacing w:before="93"/>
        <w:ind w:left="516" w:right="0" w:firstLine="0"/>
        <w:jc w:val="left"/>
        <w:rPr>
          <w:rFonts w:ascii="Arial" w:hAnsi="Arial"/>
          <w:b/>
          <w:sz w:val="24"/>
        </w:rPr>
      </w:pPr>
      <w:r>
        <w:rPr>
          <w:rFonts w:ascii="Arial" w:hAnsi="Arial"/>
          <w:b/>
          <w:sz w:val="24"/>
        </w:rPr>
        <w:t>S</w:t>
      </w:r>
      <w:r>
        <w:rPr>
          <w:rFonts w:ascii="Arial" w:hAnsi="Arial"/>
          <w:b/>
          <w:sz w:val="19"/>
        </w:rPr>
        <w:t>MLOUVA O SDRUŽENÝCH SLUŽBÁCH DODÁVKY ELEKTŘINY Č</w:t>
      </w:r>
      <w:r>
        <w:rPr>
          <w:rFonts w:ascii="Arial" w:hAnsi="Arial"/>
          <w:b/>
          <w:sz w:val="24"/>
        </w:rPr>
        <w:t>. 3510744352</w:t>
      </w:r>
    </w:p>
    <w:p>
      <w:pPr>
        <w:pStyle w:val="BodyText"/>
        <w:rPr>
          <w:rFonts w:ascii="Arial"/>
          <w:b/>
          <w:sz w:val="26"/>
        </w:rPr>
      </w:pPr>
    </w:p>
    <w:p>
      <w:pPr>
        <w:spacing w:before="228"/>
        <w:ind w:left="516" w:right="0" w:firstLine="0"/>
        <w:jc w:val="left"/>
        <w:rPr>
          <w:rFonts w:ascii="Arial" w:hAnsi="Arial"/>
          <w:b/>
          <w:sz w:val="19"/>
        </w:rPr>
      </w:pPr>
      <w:r>
        <w:rPr>
          <w:rFonts w:ascii="Arial" w:hAnsi="Arial"/>
          <w:b/>
          <w:sz w:val="19"/>
        </w:rPr>
        <w:t>PRO ODBĚRNÁ MÍSTA ZÁKAZNÍKA</w:t>
      </w:r>
    </w:p>
    <w:p>
      <w:pPr>
        <w:pStyle w:val="Heading1"/>
        <w:spacing w:before="10"/>
        <w:ind w:firstLine="0"/>
      </w:pPr>
      <w:r>
        <w:rPr/>
        <w:t>Centrum sociální a ošetřovatelské pomoci v Praze 10, příspěvková organizace</w:t>
      </w:r>
    </w:p>
    <w:p>
      <w:pPr>
        <w:spacing w:after="0"/>
        <w:sectPr>
          <w:type w:val="continuous"/>
          <w:pgSz w:w="11910" w:h="16840"/>
          <w:pgMar w:top="1580" w:bottom="280" w:left="900" w:right="1162"/>
        </w:sectPr>
      </w:pPr>
    </w:p>
    <w:p>
      <w:pPr>
        <w:spacing w:line="343" w:lineRule="auto" w:before="74"/>
        <w:ind w:left="516" w:right="5091" w:firstLine="0"/>
        <w:jc w:val="left"/>
        <w:rPr>
          <w:b/>
          <w:sz w:val="24"/>
        </w:rPr>
      </w:pPr>
      <w:r>
        <w:rPr>
          <w:b/>
          <w:sz w:val="24"/>
        </w:rPr>
        <w:t>obchodník s elektřinou (na straně jedné): Pražská energetika, a. s.</w:t>
      </w:r>
    </w:p>
    <w:p>
      <w:pPr>
        <w:spacing w:after="0" w:line="343" w:lineRule="auto"/>
        <w:jc w:val="left"/>
        <w:rPr>
          <w:sz w:val="24"/>
        </w:rPr>
        <w:sectPr>
          <w:pgSz w:w="11910" w:h="16840"/>
          <w:pgMar w:top="1380" w:bottom="280" w:left="900" w:right="1162"/>
        </w:sectPr>
      </w:pPr>
    </w:p>
    <w:p>
      <w:pPr>
        <w:pStyle w:val="BodyText"/>
        <w:spacing w:line="360" w:lineRule="auto"/>
        <w:ind w:left="516" w:right="724"/>
        <w:jc w:val="both"/>
      </w:pPr>
      <w:r>
        <w:rPr/>
        <w:t>se sídlem: zástupce: IČ:</w:t>
      </w:r>
    </w:p>
    <w:p>
      <w:pPr>
        <w:pStyle w:val="BodyText"/>
        <w:spacing w:line="360" w:lineRule="auto" w:before="2"/>
        <w:ind w:left="516" w:right="1151"/>
      </w:pPr>
      <w:r>
        <w:rPr/>
        <w:t>DIČ: OR:</w:t>
      </w:r>
    </w:p>
    <w:p>
      <w:pPr>
        <w:pStyle w:val="BodyText"/>
        <w:spacing w:line="360" w:lineRule="auto"/>
        <w:ind w:left="516" w:right="20"/>
      </w:pPr>
      <w:r>
        <w:rPr/>
        <w:t>bankovní spojení: číslo účtu:</w:t>
      </w:r>
    </w:p>
    <w:p>
      <w:pPr>
        <w:pStyle w:val="BodyText"/>
        <w:ind w:left="516"/>
        <w:jc w:val="both"/>
      </w:pPr>
      <w:r>
        <w:rPr/>
        <w:t>registrační číslo:</w:t>
      </w:r>
    </w:p>
    <w:p>
      <w:pPr>
        <w:pStyle w:val="BodyText"/>
        <w:spacing w:before="1"/>
        <w:ind w:left="516"/>
      </w:pPr>
      <w:r>
        <w:rPr/>
        <w:br w:type="column"/>
      </w:r>
      <w:r>
        <w:rPr/>
        <w:t>Praha 10, Na Hroudě 1492/4, PSČ 100 05</w:t>
      </w:r>
    </w:p>
    <w:p>
      <w:pPr>
        <w:pStyle w:val="BodyText"/>
        <w:spacing w:line="360" w:lineRule="auto" w:before="127"/>
        <w:ind w:left="516" w:right="4125"/>
      </w:pPr>
      <w:r>
        <w:rPr/>
        <w:t>xxx, vedoucí sekce Prodej 60193913</w:t>
      </w:r>
    </w:p>
    <w:p>
      <w:pPr>
        <w:pStyle w:val="BodyText"/>
        <w:ind w:left="516"/>
      </w:pPr>
      <w:r>
        <w:rPr/>
        <w:t>CZ60193913</w:t>
      </w:r>
    </w:p>
    <w:p>
      <w:pPr>
        <w:pStyle w:val="BodyText"/>
        <w:spacing w:before="126"/>
        <w:ind w:left="516"/>
      </w:pPr>
      <w:r>
        <w:rPr/>
        <w:t>Městský soud v Praze, oddíl B, vložka 2405</w:t>
      </w:r>
    </w:p>
    <w:p>
      <w:pPr>
        <w:pStyle w:val="BodyText"/>
        <w:spacing w:line="360" w:lineRule="auto" w:before="127"/>
        <w:ind w:left="516" w:right="6105"/>
      </w:pPr>
      <w:r>
        <w:rPr/>
        <w:t>xxx xxx</w:t>
      </w:r>
    </w:p>
    <w:p>
      <w:pPr>
        <w:pStyle w:val="BodyText"/>
        <w:ind w:left="516"/>
      </w:pPr>
      <w:r>
        <w:rPr/>
        <w:t>ID RÚT 116</w:t>
      </w:r>
    </w:p>
    <w:p>
      <w:pPr>
        <w:spacing w:after="0"/>
        <w:sectPr>
          <w:type w:val="continuous"/>
          <w:pgSz w:w="11910" w:h="16840"/>
          <w:pgMar w:top="1580" w:bottom="280" w:left="900" w:right="1162"/>
          <w:cols w:num="2" w:equalWidth="0">
            <w:col w:w="2127" w:space="750"/>
            <w:col w:w="6971"/>
          </w:cols>
        </w:sectPr>
      </w:pPr>
    </w:p>
    <w:p>
      <w:pPr>
        <w:pStyle w:val="BodyText"/>
        <w:rPr>
          <w:sz w:val="20"/>
        </w:rPr>
      </w:pPr>
    </w:p>
    <w:p>
      <w:pPr>
        <w:pStyle w:val="BodyText"/>
        <w:spacing w:before="2"/>
      </w:pPr>
    </w:p>
    <w:p>
      <w:pPr>
        <w:pStyle w:val="BodyText"/>
        <w:spacing w:before="1"/>
        <w:ind w:left="516"/>
      </w:pPr>
      <w:r>
        <w:rPr/>
        <w:t>(dále jen “PRE”)</w:t>
      </w:r>
    </w:p>
    <w:p>
      <w:pPr>
        <w:pStyle w:val="BodyText"/>
        <w:spacing w:before="4"/>
        <w:rPr>
          <w:sz w:val="31"/>
        </w:rPr>
      </w:pPr>
    </w:p>
    <w:p>
      <w:pPr>
        <w:pStyle w:val="BodyText"/>
        <w:spacing w:before="1"/>
        <w:ind w:left="516"/>
      </w:pPr>
      <w:r>
        <w:rPr>
          <w:w w:val="100"/>
        </w:rPr>
        <w:t>a</w:t>
      </w:r>
    </w:p>
    <w:p>
      <w:pPr>
        <w:pStyle w:val="BodyText"/>
        <w:rPr>
          <w:sz w:val="21"/>
        </w:rPr>
      </w:pPr>
    </w:p>
    <w:p>
      <w:pPr>
        <w:pStyle w:val="Heading1"/>
        <w:ind w:firstLine="0"/>
        <w:rPr>
          <w:rFonts w:ascii="Times New Roman" w:hAnsi="Times New Roman"/>
        </w:rPr>
      </w:pPr>
      <w:r>
        <w:rPr>
          <w:rFonts w:ascii="Times New Roman" w:hAnsi="Times New Roman"/>
        </w:rPr>
        <w:t>zákazník (na straně druhé):</w:t>
      </w:r>
    </w:p>
    <w:p>
      <w:pPr>
        <w:spacing w:before="119"/>
        <w:ind w:left="516" w:right="0" w:firstLine="0"/>
        <w:jc w:val="left"/>
        <w:rPr>
          <w:rFonts w:ascii="Arial" w:hAnsi="Arial"/>
          <w:b/>
          <w:sz w:val="19"/>
        </w:rPr>
      </w:pPr>
      <w:r>
        <w:rPr>
          <w:rFonts w:ascii="Arial" w:hAnsi="Arial"/>
          <w:b/>
          <w:sz w:val="24"/>
        </w:rPr>
        <w:t>Centrum sociální a ošetřovatelské pomoci </w:t>
      </w:r>
      <w:r>
        <w:rPr>
          <w:rFonts w:ascii="Arial" w:hAnsi="Arial"/>
          <w:b/>
          <w:sz w:val="19"/>
        </w:rPr>
        <w:t>V </w:t>
      </w:r>
      <w:r>
        <w:rPr>
          <w:rFonts w:ascii="Arial" w:hAnsi="Arial"/>
          <w:b/>
          <w:sz w:val="24"/>
        </w:rPr>
        <w:t>P</w:t>
      </w:r>
      <w:r>
        <w:rPr>
          <w:rFonts w:ascii="Arial" w:hAnsi="Arial"/>
          <w:b/>
          <w:sz w:val="19"/>
        </w:rPr>
        <w:t>RAZE </w:t>
      </w:r>
      <w:r>
        <w:rPr>
          <w:rFonts w:ascii="Arial" w:hAnsi="Arial"/>
          <w:b/>
          <w:sz w:val="24"/>
        </w:rPr>
        <w:t>10, </w:t>
      </w:r>
      <w:r>
        <w:rPr>
          <w:rFonts w:ascii="Arial" w:hAnsi="Arial"/>
          <w:b/>
          <w:sz w:val="19"/>
        </w:rPr>
        <w:t>PŘÍSPĚVKOVÁ ORGANIZACE</w:t>
      </w:r>
    </w:p>
    <w:p>
      <w:pPr>
        <w:spacing w:after="0"/>
        <w:jc w:val="left"/>
        <w:rPr>
          <w:rFonts w:ascii="Arial" w:hAnsi="Arial"/>
          <w:sz w:val="19"/>
        </w:rPr>
        <w:sectPr>
          <w:type w:val="continuous"/>
          <w:pgSz w:w="11910" w:h="16840"/>
          <w:pgMar w:top="1580" w:bottom="280" w:left="900" w:right="1162"/>
        </w:sectPr>
      </w:pPr>
    </w:p>
    <w:p>
      <w:pPr>
        <w:pStyle w:val="BodyText"/>
        <w:spacing w:line="355" w:lineRule="auto" w:before="118"/>
        <w:ind w:left="516" w:right="1369"/>
      </w:pPr>
      <w:r>
        <w:rPr/>
        <w:t>se sídlem: zástupce: IČ:</w:t>
      </w:r>
    </w:p>
    <w:p>
      <w:pPr>
        <w:pStyle w:val="BodyText"/>
        <w:spacing w:line="249" w:lineRule="exact"/>
        <w:ind w:left="516"/>
      </w:pPr>
      <w:r>
        <w:rPr/>
        <w:t>DIČ:</w:t>
      </w:r>
    </w:p>
    <w:p>
      <w:pPr>
        <w:pStyle w:val="BodyText"/>
        <w:spacing w:line="352" w:lineRule="auto" w:before="122"/>
        <w:ind w:left="516" w:right="19"/>
      </w:pPr>
      <w:r>
        <w:rPr/>
        <w:t>Zapsán v OR vedeném u: bankovní spojení:</w:t>
      </w:r>
    </w:p>
    <w:p>
      <w:pPr>
        <w:pStyle w:val="BodyText"/>
        <w:spacing w:before="2"/>
        <w:ind w:left="516"/>
      </w:pPr>
      <w:r>
        <w:rPr/>
        <w:t>číslo účtu:</w:t>
      </w:r>
    </w:p>
    <w:p>
      <w:pPr>
        <w:pStyle w:val="BodyText"/>
        <w:spacing w:line="355" w:lineRule="auto" w:before="115"/>
        <w:ind w:left="516" w:right="3546"/>
      </w:pPr>
      <w:r>
        <w:rPr/>
        <w:br w:type="column"/>
      </w:r>
      <w:r>
        <w:rPr/>
        <w:t>Praha 10, Sámova 7, PSČ 10100 Ing. Richard Černý, ředitel 70873241</w:t>
      </w:r>
    </w:p>
    <w:p>
      <w:pPr>
        <w:pStyle w:val="BodyText"/>
        <w:spacing w:line="250" w:lineRule="exact"/>
        <w:ind w:left="516"/>
      </w:pPr>
      <w:r>
        <w:rPr/>
        <w:t>CZ70873241</w:t>
      </w:r>
    </w:p>
    <w:p>
      <w:pPr>
        <w:pStyle w:val="BodyText"/>
        <w:spacing w:before="120"/>
        <w:ind w:left="516"/>
      </w:pPr>
      <w:r>
        <w:rPr/>
        <w:t>Městského soudu v Praze, oddíl Pr, vložka 159</w:t>
      </w:r>
    </w:p>
    <w:p>
      <w:pPr>
        <w:pStyle w:val="BodyText"/>
        <w:spacing w:before="121"/>
        <w:ind w:left="516"/>
      </w:pPr>
      <w:r>
        <w:rPr/>
        <w:t>xxx</w:t>
      </w:r>
    </w:p>
    <w:p>
      <w:pPr>
        <w:pStyle w:val="BodyText"/>
        <w:spacing w:before="120"/>
        <w:ind w:left="516"/>
      </w:pPr>
      <w:r>
        <w:rPr/>
        <w:t>xxx</w:t>
      </w:r>
    </w:p>
    <w:p>
      <w:pPr>
        <w:spacing w:after="0"/>
        <w:sectPr>
          <w:type w:val="continuous"/>
          <w:pgSz w:w="11910" w:h="16840"/>
          <w:pgMar w:top="1580" w:bottom="280" w:left="900" w:right="1162"/>
          <w:cols w:num="2" w:equalWidth="0">
            <w:col w:w="2792" w:space="107"/>
            <w:col w:w="6949"/>
          </w:cols>
        </w:sectPr>
      </w:pPr>
    </w:p>
    <w:p>
      <w:pPr>
        <w:pStyle w:val="BodyText"/>
        <w:spacing w:before="3"/>
        <w:rPr>
          <w:sz w:val="23"/>
        </w:rPr>
      </w:pPr>
    </w:p>
    <w:p>
      <w:pPr>
        <w:pStyle w:val="BodyText"/>
        <w:spacing w:before="92"/>
        <w:ind w:left="571"/>
      </w:pPr>
      <w:r>
        <w:rPr/>
        <w:t>(dále jen „ZÁKAZNÍK“)</w:t>
      </w:r>
    </w:p>
    <w:p>
      <w:pPr>
        <w:pStyle w:val="BodyText"/>
        <w:rPr>
          <w:sz w:val="24"/>
        </w:rPr>
      </w:pPr>
    </w:p>
    <w:p>
      <w:pPr>
        <w:pStyle w:val="BodyText"/>
        <w:rPr>
          <w:sz w:val="24"/>
        </w:rPr>
      </w:pPr>
    </w:p>
    <w:p>
      <w:pPr>
        <w:pStyle w:val="BodyText"/>
        <w:rPr>
          <w:sz w:val="24"/>
        </w:rPr>
      </w:pPr>
    </w:p>
    <w:p>
      <w:pPr>
        <w:pStyle w:val="BodyText"/>
        <w:spacing w:before="146"/>
        <w:ind w:left="516"/>
      </w:pPr>
      <w:r>
        <w:rPr/>
        <w:t>uzavřeli níže uvedeného dne, měsíce a roku tuto</w:t>
      </w:r>
    </w:p>
    <w:p>
      <w:pPr>
        <w:pStyle w:val="BodyText"/>
        <w:rPr>
          <w:sz w:val="24"/>
        </w:rPr>
      </w:pPr>
    </w:p>
    <w:p>
      <w:pPr>
        <w:spacing w:before="205"/>
        <w:ind w:left="2139" w:right="1881" w:firstLine="0"/>
        <w:jc w:val="center"/>
        <w:rPr>
          <w:rFonts w:ascii="Arial" w:hAnsi="Arial"/>
          <w:b/>
          <w:sz w:val="19"/>
        </w:rPr>
      </w:pPr>
      <w:r>
        <w:rPr>
          <w:rFonts w:ascii="Arial" w:hAnsi="Arial"/>
          <w:b/>
          <w:sz w:val="24"/>
        </w:rPr>
        <w:t>S</w:t>
      </w:r>
      <w:r>
        <w:rPr>
          <w:rFonts w:ascii="Arial" w:hAnsi="Arial"/>
          <w:b/>
          <w:sz w:val="19"/>
        </w:rPr>
        <w:t>MLOUVU O SDRUŽENÝCH SLUŽBÁCH DODÁVKY ELEKTŘINY</w:t>
      </w:r>
    </w:p>
    <w:p>
      <w:pPr>
        <w:pStyle w:val="BodyText"/>
        <w:spacing w:before="118"/>
        <w:ind w:left="2139" w:right="1880"/>
        <w:jc w:val="center"/>
      </w:pPr>
      <w:r>
        <w:rPr/>
        <w:t>(dále jen „Smlouva“)</w:t>
      </w:r>
    </w:p>
    <w:p>
      <w:pPr>
        <w:pStyle w:val="BodyText"/>
        <w:spacing w:before="121"/>
        <w:ind w:left="516" w:right="388"/>
      </w:pPr>
      <w:r>
        <w:rPr/>
        <w:t>podle zákona č. 458/2000 Sb., energetický zákon (dále jen „Zákon“), v platném znění, jeho prováděcích právních předpisů, jak následuje:</w:t>
      </w:r>
    </w:p>
    <w:p>
      <w:pPr>
        <w:spacing w:after="0"/>
        <w:sectPr>
          <w:type w:val="continuous"/>
          <w:pgSz w:w="11910" w:h="16840"/>
          <w:pgMar w:top="1580" w:bottom="280" w:left="900" w:right="1162"/>
        </w:sectPr>
      </w:pPr>
    </w:p>
    <w:p>
      <w:pPr>
        <w:pStyle w:val="Heading1"/>
        <w:numPr>
          <w:ilvl w:val="0"/>
          <w:numId w:val="1"/>
        </w:numPr>
        <w:tabs>
          <w:tab w:pos="4179" w:val="left" w:leader="none"/>
          <w:tab w:pos="4180" w:val="left" w:leader="none"/>
        </w:tabs>
        <w:spacing w:line="240" w:lineRule="auto" w:before="73" w:after="0"/>
        <w:ind w:left="4179" w:right="0" w:hanging="360"/>
        <w:jc w:val="left"/>
      </w:pPr>
      <w:r>
        <w:rPr/>
        <w:t>PŘEDMĚT</w:t>
      </w:r>
      <w:r>
        <w:rPr>
          <w:spacing w:val="-15"/>
        </w:rPr>
        <w:t> </w:t>
      </w:r>
      <w:r>
        <w:rPr/>
        <w:t>PLNĚNÍ</w:t>
      </w:r>
    </w:p>
    <w:p>
      <w:pPr>
        <w:pStyle w:val="BodyText"/>
        <w:spacing w:before="119"/>
        <w:ind w:left="516"/>
      </w:pPr>
      <w:r>
        <w:rPr/>
        <w:t>Předmětem plnění z této Smlouvy je za níže dohodnutých podmínek:</w:t>
      </w:r>
    </w:p>
    <w:p>
      <w:pPr>
        <w:pStyle w:val="ListParagraph"/>
        <w:numPr>
          <w:ilvl w:val="0"/>
          <w:numId w:val="2"/>
        </w:numPr>
        <w:tabs>
          <w:tab w:pos="1820" w:val="left" w:leader="none"/>
        </w:tabs>
        <w:spacing w:line="240" w:lineRule="auto" w:before="121" w:after="0"/>
        <w:ind w:left="1819" w:right="257" w:hanging="583"/>
        <w:jc w:val="both"/>
        <w:rPr>
          <w:sz w:val="22"/>
        </w:rPr>
      </w:pPr>
      <w:r>
        <w:rPr>
          <w:sz w:val="22"/>
        </w:rPr>
        <w:t>dodávka  a  odběr   sjednaného   množství   elektřiny  mezi   PRE   a   ZÁKAZNÍKEM v odběrném místě ZÁKAZNÍKA vymezeném v této Smlouvě (dále jen „Odběrné místo“);</w:t>
      </w:r>
    </w:p>
    <w:p>
      <w:pPr>
        <w:pStyle w:val="ListParagraph"/>
        <w:numPr>
          <w:ilvl w:val="0"/>
          <w:numId w:val="2"/>
        </w:numPr>
        <w:tabs>
          <w:tab w:pos="1820" w:val="left" w:leader="none"/>
        </w:tabs>
        <w:spacing w:line="240" w:lineRule="auto" w:before="59" w:after="0"/>
        <w:ind w:left="1819" w:right="252" w:hanging="583"/>
        <w:jc w:val="both"/>
        <w:rPr>
          <w:sz w:val="22"/>
        </w:rPr>
      </w:pPr>
      <w:r>
        <w:rPr>
          <w:sz w:val="22"/>
        </w:rPr>
        <w:t>zajištění přenosu, distribuce a souvisejících služeb dodávky sjednaného množství elektřiny ze strany PRE pro</w:t>
      </w:r>
      <w:r>
        <w:rPr>
          <w:spacing w:val="-8"/>
          <w:sz w:val="22"/>
        </w:rPr>
        <w:t> </w:t>
      </w:r>
      <w:r>
        <w:rPr>
          <w:sz w:val="22"/>
        </w:rPr>
        <w:t>ZÁKAZNÍKA;</w:t>
      </w:r>
    </w:p>
    <w:p>
      <w:pPr>
        <w:pStyle w:val="ListParagraph"/>
        <w:numPr>
          <w:ilvl w:val="0"/>
          <w:numId w:val="2"/>
        </w:numPr>
        <w:tabs>
          <w:tab w:pos="1820" w:val="left" w:leader="none"/>
        </w:tabs>
        <w:spacing w:line="240" w:lineRule="auto" w:before="61" w:after="0"/>
        <w:ind w:left="1819" w:right="251" w:hanging="583"/>
        <w:jc w:val="both"/>
        <w:rPr>
          <w:sz w:val="22"/>
        </w:rPr>
      </w:pPr>
      <w:r>
        <w:rPr>
          <w:sz w:val="22"/>
        </w:rPr>
        <w:t>úhrada smluvní ceny silové elektřiny a úhrada regulovaných cen za distribuci a související služby ze strany ZÁKAZNÍKA ve prospěch</w:t>
      </w:r>
      <w:r>
        <w:rPr>
          <w:spacing w:val="-6"/>
          <w:sz w:val="22"/>
        </w:rPr>
        <w:t> </w:t>
      </w:r>
      <w:r>
        <w:rPr>
          <w:sz w:val="22"/>
        </w:rPr>
        <w:t>PRE;</w:t>
      </w:r>
    </w:p>
    <w:p>
      <w:pPr>
        <w:pStyle w:val="ListParagraph"/>
        <w:numPr>
          <w:ilvl w:val="0"/>
          <w:numId w:val="2"/>
        </w:numPr>
        <w:tabs>
          <w:tab w:pos="1820" w:val="left" w:leader="none"/>
        </w:tabs>
        <w:spacing w:line="240" w:lineRule="auto" w:before="60" w:after="0"/>
        <w:ind w:left="1819" w:right="258" w:hanging="583"/>
        <w:jc w:val="both"/>
        <w:rPr>
          <w:sz w:val="22"/>
        </w:rPr>
      </w:pPr>
      <w:r>
        <w:rPr>
          <w:sz w:val="22"/>
        </w:rPr>
        <w:t>převzetí závazku ZÁKAZNÍKA odebrat elektřinu z elektrizační soustavy ze strany PRE spolu s odpovědností za odchylku vztahující se k Odběrnému</w:t>
      </w:r>
      <w:r>
        <w:rPr>
          <w:spacing w:val="-7"/>
          <w:sz w:val="22"/>
        </w:rPr>
        <w:t> </w:t>
      </w:r>
      <w:r>
        <w:rPr>
          <w:sz w:val="22"/>
        </w:rPr>
        <w:t>místu.</w:t>
      </w:r>
    </w:p>
    <w:p>
      <w:pPr>
        <w:pStyle w:val="BodyText"/>
        <w:rPr>
          <w:sz w:val="24"/>
        </w:rPr>
      </w:pPr>
    </w:p>
    <w:p>
      <w:pPr>
        <w:pStyle w:val="Heading1"/>
        <w:numPr>
          <w:ilvl w:val="0"/>
          <w:numId w:val="1"/>
        </w:numPr>
        <w:tabs>
          <w:tab w:pos="4513" w:val="left" w:leader="none"/>
        </w:tabs>
        <w:spacing w:line="240" w:lineRule="auto" w:before="205" w:after="0"/>
        <w:ind w:left="4513" w:right="0" w:hanging="360"/>
        <w:jc w:val="left"/>
      </w:pPr>
      <w:r>
        <w:rPr/>
        <w:t>ČAS</w:t>
      </w:r>
      <w:r>
        <w:rPr>
          <w:spacing w:val="-15"/>
        </w:rPr>
        <w:t> </w:t>
      </w:r>
      <w:r>
        <w:rPr/>
        <w:t>PLNĚNÍ</w:t>
      </w:r>
    </w:p>
    <w:p>
      <w:pPr>
        <w:pStyle w:val="BodyText"/>
        <w:spacing w:before="58"/>
        <w:ind w:left="1819" w:right="254" w:hanging="584"/>
        <w:jc w:val="both"/>
      </w:pPr>
      <w:r>
        <w:rPr/>
        <w:t>a) S plněním dle Smlouvy bude, za níže dohodnutých podmínek, započato v době, která je uvedena u jednotlivého Odběrného místa v Příloze č.1 Smlouvy a toto plnění bude poskytováno v souladu se Smlouvou a příslušnými právními předpisy po dobu účinnosti Smlouvy.</w:t>
      </w:r>
    </w:p>
    <w:p>
      <w:pPr>
        <w:pStyle w:val="BodyText"/>
        <w:rPr>
          <w:sz w:val="24"/>
        </w:rPr>
      </w:pPr>
    </w:p>
    <w:p>
      <w:pPr>
        <w:pStyle w:val="Heading1"/>
        <w:numPr>
          <w:ilvl w:val="0"/>
          <w:numId w:val="1"/>
        </w:numPr>
        <w:tabs>
          <w:tab w:pos="3220" w:val="left" w:leader="none"/>
        </w:tabs>
        <w:spacing w:line="240" w:lineRule="auto" w:before="207" w:after="0"/>
        <w:ind w:left="3219" w:right="0" w:hanging="361"/>
        <w:jc w:val="left"/>
      </w:pPr>
      <w:r>
        <w:rPr/>
        <w:t>SPECIFIKACE ODBĚRNÉHO</w:t>
      </w:r>
      <w:r>
        <w:rPr>
          <w:spacing w:val="-28"/>
        </w:rPr>
        <w:t> </w:t>
      </w:r>
      <w:r>
        <w:rPr/>
        <w:t>MÍSTA</w:t>
      </w:r>
    </w:p>
    <w:p>
      <w:pPr>
        <w:pStyle w:val="ListParagraph"/>
        <w:numPr>
          <w:ilvl w:val="0"/>
          <w:numId w:val="3"/>
        </w:numPr>
        <w:tabs>
          <w:tab w:pos="1820" w:val="left" w:leader="none"/>
        </w:tabs>
        <w:spacing w:line="240" w:lineRule="auto" w:before="58" w:after="0"/>
        <w:ind w:left="1819" w:right="250" w:hanging="583"/>
        <w:jc w:val="both"/>
        <w:rPr>
          <w:sz w:val="22"/>
        </w:rPr>
      </w:pPr>
      <w:r>
        <w:rPr>
          <w:sz w:val="22"/>
        </w:rPr>
        <w:t>Souhrn Odběrných míst včetně jejich specifikace je uveden v Příloze č.1., která je nedílnou součástí této</w:t>
      </w:r>
      <w:r>
        <w:rPr>
          <w:spacing w:val="-6"/>
          <w:sz w:val="22"/>
        </w:rPr>
        <w:t> </w:t>
      </w:r>
      <w:r>
        <w:rPr>
          <w:sz w:val="22"/>
        </w:rPr>
        <w:t>Smlouvy.</w:t>
      </w:r>
    </w:p>
    <w:p>
      <w:pPr>
        <w:pStyle w:val="ListParagraph"/>
        <w:numPr>
          <w:ilvl w:val="0"/>
          <w:numId w:val="3"/>
        </w:numPr>
        <w:tabs>
          <w:tab w:pos="1820" w:val="left" w:leader="none"/>
        </w:tabs>
        <w:spacing w:line="240" w:lineRule="auto" w:before="60" w:after="0"/>
        <w:ind w:left="1819" w:right="254" w:hanging="583"/>
        <w:jc w:val="both"/>
        <w:rPr>
          <w:sz w:val="22"/>
        </w:rPr>
      </w:pPr>
      <w:r>
        <w:rPr>
          <w:sz w:val="22"/>
        </w:rPr>
        <w:t>PRE se zavazuje umožnit podle potřeb ZÁKAZNÍKA rozšíření obsahu Přílohy č.1 této Smlouvy o nová Odběrná místa oproti předešlému stavu a zahájit do těchto Odběrných míst dodávku elektřiny za podmínek této Smlouvy. Toto rozšíření Přílohy č.1 Smlouvy se uskutečňuje na základě oboustranného jednání smluvních stran. Předmětem tohoto jednání bude odsouhlasení Přílohy č.1 doplněné o nová Odběrná místa s termínem zahájení dodávky. Odsouhlasení aktuální přílohy se uskutečňuje podpisem smluvních stran.</w:t>
      </w:r>
    </w:p>
    <w:p>
      <w:pPr>
        <w:pStyle w:val="ListParagraph"/>
        <w:numPr>
          <w:ilvl w:val="0"/>
          <w:numId w:val="3"/>
        </w:numPr>
        <w:tabs>
          <w:tab w:pos="1819" w:val="left" w:leader="none"/>
          <w:tab w:pos="1820" w:val="left" w:leader="none"/>
        </w:tabs>
        <w:spacing w:line="240" w:lineRule="auto" w:before="61" w:after="0"/>
        <w:ind w:left="1819" w:right="0" w:hanging="583"/>
        <w:jc w:val="left"/>
        <w:rPr>
          <w:sz w:val="22"/>
        </w:rPr>
      </w:pPr>
      <w:r>
        <w:rPr>
          <w:sz w:val="22"/>
        </w:rPr>
        <w:t>ZÁKAZNÍK prohlašuje, že má příslušná majetkoprávní oprávnění k Odběrnému</w:t>
      </w:r>
      <w:r>
        <w:rPr>
          <w:spacing w:val="-15"/>
          <w:sz w:val="22"/>
        </w:rPr>
        <w:t> </w:t>
      </w:r>
      <w:r>
        <w:rPr>
          <w:sz w:val="22"/>
        </w:rPr>
        <w:t>místu.</w:t>
      </w:r>
    </w:p>
    <w:p>
      <w:pPr>
        <w:pStyle w:val="BodyText"/>
        <w:rPr>
          <w:sz w:val="24"/>
        </w:rPr>
      </w:pPr>
    </w:p>
    <w:p>
      <w:pPr>
        <w:pStyle w:val="Heading1"/>
        <w:numPr>
          <w:ilvl w:val="0"/>
          <w:numId w:val="1"/>
        </w:numPr>
        <w:tabs>
          <w:tab w:pos="4086" w:val="left" w:leader="none"/>
        </w:tabs>
        <w:spacing w:line="240" w:lineRule="auto" w:before="205" w:after="0"/>
        <w:ind w:left="4085" w:right="0" w:hanging="360"/>
        <w:jc w:val="left"/>
      </w:pPr>
      <w:r>
        <w:rPr/>
        <w:t>DODACÍ</w:t>
      </w:r>
      <w:r>
        <w:rPr>
          <w:spacing w:val="-15"/>
        </w:rPr>
        <w:t> </w:t>
      </w:r>
      <w:r>
        <w:rPr/>
        <w:t>PODMÍNKY</w:t>
      </w:r>
    </w:p>
    <w:p>
      <w:pPr>
        <w:pStyle w:val="ListParagraph"/>
        <w:numPr>
          <w:ilvl w:val="0"/>
          <w:numId w:val="4"/>
        </w:numPr>
        <w:tabs>
          <w:tab w:pos="1820" w:val="left" w:leader="none"/>
        </w:tabs>
        <w:spacing w:line="240" w:lineRule="auto" w:before="58" w:after="0"/>
        <w:ind w:left="1819" w:right="248" w:hanging="583"/>
        <w:jc w:val="both"/>
        <w:rPr>
          <w:sz w:val="22"/>
        </w:rPr>
      </w:pPr>
      <w:r>
        <w:rPr>
          <w:sz w:val="22"/>
        </w:rPr>
        <w:t>PRE se zavazuje dodávat ZÁKAZNÍKOVI sjednané množství elektřiny do Odběrného místa v kvalitě podle příslušných právních předpisů. Za sjednané množství dodávek elektřiny považuje skutečně dodané a odebrané množství v Odběrném místě dle údajů z měření.</w:t>
      </w:r>
    </w:p>
    <w:p>
      <w:pPr>
        <w:pStyle w:val="ListParagraph"/>
        <w:numPr>
          <w:ilvl w:val="0"/>
          <w:numId w:val="4"/>
        </w:numPr>
        <w:tabs>
          <w:tab w:pos="1820" w:val="left" w:leader="none"/>
        </w:tabs>
        <w:spacing w:line="240" w:lineRule="auto" w:before="62" w:after="0"/>
        <w:ind w:left="1819" w:right="251" w:hanging="583"/>
        <w:jc w:val="both"/>
        <w:rPr>
          <w:sz w:val="22"/>
        </w:rPr>
      </w:pPr>
      <w:r>
        <w:rPr>
          <w:sz w:val="22"/>
        </w:rPr>
        <w:t>ZÁKAZNÍK se zavazuje elektřinu dodávanou ze strany PRE v Odběrném místě odebírat a za dodávky elektřiny vyhodnocené způsobem podle Smlouvy platit cenu ve výši stanovené této Smlouvě.</w:t>
      </w:r>
    </w:p>
    <w:p>
      <w:pPr>
        <w:pStyle w:val="ListParagraph"/>
        <w:numPr>
          <w:ilvl w:val="0"/>
          <w:numId w:val="4"/>
        </w:numPr>
        <w:tabs>
          <w:tab w:pos="1820" w:val="left" w:leader="none"/>
        </w:tabs>
        <w:spacing w:line="240" w:lineRule="auto" w:before="59" w:after="0"/>
        <w:ind w:left="1819" w:right="257" w:hanging="583"/>
        <w:jc w:val="both"/>
        <w:rPr>
          <w:sz w:val="22"/>
        </w:rPr>
      </w:pPr>
      <w:r>
        <w:rPr>
          <w:sz w:val="22"/>
        </w:rPr>
        <w:t>PRE se zavazuje převzít závazek ZÁKAZNÍKA odebrat elektřinu z elektrizační soustavy a nést plnou odpovědnost za odchylku ZÁKAZNÍKA, pokud se tato odchylka vztahuje k Odběrnému</w:t>
      </w:r>
      <w:r>
        <w:rPr>
          <w:spacing w:val="-5"/>
          <w:sz w:val="22"/>
        </w:rPr>
        <w:t> </w:t>
      </w:r>
      <w:r>
        <w:rPr>
          <w:sz w:val="22"/>
        </w:rPr>
        <w:t>místu.</w:t>
      </w:r>
    </w:p>
    <w:p>
      <w:pPr>
        <w:pStyle w:val="ListParagraph"/>
        <w:numPr>
          <w:ilvl w:val="0"/>
          <w:numId w:val="4"/>
        </w:numPr>
        <w:tabs>
          <w:tab w:pos="1875" w:val="left" w:leader="none"/>
        </w:tabs>
        <w:spacing w:line="240" w:lineRule="auto" w:before="60" w:after="0"/>
        <w:ind w:left="1819" w:right="257" w:hanging="583"/>
        <w:jc w:val="both"/>
        <w:rPr>
          <w:sz w:val="22"/>
        </w:rPr>
      </w:pPr>
      <w:r>
        <w:rPr>
          <w:sz w:val="22"/>
        </w:rPr>
        <w:t>ZÁKAZNÍK nebude mít po dobu trvání smluvního vztahu upraveného Smlouvou více obchodních partnerů pro dodávky elektřiny do Odběrného</w:t>
      </w:r>
      <w:r>
        <w:rPr>
          <w:spacing w:val="-9"/>
          <w:sz w:val="22"/>
        </w:rPr>
        <w:t> </w:t>
      </w:r>
      <w:r>
        <w:rPr>
          <w:sz w:val="22"/>
        </w:rPr>
        <w:t>místa.</w:t>
      </w:r>
    </w:p>
    <w:p>
      <w:pPr>
        <w:pStyle w:val="ListParagraph"/>
        <w:numPr>
          <w:ilvl w:val="0"/>
          <w:numId w:val="4"/>
        </w:numPr>
        <w:tabs>
          <w:tab w:pos="1820" w:val="left" w:leader="none"/>
        </w:tabs>
        <w:spacing w:line="240" w:lineRule="auto" w:before="60" w:after="0"/>
        <w:ind w:left="1819" w:right="259" w:hanging="583"/>
        <w:jc w:val="both"/>
        <w:rPr>
          <w:sz w:val="22"/>
        </w:rPr>
      </w:pPr>
      <w:r>
        <w:rPr>
          <w:sz w:val="22"/>
        </w:rPr>
        <w:t>Podmínkou zahájení a poskytování dodávek elektřiny podle této Smlouvy je splnění následujících povinností</w:t>
      </w:r>
      <w:r>
        <w:rPr>
          <w:spacing w:val="-2"/>
          <w:sz w:val="22"/>
        </w:rPr>
        <w:t> </w:t>
      </w:r>
      <w:r>
        <w:rPr>
          <w:sz w:val="22"/>
        </w:rPr>
        <w:t>ZÁKAZNÍKA:</w:t>
      </w:r>
    </w:p>
    <w:p>
      <w:pPr>
        <w:spacing w:after="0" w:line="240" w:lineRule="auto"/>
        <w:jc w:val="both"/>
        <w:rPr>
          <w:sz w:val="22"/>
        </w:rPr>
        <w:sectPr>
          <w:pgSz w:w="11910" w:h="16840"/>
          <w:pgMar w:top="1320" w:bottom="280" w:left="900" w:right="1162"/>
        </w:sectPr>
      </w:pPr>
    </w:p>
    <w:p>
      <w:pPr>
        <w:pStyle w:val="ListParagraph"/>
        <w:numPr>
          <w:ilvl w:val="1"/>
          <w:numId w:val="4"/>
        </w:numPr>
        <w:tabs>
          <w:tab w:pos="2672" w:val="left" w:leader="none"/>
        </w:tabs>
        <w:spacing w:line="240" w:lineRule="auto" w:before="71" w:after="0"/>
        <w:ind w:left="2671" w:right="251" w:hanging="715"/>
        <w:jc w:val="both"/>
        <w:rPr>
          <w:sz w:val="22"/>
        </w:rPr>
      </w:pPr>
      <w:r>
        <w:rPr>
          <w:sz w:val="22"/>
        </w:rPr>
        <w:t>ZÁKAZNÍK je povinen zajistit připojení svého Odběrného místa k distribuční soustavě příslušného PDS způsobem a v souladu se Zákonem, prováděcími předpisy a Pravidly provozování distribuční soustavy schválenými Energetickým regulačním</w:t>
      </w:r>
      <w:r>
        <w:rPr>
          <w:spacing w:val="-8"/>
          <w:sz w:val="22"/>
        </w:rPr>
        <w:t> </w:t>
      </w:r>
      <w:r>
        <w:rPr>
          <w:sz w:val="22"/>
        </w:rPr>
        <w:t>úřadem.</w:t>
      </w:r>
    </w:p>
    <w:p>
      <w:pPr>
        <w:pStyle w:val="ListParagraph"/>
        <w:numPr>
          <w:ilvl w:val="1"/>
          <w:numId w:val="4"/>
        </w:numPr>
        <w:tabs>
          <w:tab w:pos="2672" w:val="left" w:leader="none"/>
        </w:tabs>
        <w:spacing w:line="240" w:lineRule="auto" w:before="61" w:after="0"/>
        <w:ind w:left="2671" w:right="251" w:hanging="715"/>
        <w:jc w:val="both"/>
        <w:rPr>
          <w:sz w:val="22"/>
        </w:rPr>
      </w:pPr>
      <w:r>
        <w:rPr>
          <w:sz w:val="22"/>
        </w:rPr>
        <w:t>ZÁKAZNÍK je povinen ukončit ke dni zahájení dodávky dle této Smlouvy účinnost všech stávajících smluv, které má uzavřeny s územně příslušnými provozovateli distribučních soustav a/nebo obchodníky s elektřinou, případně s výrobci, pro dodávky a distribuci elektřiny do Odběrného</w:t>
      </w:r>
      <w:r>
        <w:rPr>
          <w:spacing w:val="-10"/>
          <w:sz w:val="22"/>
        </w:rPr>
        <w:t> </w:t>
      </w:r>
      <w:r>
        <w:rPr>
          <w:sz w:val="22"/>
        </w:rPr>
        <w:t>místa.</w:t>
      </w:r>
    </w:p>
    <w:p>
      <w:pPr>
        <w:pStyle w:val="BodyText"/>
        <w:rPr>
          <w:sz w:val="24"/>
        </w:rPr>
      </w:pPr>
    </w:p>
    <w:p>
      <w:pPr>
        <w:pStyle w:val="Heading1"/>
        <w:numPr>
          <w:ilvl w:val="0"/>
          <w:numId w:val="1"/>
        </w:numPr>
        <w:tabs>
          <w:tab w:pos="3006" w:val="left" w:leader="none"/>
        </w:tabs>
        <w:spacing w:line="240" w:lineRule="auto" w:before="207" w:after="0"/>
        <w:ind w:left="3005" w:right="0" w:hanging="360"/>
        <w:jc w:val="left"/>
      </w:pPr>
      <w:r>
        <w:rPr/>
        <w:t>VYHODNOCENÍ DODÁVEK</w:t>
      </w:r>
      <w:r>
        <w:rPr>
          <w:spacing w:val="-29"/>
        </w:rPr>
        <w:t> </w:t>
      </w:r>
      <w:r>
        <w:rPr/>
        <w:t>ELEKTŘINY</w:t>
      </w:r>
    </w:p>
    <w:p>
      <w:pPr>
        <w:pStyle w:val="ListParagraph"/>
        <w:numPr>
          <w:ilvl w:val="0"/>
          <w:numId w:val="5"/>
        </w:numPr>
        <w:tabs>
          <w:tab w:pos="1820" w:val="left" w:leader="none"/>
        </w:tabs>
        <w:spacing w:line="240" w:lineRule="auto" w:before="58" w:after="0"/>
        <w:ind w:left="1819" w:right="254" w:hanging="583"/>
        <w:jc w:val="both"/>
        <w:rPr>
          <w:sz w:val="22"/>
        </w:rPr>
      </w:pPr>
      <w:r>
        <w:rPr>
          <w:sz w:val="22"/>
        </w:rPr>
        <w:t>U odběrů z napěťové hladiny vvn a vn je ZÁKAZNÍK povinen zaplatit za skutečně odebrané množství elektřiny dle údajů</w:t>
      </w:r>
      <w:r>
        <w:rPr>
          <w:spacing w:val="-3"/>
          <w:sz w:val="22"/>
        </w:rPr>
        <w:t> </w:t>
      </w:r>
      <w:r>
        <w:rPr>
          <w:sz w:val="22"/>
        </w:rPr>
        <w:t>změření.</w:t>
      </w:r>
    </w:p>
    <w:p>
      <w:pPr>
        <w:pStyle w:val="ListParagraph"/>
        <w:numPr>
          <w:ilvl w:val="0"/>
          <w:numId w:val="5"/>
        </w:numPr>
        <w:tabs>
          <w:tab w:pos="1820" w:val="left" w:leader="none"/>
        </w:tabs>
        <w:spacing w:line="240" w:lineRule="auto" w:before="59" w:after="0"/>
        <w:ind w:left="1819" w:right="257" w:hanging="583"/>
        <w:jc w:val="both"/>
        <w:rPr>
          <w:sz w:val="22"/>
        </w:rPr>
      </w:pPr>
      <w:r>
        <w:rPr>
          <w:sz w:val="22"/>
        </w:rPr>
        <w:t>U odběrů z napěťové hladiny nn je ZÁKAZNÍK povinen zaplatit za skutečně odebrané množství elektřiny dle údajů z</w:t>
      </w:r>
      <w:r>
        <w:rPr>
          <w:spacing w:val="-1"/>
          <w:sz w:val="22"/>
        </w:rPr>
        <w:t> </w:t>
      </w:r>
      <w:r>
        <w:rPr>
          <w:sz w:val="22"/>
        </w:rPr>
        <w:t>měření.</w:t>
      </w:r>
    </w:p>
    <w:p>
      <w:pPr>
        <w:pStyle w:val="ListParagraph"/>
        <w:numPr>
          <w:ilvl w:val="0"/>
          <w:numId w:val="5"/>
        </w:numPr>
        <w:tabs>
          <w:tab w:pos="1820" w:val="left" w:leader="none"/>
        </w:tabs>
        <w:spacing w:line="240" w:lineRule="auto" w:before="60" w:after="0"/>
        <w:ind w:left="1819" w:right="255" w:hanging="583"/>
        <w:jc w:val="both"/>
        <w:rPr>
          <w:sz w:val="22"/>
        </w:rPr>
      </w:pPr>
      <w:r>
        <w:rPr>
          <w:sz w:val="22"/>
        </w:rPr>
        <w:t>Veškeré  informace   a  oznámení   činěná  při  sjednávání   či   úpravě  ročního  plánu   a odběrových diagramů dodávek elektřiny musí mít písemnou nebo elektronickou podobu (elektronickou podobu pouze za podmínky, že se smluvní strany dohodnou na poskytování elektronických služeb PRE).</w:t>
      </w:r>
    </w:p>
    <w:p>
      <w:pPr>
        <w:pStyle w:val="ListParagraph"/>
        <w:numPr>
          <w:ilvl w:val="0"/>
          <w:numId w:val="5"/>
        </w:numPr>
        <w:tabs>
          <w:tab w:pos="1820" w:val="left" w:leader="none"/>
        </w:tabs>
        <w:spacing w:line="240" w:lineRule="auto" w:before="61" w:after="0"/>
        <w:ind w:left="1819" w:right="258" w:hanging="583"/>
        <w:jc w:val="both"/>
        <w:rPr>
          <w:sz w:val="22"/>
        </w:rPr>
      </w:pPr>
      <w:r>
        <w:rPr>
          <w:sz w:val="22"/>
        </w:rPr>
        <w:t>Pro  vyhodnocení   dodávek   elektřiny   jsou   podkladem   odečty   měřicího   zařízení v Odběrném místě prováděné příslušným PDS na základě a v souladu se</w:t>
      </w:r>
      <w:r>
        <w:rPr>
          <w:spacing w:val="-19"/>
          <w:sz w:val="22"/>
        </w:rPr>
        <w:t> </w:t>
      </w:r>
      <w:r>
        <w:rPr>
          <w:sz w:val="22"/>
        </w:rPr>
        <w:t>Zákonem.</w:t>
      </w:r>
    </w:p>
    <w:p>
      <w:pPr>
        <w:pStyle w:val="BodyText"/>
        <w:rPr>
          <w:sz w:val="24"/>
        </w:rPr>
      </w:pPr>
    </w:p>
    <w:p>
      <w:pPr>
        <w:pStyle w:val="BodyText"/>
        <w:rPr>
          <w:sz w:val="24"/>
        </w:rPr>
      </w:pPr>
    </w:p>
    <w:p>
      <w:pPr>
        <w:pStyle w:val="BodyText"/>
        <w:spacing w:before="1"/>
        <w:rPr>
          <w:sz w:val="21"/>
        </w:rPr>
      </w:pPr>
    </w:p>
    <w:p>
      <w:pPr>
        <w:pStyle w:val="Heading1"/>
        <w:numPr>
          <w:ilvl w:val="0"/>
          <w:numId w:val="1"/>
        </w:numPr>
        <w:tabs>
          <w:tab w:pos="1359" w:val="left" w:leader="none"/>
        </w:tabs>
        <w:spacing w:line="240" w:lineRule="auto" w:before="0" w:after="0"/>
        <w:ind w:left="1358" w:right="0" w:hanging="360"/>
        <w:jc w:val="left"/>
      </w:pPr>
      <w:r>
        <w:rPr/>
        <w:t>PODMÍNKY</w:t>
      </w:r>
      <w:r>
        <w:rPr>
          <w:spacing w:val="-18"/>
        </w:rPr>
        <w:t> </w:t>
      </w:r>
      <w:r>
        <w:rPr/>
        <w:t>POSKYTOVÁNÍ</w:t>
      </w:r>
      <w:r>
        <w:rPr>
          <w:spacing w:val="-14"/>
        </w:rPr>
        <w:t> </w:t>
      </w:r>
      <w:r>
        <w:rPr/>
        <w:t>DISTRIBUCE</w:t>
      </w:r>
      <w:r>
        <w:rPr>
          <w:spacing w:val="-12"/>
        </w:rPr>
        <w:t> </w:t>
      </w:r>
      <w:r>
        <w:rPr/>
        <w:t>A</w:t>
      </w:r>
      <w:r>
        <w:rPr>
          <w:spacing w:val="-18"/>
        </w:rPr>
        <w:t> </w:t>
      </w:r>
      <w:r>
        <w:rPr/>
        <w:t>SYSTÉMOVÝCH</w:t>
      </w:r>
      <w:r>
        <w:rPr>
          <w:spacing w:val="-16"/>
        </w:rPr>
        <w:t> </w:t>
      </w:r>
      <w:r>
        <w:rPr/>
        <w:t>SLUŽEB</w:t>
      </w:r>
    </w:p>
    <w:p>
      <w:pPr>
        <w:pStyle w:val="ListParagraph"/>
        <w:numPr>
          <w:ilvl w:val="1"/>
          <w:numId w:val="1"/>
        </w:numPr>
        <w:tabs>
          <w:tab w:pos="1820" w:val="left" w:leader="none"/>
        </w:tabs>
        <w:spacing w:line="240" w:lineRule="auto" w:before="59" w:after="0"/>
        <w:ind w:left="1819" w:right="254" w:hanging="583"/>
        <w:jc w:val="both"/>
        <w:rPr>
          <w:sz w:val="22"/>
        </w:rPr>
      </w:pPr>
      <w:r>
        <w:rPr>
          <w:sz w:val="22"/>
        </w:rPr>
        <w:t>Distribuce elektřiny a související služby jsou zajišťovány na základě a v souladu se Zákonem, prováděcími předpisy a Pravidly provozování distribuční soustavy (dále</w:t>
      </w:r>
      <w:r>
        <w:rPr>
          <w:spacing w:val="28"/>
          <w:sz w:val="22"/>
        </w:rPr>
        <w:t> </w:t>
      </w:r>
      <w:r>
        <w:rPr>
          <w:sz w:val="22"/>
        </w:rPr>
        <w:t>jen</w:t>
      </w:r>
    </w:p>
    <w:p>
      <w:pPr>
        <w:pStyle w:val="BodyText"/>
        <w:spacing w:line="252" w:lineRule="exact"/>
        <w:ind w:left="1819"/>
      </w:pPr>
      <w:r>
        <w:rPr/>
        <w:t>„PPDS“) příslušného PDS schválenými Energetickým regulačním úřadem (dále jen</w:t>
      </w:r>
    </w:p>
    <w:p>
      <w:pPr>
        <w:pStyle w:val="BodyText"/>
        <w:spacing w:line="252" w:lineRule="exact"/>
        <w:ind w:left="1819"/>
      </w:pPr>
      <w:r>
        <w:rPr/>
        <w:t>„ERÚ“).</w:t>
      </w:r>
    </w:p>
    <w:p>
      <w:pPr>
        <w:pStyle w:val="ListParagraph"/>
        <w:numPr>
          <w:ilvl w:val="1"/>
          <w:numId w:val="1"/>
        </w:numPr>
        <w:tabs>
          <w:tab w:pos="1820" w:val="left" w:leader="none"/>
        </w:tabs>
        <w:spacing w:line="240" w:lineRule="auto" w:before="62" w:after="0"/>
        <w:ind w:left="1819" w:right="251" w:hanging="583"/>
        <w:jc w:val="both"/>
        <w:rPr>
          <w:sz w:val="22"/>
        </w:rPr>
      </w:pPr>
      <w:r>
        <w:rPr>
          <w:sz w:val="22"/>
        </w:rPr>
        <w:t>PRE se zavazuje zajistit ZÁKAZNÍKOVI na vlastní jméno a na vlastní účet distribuci elektřiny a související služby pro Odběrné místo ZÁKAZNÍKA uvedené ve Smlouvě.  K zajištění dodávky  elektřiny  ZÁKAZNÍKOVI  uzavírá  PRE  smlouvu  o  distribuci  s  příslušným PDS, a to  za podmínek stanovených tímto příslušným PDS a  v rozsahu  a kvalitě uvedené ve Smlouvě. ZÁKAZNÍK uděluje PRE s uzavřením takové smlouvy o distribuci elektřiny souhlas a zavazuje se poskytnout PRE při jednání s příslušným PDS potřebnou součinnost. ZÁKAZNÍK se zavazuje řídit podmínkami distribuce příslušného PDS (dále jen „podmínky</w:t>
      </w:r>
      <w:r>
        <w:rPr>
          <w:spacing w:val="-11"/>
          <w:sz w:val="22"/>
        </w:rPr>
        <w:t> </w:t>
      </w:r>
      <w:r>
        <w:rPr>
          <w:sz w:val="22"/>
        </w:rPr>
        <w:t>distribuce“).</w:t>
      </w:r>
    </w:p>
    <w:p>
      <w:pPr>
        <w:pStyle w:val="ListParagraph"/>
        <w:numPr>
          <w:ilvl w:val="1"/>
          <w:numId w:val="1"/>
        </w:numPr>
        <w:tabs>
          <w:tab w:pos="1820" w:val="left" w:leader="none"/>
        </w:tabs>
        <w:spacing w:line="240" w:lineRule="auto" w:before="60" w:after="0"/>
        <w:ind w:left="1819" w:right="254" w:hanging="583"/>
        <w:jc w:val="both"/>
        <w:rPr>
          <w:sz w:val="22"/>
        </w:rPr>
      </w:pPr>
      <w:r>
        <w:rPr>
          <w:sz w:val="22"/>
        </w:rPr>
        <w:t>Hodnotu rezervované kapacity v Odběrném místě sjedná PRE s příslušným PDS ve smlouvě o distribuci ve výši uvedené v této Smlouvě. Rezervovanou kapacitou se u odběrů z napěťové hladiny vn a vvn rozumí maximální hodnota čtvrthodinového elektrického výkonu, kterou smí ZÁKAZNÍK odebrat v Odběrném místě z distribuční soustavy. Rezervovanou kapacitou se u odběrů z napěťové hladiny nn rozumí maximální hodnota proudu, která je omezena velikostí proudové hodnoty a typu okamžitého vypínacího proudu instalovaného hlavního jističe před</w:t>
      </w:r>
      <w:r>
        <w:rPr>
          <w:spacing w:val="-19"/>
          <w:sz w:val="22"/>
        </w:rPr>
        <w:t> </w:t>
      </w:r>
      <w:r>
        <w:rPr>
          <w:sz w:val="22"/>
        </w:rPr>
        <w:t>elektroměrem.</w:t>
      </w:r>
    </w:p>
    <w:p>
      <w:pPr>
        <w:pStyle w:val="ListParagraph"/>
        <w:numPr>
          <w:ilvl w:val="1"/>
          <w:numId w:val="1"/>
        </w:numPr>
        <w:tabs>
          <w:tab w:pos="1820" w:val="left" w:leader="none"/>
        </w:tabs>
        <w:spacing w:line="240" w:lineRule="auto" w:before="60" w:after="0"/>
        <w:ind w:left="1819" w:right="249" w:hanging="583"/>
        <w:jc w:val="both"/>
        <w:rPr>
          <w:sz w:val="22"/>
        </w:rPr>
      </w:pPr>
      <w:r>
        <w:rPr>
          <w:sz w:val="22"/>
        </w:rPr>
        <w:t>U odběrů z napěťové hladiny vn a vvn se ZÁKAZNÍK zavazuje sjednanou rezervovanou kapacitu na Odběrném místě svým odběrem nepřekročit. V případě překročení sjednané rezervované kapacity je ZÁKAZNÍK povinen zaplatit PRE cenu ve výši stanovené platným cenovým rozhodnutím ERÚ. Nedodržení sjednané hodnoty rezervované kapacity bude vyhodnoceno a vyúčtováno postupem a za cenu  v souladu   s podmínkami stanovenými v cenovém rozhodnutí</w:t>
      </w:r>
      <w:r>
        <w:rPr>
          <w:spacing w:val="-5"/>
          <w:sz w:val="22"/>
        </w:rPr>
        <w:t> </w:t>
      </w:r>
      <w:r>
        <w:rPr>
          <w:sz w:val="22"/>
        </w:rPr>
        <w:t>ERÚ.</w:t>
      </w:r>
    </w:p>
    <w:p>
      <w:pPr>
        <w:pStyle w:val="ListParagraph"/>
        <w:numPr>
          <w:ilvl w:val="1"/>
          <w:numId w:val="1"/>
        </w:numPr>
        <w:tabs>
          <w:tab w:pos="1820" w:val="left" w:leader="none"/>
        </w:tabs>
        <w:spacing w:line="240" w:lineRule="auto" w:before="59" w:after="0"/>
        <w:ind w:left="1819" w:right="254" w:hanging="583"/>
        <w:jc w:val="both"/>
        <w:rPr>
          <w:sz w:val="22"/>
        </w:rPr>
      </w:pPr>
      <w:r>
        <w:rPr>
          <w:sz w:val="22"/>
        </w:rPr>
        <w:t>U odběrů z napěťové hladiny vn a vvn je ZÁKAZNÍK oprávněn uplatnit u PRE požadavek na zajištění měsíční rezervované kapacity v příslušném kalendářním měsíci,</w:t>
      </w:r>
    </w:p>
    <w:p>
      <w:pPr>
        <w:spacing w:after="0" w:line="240" w:lineRule="auto"/>
        <w:jc w:val="both"/>
        <w:rPr>
          <w:sz w:val="22"/>
        </w:rPr>
        <w:sectPr>
          <w:pgSz w:w="11910" w:h="16840"/>
          <w:pgMar w:top="1320" w:bottom="280" w:left="900" w:right="1162"/>
        </w:sectPr>
      </w:pPr>
    </w:p>
    <w:p>
      <w:pPr>
        <w:pStyle w:val="BodyText"/>
        <w:spacing w:before="71"/>
        <w:ind w:left="1819" w:right="248"/>
        <w:jc w:val="both"/>
      </w:pPr>
      <w:r>
        <w:rPr/>
        <w:t>pokud bude požadovaná hodnota měsíční rezervované kapacity v součtu s hodnotou roční rezervované kapacity maximálně ve výši rezervovaného příkonu sjednaného ve Smlouvě. PRE se zavazuje požadovanou měsíční rezervovanou kapacitu v příslušném kalendářním měsíci zajistit, a to za podmínky, že ZÁKAZNÍK oznámí svůj požadavek ve lhůtě podle podmínek poskytování distribuce příslušného PDS. Cena za zajištění rezervované kapacity za příslušný kalendářní měsíc bude stanovena podle sjednané hodnoty roční rezervované kapacity a hodnoty měsíční rezervované kapacity sjednané pro příslušný kalendářní měsíc nad hodnotu roční rezervované kapacity. Pokud ZÁKAZNÍK sjedná měsíční rezervovanou kapacitu způsobem dle tohoto odstavce, nebude PRE uplatňovat cenu za překročení rezervované kapacity.</w:t>
      </w:r>
    </w:p>
    <w:p>
      <w:pPr>
        <w:pStyle w:val="ListParagraph"/>
        <w:numPr>
          <w:ilvl w:val="1"/>
          <w:numId w:val="1"/>
        </w:numPr>
        <w:tabs>
          <w:tab w:pos="1820" w:val="left" w:leader="none"/>
        </w:tabs>
        <w:spacing w:line="240" w:lineRule="auto" w:before="60" w:after="0"/>
        <w:ind w:left="1819" w:right="248" w:hanging="583"/>
        <w:jc w:val="both"/>
        <w:rPr>
          <w:sz w:val="22"/>
        </w:rPr>
      </w:pPr>
      <w:r>
        <w:rPr>
          <w:sz w:val="22"/>
        </w:rPr>
        <w:t>ZÁKAZNÍK se dále zavazuje rezervovaný příkon v Odběrném místě svým odběrem nepřekročit. V případě překročení sjednaného rezervovaného příkonu je ZÁKAZNÍK povinen zaplatit PRE cenu ve výši stanovené platným cenovým rozhodnutím</w:t>
      </w:r>
      <w:r>
        <w:rPr>
          <w:spacing w:val="-18"/>
          <w:sz w:val="22"/>
        </w:rPr>
        <w:t> </w:t>
      </w:r>
      <w:r>
        <w:rPr>
          <w:sz w:val="22"/>
        </w:rPr>
        <w:t>ERÚ.</w:t>
      </w:r>
    </w:p>
    <w:p>
      <w:pPr>
        <w:pStyle w:val="ListParagraph"/>
        <w:numPr>
          <w:ilvl w:val="1"/>
          <w:numId w:val="1"/>
        </w:numPr>
        <w:tabs>
          <w:tab w:pos="1820" w:val="left" w:leader="none"/>
        </w:tabs>
        <w:spacing w:line="240" w:lineRule="auto" w:before="63" w:after="0"/>
        <w:ind w:left="1819" w:right="250" w:hanging="583"/>
        <w:jc w:val="both"/>
        <w:rPr>
          <w:sz w:val="22"/>
        </w:rPr>
      </w:pPr>
      <w:r>
        <w:rPr>
          <w:sz w:val="22"/>
        </w:rPr>
        <w:t>ZÁKAZNÍK se v souladu se Zákonem a příslušným prováděcím předpisem zavazuje zaplatit PRE za zajištění distribuce a souvisejících služeb dodávky elektřiny cenu ve výši podle platného cenového rozhodnutí ERÚ. ZÁKAZNÍK se dále v souladu se Zákonem a příslušným prováděcím předpisem zavazuje zaplatit PRE cenu na krytí vícenákladů spojených s podporou elektřiny a cenu za zúčtování operátora trhu, případně další regulované ceny, ve výši podle cenového rozhodnutí</w:t>
      </w:r>
      <w:r>
        <w:rPr>
          <w:spacing w:val="-5"/>
          <w:sz w:val="22"/>
        </w:rPr>
        <w:t> </w:t>
      </w:r>
      <w:r>
        <w:rPr>
          <w:sz w:val="22"/>
        </w:rPr>
        <w:t>ERÚ.</w:t>
      </w:r>
    </w:p>
    <w:p>
      <w:pPr>
        <w:pStyle w:val="ListParagraph"/>
        <w:numPr>
          <w:ilvl w:val="1"/>
          <w:numId w:val="1"/>
        </w:numPr>
        <w:tabs>
          <w:tab w:pos="1820" w:val="left" w:leader="none"/>
        </w:tabs>
        <w:spacing w:line="240" w:lineRule="auto" w:before="59" w:after="0"/>
        <w:ind w:left="1819" w:right="252" w:hanging="583"/>
        <w:jc w:val="both"/>
        <w:rPr>
          <w:sz w:val="22"/>
        </w:rPr>
      </w:pPr>
      <w:r>
        <w:rPr>
          <w:sz w:val="22"/>
        </w:rPr>
        <w:t>PRE se zavazuje zajistit distribuci sjednaného množství dodávek elektřiny do Odběrného místa ZÁKAZNÍKA v kvalitě podle příslušného právního předpisu a podle PPDS. Kvalita dodávané elektřiny nemusí být splněna v případech stanovených Zákonem a/nebo podmínkami poskytování distribuce územně příslušného PDS, zejména</w:t>
      </w:r>
      <w:r>
        <w:rPr>
          <w:spacing w:val="-1"/>
          <w:sz w:val="22"/>
        </w:rPr>
        <w:t> </w:t>
      </w:r>
      <w:r>
        <w:rPr>
          <w:sz w:val="22"/>
        </w:rPr>
        <w:t>pokud:</w:t>
      </w:r>
    </w:p>
    <w:p>
      <w:pPr>
        <w:pStyle w:val="ListParagraph"/>
        <w:numPr>
          <w:ilvl w:val="2"/>
          <w:numId w:val="1"/>
        </w:numPr>
        <w:tabs>
          <w:tab w:pos="2671" w:val="left" w:leader="none"/>
          <w:tab w:pos="2672" w:val="left" w:leader="none"/>
          <w:tab w:pos="3043" w:val="left" w:leader="none"/>
          <w:tab w:pos="4436" w:val="left" w:leader="none"/>
          <w:tab w:pos="5293" w:val="left" w:leader="none"/>
          <w:tab w:pos="6543" w:val="left" w:leader="none"/>
          <w:tab w:pos="7790" w:val="left" w:leader="none"/>
          <w:tab w:pos="8799" w:val="left" w:leader="none"/>
        </w:tabs>
        <w:spacing w:line="240" w:lineRule="auto" w:before="60" w:after="0"/>
        <w:ind w:left="2671" w:right="251" w:hanging="715"/>
        <w:jc w:val="left"/>
        <w:rPr>
          <w:sz w:val="22"/>
        </w:rPr>
      </w:pPr>
      <w:r>
        <w:rPr>
          <w:sz w:val="22"/>
        </w:rPr>
        <w:t>je</w:t>
        <w:tab/>
        <w:t>překračována</w:t>
        <w:tab/>
        <w:t>hranice</w:t>
        <w:tab/>
        <w:t>přípustného</w:t>
        <w:tab/>
        <w:t>negativního</w:t>
        <w:tab/>
        <w:t>zpětného</w:t>
        <w:tab/>
      </w:r>
      <w:r>
        <w:rPr>
          <w:spacing w:val="-1"/>
          <w:sz w:val="22"/>
        </w:rPr>
        <w:t>působení </w:t>
      </w:r>
      <w:r>
        <w:rPr>
          <w:sz w:val="22"/>
        </w:rPr>
        <w:t>odběrného zařízení na distribuční soustavu stanovená technickou</w:t>
      </w:r>
      <w:r>
        <w:rPr>
          <w:spacing w:val="-11"/>
          <w:sz w:val="22"/>
        </w:rPr>
        <w:t> </w:t>
      </w:r>
      <w:r>
        <w:rPr>
          <w:sz w:val="22"/>
        </w:rPr>
        <w:t>normou;</w:t>
      </w:r>
    </w:p>
    <w:p>
      <w:pPr>
        <w:pStyle w:val="ListParagraph"/>
        <w:numPr>
          <w:ilvl w:val="2"/>
          <w:numId w:val="1"/>
        </w:numPr>
        <w:tabs>
          <w:tab w:pos="2671" w:val="left" w:leader="none"/>
          <w:tab w:pos="2672" w:val="left" w:leader="none"/>
        </w:tabs>
        <w:spacing w:line="240" w:lineRule="auto" w:before="60" w:after="0"/>
        <w:ind w:left="2671" w:right="252" w:hanging="715"/>
        <w:jc w:val="left"/>
        <w:rPr>
          <w:sz w:val="22"/>
        </w:rPr>
      </w:pPr>
      <w:r>
        <w:rPr>
          <w:sz w:val="22"/>
        </w:rPr>
        <w:t>je omezená či přerušená dodávka elektřiny v nezbytném rozsahu podle energetického</w:t>
      </w:r>
      <w:r>
        <w:rPr>
          <w:spacing w:val="-1"/>
          <w:sz w:val="22"/>
        </w:rPr>
        <w:t> </w:t>
      </w:r>
      <w:r>
        <w:rPr>
          <w:sz w:val="22"/>
        </w:rPr>
        <w:t>zákona.</w:t>
      </w:r>
    </w:p>
    <w:p>
      <w:pPr>
        <w:pStyle w:val="ListParagraph"/>
        <w:numPr>
          <w:ilvl w:val="1"/>
          <w:numId w:val="1"/>
        </w:numPr>
        <w:tabs>
          <w:tab w:pos="1820" w:val="left" w:leader="none"/>
        </w:tabs>
        <w:spacing w:line="240" w:lineRule="auto" w:before="61" w:after="0"/>
        <w:ind w:left="1819" w:right="250" w:hanging="583"/>
        <w:jc w:val="both"/>
        <w:rPr>
          <w:sz w:val="22"/>
        </w:rPr>
      </w:pPr>
      <w:r>
        <w:rPr>
          <w:sz w:val="22"/>
        </w:rPr>
        <w:t>ZÁKAZNÍK se zavazuje odebírat elektřinu v každém jednotlivém Odběrném místě hodnotou induktivního účiníku 0,95–1.Nedodržení tohoto parametru bude vyhodnoceno a vyúčtováno postupem a za cenu v souladu s podmínkami stanovenými v cenovém rozhodnutí ERÚ.</w:t>
      </w:r>
    </w:p>
    <w:p>
      <w:pPr>
        <w:pStyle w:val="ListParagraph"/>
        <w:numPr>
          <w:ilvl w:val="1"/>
          <w:numId w:val="1"/>
        </w:numPr>
        <w:tabs>
          <w:tab w:pos="1820" w:val="left" w:leader="none"/>
        </w:tabs>
        <w:spacing w:line="240" w:lineRule="auto" w:before="58" w:after="0"/>
        <w:ind w:left="1819" w:right="254" w:hanging="583"/>
        <w:jc w:val="both"/>
        <w:rPr>
          <w:sz w:val="22"/>
        </w:rPr>
      </w:pPr>
      <w:r>
        <w:rPr>
          <w:sz w:val="22"/>
        </w:rPr>
        <w:t>V Odběrném místě může ZÁKAZNÍK provozovat vlastní zdroj energie, který je přímo propojen s distribuční soustavou, pouze po dohodě s příslušným PDS na základě písemné dohody a za plnění jím stanovených</w:t>
      </w:r>
      <w:r>
        <w:rPr>
          <w:spacing w:val="-11"/>
          <w:sz w:val="22"/>
        </w:rPr>
        <w:t> </w:t>
      </w:r>
      <w:r>
        <w:rPr>
          <w:sz w:val="22"/>
        </w:rPr>
        <w:t>podmínek.</w:t>
      </w:r>
    </w:p>
    <w:p>
      <w:pPr>
        <w:pStyle w:val="BodyText"/>
        <w:rPr>
          <w:sz w:val="24"/>
        </w:rPr>
      </w:pPr>
    </w:p>
    <w:p>
      <w:pPr>
        <w:pStyle w:val="Heading1"/>
        <w:numPr>
          <w:ilvl w:val="0"/>
          <w:numId w:val="1"/>
        </w:numPr>
        <w:tabs>
          <w:tab w:pos="3612" w:val="left" w:leader="none"/>
          <w:tab w:pos="3613" w:val="left" w:leader="none"/>
        </w:tabs>
        <w:spacing w:line="240" w:lineRule="auto" w:before="208" w:after="0"/>
        <w:ind w:left="3613" w:right="0" w:hanging="721"/>
        <w:jc w:val="left"/>
      </w:pPr>
      <w:r>
        <w:rPr/>
        <w:t>MĚŘENÍ DODÁVEK</w:t>
      </w:r>
      <w:r>
        <w:rPr>
          <w:spacing w:val="-29"/>
        </w:rPr>
        <w:t> </w:t>
      </w:r>
      <w:r>
        <w:rPr/>
        <w:t>ELEKTŘINY</w:t>
      </w:r>
    </w:p>
    <w:p>
      <w:pPr>
        <w:pStyle w:val="ListParagraph"/>
        <w:numPr>
          <w:ilvl w:val="0"/>
          <w:numId w:val="6"/>
        </w:numPr>
        <w:tabs>
          <w:tab w:pos="1820" w:val="left" w:leader="none"/>
        </w:tabs>
        <w:spacing w:line="240" w:lineRule="auto" w:before="59" w:after="0"/>
        <w:ind w:left="1819" w:right="254" w:hanging="583"/>
        <w:jc w:val="both"/>
        <w:rPr>
          <w:sz w:val="22"/>
        </w:rPr>
      </w:pPr>
      <w:r>
        <w:rPr>
          <w:sz w:val="22"/>
        </w:rPr>
        <w:t>Měření dodávek elektřiny dle Smlouvy a předávání skutečných naměřených hodnot Operátorovi trhu za účelem vyhodnocení odchylek zajišťuje příslušný PDS na základě a v souladu se Zákonem, prováděcími předpisy a</w:t>
      </w:r>
      <w:r>
        <w:rPr>
          <w:spacing w:val="-6"/>
          <w:sz w:val="22"/>
        </w:rPr>
        <w:t> </w:t>
      </w:r>
      <w:r>
        <w:rPr>
          <w:sz w:val="22"/>
        </w:rPr>
        <w:t>PPDS.</w:t>
      </w:r>
    </w:p>
    <w:p>
      <w:pPr>
        <w:pStyle w:val="ListParagraph"/>
        <w:numPr>
          <w:ilvl w:val="0"/>
          <w:numId w:val="6"/>
        </w:numPr>
        <w:tabs>
          <w:tab w:pos="1820" w:val="left" w:leader="none"/>
        </w:tabs>
        <w:spacing w:line="240" w:lineRule="auto" w:before="59" w:after="0"/>
        <w:ind w:left="1819" w:right="251" w:hanging="583"/>
        <w:jc w:val="both"/>
        <w:rPr>
          <w:sz w:val="22"/>
        </w:rPr>
      </w:pPr>
      <w:r>
        <w:rPr>
          <w:sz w:val="22"/>
        </w:rPr>
        <w:t>Měření zajišťuje příslušný PDS vlastním měřicím zařízením. Příslušný PDS určí způsob měření,  typ,  umístění  měřicího  zařízení  a  převody  měřicích   transformátorů,  a  to  v závislosti na velikosti a charakteru odběru elektřiny v příslušném odběrném</w:t>
      </w:r>
      <w:r>
        <w:rPr>
          <w:spacing w:val="-21"/>
          <w:sz w:val="22"/>
        </w:rPr>
        <w:t> </w:t>
      </w:r>
      <w:r>
        <w:rPr>
          <w:sz w:val="22"/>
        </w:rPr>
        <w:t>místě.</w:t>
      </w:r>
    </w:p>
    <w:p>
      <w:pPr>
        <w:pStyle w:val="ListParagraph"/>
        <w:numPr>
          <w:ilvl w:val="0"/>
          <w:numId w:val="6"/>
        </w:numPr>
        <w:tabs>
          <w:tab w:pos="1820" w:val="left" w:leader="none"/>
        </w:tabs>
        <w:spacing w:line="240" w:lineRule="auto" w:before="60" w:after="0"/>
        <w:ind w:left="1819" w:right="251" w:hanging="583"/>
        <w:jc w:val="both"/>
        <w:rPr>
          <w:sz w:val="22"/>
        </w:rPr>
      </w:pPr>
      <w:r>
        <w:rPr>
          <w:sz w:val="22"/>
        </w:rPr>
        <w:t>ZÁKAZNÍK je povinen upravit své odběrné elektrické zařízení související s měřením odběru elektřiny podle pokynů PRE oznámených ZÁKAZNÍKOVI na základě podmínek distribuce příslušného PDS a/nebo podle přímých pokynů příslušného</w:t>
      </w:r>
      <w:r>
        <w:rPr>
          <w:spacing w:val="-23"/>
          <w:sz w:val="22"/>
        </w:rPr>
        <w:t> </w:t>
      </w:r>
      <w:r>
        <w:rPr>
          <w:sz w:val="22"/>
        </w:rPr>
        <w:t>PDS.</w:t>
      </w:r>
    </w:p>
    <w:p>
      <w:pPr>
        <w:pStyle w:val="ListParagraph"/>
        <w:numPr>
          <w:ilvl w:val="0"/>
          <w:numId w:val="6"/>
        </w:numPr>
        <w:tabs>
          <w:tab w:pos="1820" w:val="left" w:leader="none"/>
        </w:tabs>
        <w:spacing w:line="240" w:lineRule="auto" w:before="59" w:after="0"/>
        <w:ind w:left="1819" w:right="257" w:hanging="583"/>
        <w:jc w:val="both"/>
        <w:rPr>
          <w:sz w:val="22"/>
        </w:rPr>
      </w:pPr>
      <w:r>
        <w:rPr>
          <w:sz w:val="22"/>
        </w:rPr>
        <w:t>Měřicí souprava, měřicí transformátory, spojovací vedení a měřicí skříně včetně jejich vybavení jsou součástí odběrného zařízení ZÁKAZNÍKA, který uhradí veškeré náklady na jejich pořízení (kromě měřicí soupravy) a</w:t>
      </w:r>
      <w:r>
        <w:rPr>
          <w:spacing w:val="-5"/>
          <w:sz w:val="22"/>
        </w:rPr>
        <w:t> </w:t>
      </w:r>
      <w:r>
        <w:rPr>
          <w:sz w:val="22"/>
        </w:rPr>
        <w:t>instalaci.</w:t>
      </w:r>
    </w:p>
    <w:p>
      <w:pPr>
        <w:pStyle w:val="ListParagraph"/>
        <w:numPr>
          <w:ilvl w:val="0"/>
          <w:numId w:val="6"/>
        </w:numPr>
        <w:tabs>
          <w:tab w:pos="1820" w:val="left" w:leader="none"/>
        </w:tabs>
        <w:spacing w:line="240" w:lineRule="auto" w:before="63" w:after="0"/>
        <w:ind w:left="1819" w:right="257" w:hanging="583"/>
        <w:jc w:val="both"/>
        <w:rPr>
          <w:sz w:val="22"/>
        </w:rPr>
      </w:pPr>
      <w:r>
        <w:rPr>
          <w:sz w:val="22"/>
        </w:rPr>
        <w:t>ZÁKAZNÍK je povinen závady na měřicích zařízeních, včetně porušení zajištění proti neoprávněné manipulaci, které zjistí, neprodleně oznámit PRE a příslušnému</w:t>
      </w:r>
      <w:r>
        <w:rPr>
          <w:spacing w:val="-11"/>
          <w:sz w:val="22"/>
        </w:rPr>
        <w:t> </w:t>
      </w:r>
      <w:r>
        <w:rPr>
          <w:sz w:val="22"/>
        </w:rPr>
        <w:t>PDS.</w:t>
      </w:r>
    </w:p>
    <w:p>
      <w:pPr>
        <w:spacing w:after="0" w:line="240" w:lineRule="auto"/>
        <w:jc w:val="both"/>
        <w:rPr>
          <w:sz w:val="22"/>
        </w:rPr>
        <w:sectPr>
          <w:pgSz w:w="11910" w:h="16840"/>
          <w:pgMar w:top="1320" w:bottom="280" w:left="900" w:right="1162"/>
        </w:sectPr>
      </w:pPr>
    </w:p>
    <w:p>
      <w:pPr>
        <w:pStyle w:val="ListParagraph"/>
        <w:numPr>
          <w:ilvl w:val="0"/>
          <w:numId w:val="6"/>
        </w:numPr>
        <w:tabs>
          <w:tab w:pos="1820" w:val="left" w:leader="none"/>
        </w:tabs>
        <w:spacing w:line="240" w:lineRule="auto" w:before="71" w:after="0"/>
        <w:ind w:left="1819" w:right="250" w:hanging="583"/>
        <w:jc w:val="both"/>
        <w:rPr>
          <w:sz w:val="22"/>
        </w:rPr>
      </w:pPr>
      <w:r>
        <w:rPr>
          <w:sz w:val="22"/>
        </w:rPr>
        <w:t>Použití podružných měřicích, kontrolních, signalizačních a regulačních zařízení napojených na měřicí zařízení příslušného PDS nebo k tomuto příslušející měřicí transformátory je možné jen s předchozím písemným souhlasem příslušného PDS. Připojení provádí příslušný PDS na náklad</w:t>
      </w:r>
      <w:r>
        <w:rPr>
          <w:spacing w:val="-2"/>
          <w:sz w:val="22"/>
        </w:rPr>
        <w:t> </w:t>
      </w:r>
      <w:r>
        <w:rPr>
          <w:sz w:val="22"/>
        </w:rPr>
        <w:t>ZÁKAZNÍKA.</w:t>
      </w:r>
    </w:p>
    <w:p>
      <w:pPr>
        <w:pStyle w:val="ListParagraph"/>
        <w:numPr>
          <w:ilvl w:val="0"/>
          <w:numId w:val="6"/>
        </w:numPr>
        <w:tabs>
          <w:tab w:pos="1820" w:val="left" w:leader="none"/>
        </w:tabs>
        <w:spacing w:line="240" w:lineRule="auto" w:before="61" w:after="0"/>
        <w:ind w:left="1819" w:right="249" w:hanging="583"/>
        <w:jc w:val="both"/>
        <w:rPr>
          <w:sz w:val="22"/>
        </w:rPr>
      </w:pPr>
      <w:r>
        <w:rPr>
          <w:sz w:val="22"/>
        </w:rPr>
        <w:t>Má-li ZÁKAZNÍK pochybnosti o správnosti údajů měření nebo zjistí-li závadu na měřicím zařízení, má právo nechat je přezkoušet. Příslušný PDS je povinen na základě písemné žádosti od jejího doručení měřicí zařízení vyměnit a zajistit ověření správnosti měření u nezávislého autorizovaného metrologického střediska. Je-li na měřicím zařízení zjištěna závada, hradí náklady spojené s jeho přezkoušením a výměnou příslušný PDS. Není-li závada zjištěna, hradí tyto náklady</w:t>
      </w:r>
      <w:r>
        <w:rPr>
          <w:spacing w:val="-7"/>
          <w:sz w:val="22"/>
        </w:rPr>
        <w:t> </w:t>
      </w:r>
      <w:r>
        <w:rPr>
          <w:sz w:val="22"/>
        </w:rPr>
        <w:t>ZÁKAZNÍK.</w:t>
      </w:r>
    </w:p>
    <w:p>
      <w:pPr>
        <w:pStyle w:val="ListParagraph"/>
        <w:numPr>
          <w:ilvl w:val="0"/>
          <w:numId w:val="6"/>
        </w:numPr>
        <w:tabs>
          <w:tab w:pos="1875" w:val="left" w:leader="none"/>
        </w:tabs>
        <w:spacing w:line="240" w:lineRule="auto" w:before="59" w:after="0"/>
        <w:ind w:left="1819" w:right="256" w:hanging="583"/>
        <w:jc w:val="both"/>
        <w:rPr>
          <w:sz w:val="22"/>
        </w:rPr>
      </w:pPr>
      <w:r>
        <w:rPr>
          <w:sz w:val="22"/>
        </w:rPr>
        <w:t>Příslušný PDS má právo jednotlivé části měřicího zařízení a odběrného elektrického zařízení, které souvisí s měřením zajistit proti neoprávněné manipulaci. Jakýkoliv zásah do měřicího zařízení bez souhlasu příslušného PDS je</w:t>
      </w:r>
      <w:r>
        <w:rPr>
          <w:spacing w:val="-8"/>
          <w:sz w:val="22"/>
        </w:rPr>
        <w:t> </w:t>
      </w:r>
      <w:r>
        <w:rPr>
          <w:sz w:val="22"/>
        </w:rPr>
        <w:t>zakázán.</w:t>
      </w:r>
    </w:p>
    <w:p>
      <w:pPr>
        <w:pStyle w:val="ListParagraph"/>
        <w:numPr>
          <w:ilvl w:val="0"/>
          <w:numId w:val="6"/>
        </w:numPr>
        <w:tabs>
          <w:tab w:pos="1820" w:val="left" w:leader="none"/>
        </w:tabs>
        <w:spacing w:line="240" w:lineRule="auto" w:before="63" w:after="0"/>
        <w:ind w:left="1819" w:right="252" w:hanging="583"/>
        <w:jc w:val="both"/>
        <w:rPr>
          <w:sz w:val="22"/>
        </w:rPr>
      </w:pPr>
      <w:r>
        <w:rPr>
          <w:sz w:val="22"/>
        </w:rPr>
        <w:t>ZÁKAZNÍK se zavazuje umožnit příslušnému PDS přístup k měřicímu zařízení a neměřeným částem odběrného zařízení za účelem provedení kontroly, odečtu, údržby, výměny či odebrání. Způsob přístupu k měřicímu zařízení vyplývá z jeho</w:t>
      </w:r>
      <w:r>
        <w:rPr>
          <w:spacing w:val="-13"/>
          <w:sz w:val="22"/>
        </w:rPr>
        <w:t> </w:t>
      </w:r>
      <w:r>
        <w:rPr>
          <w:sz w:val="22"/>
        </w:rPr>
        <w:t>umístění.</w:t>
      </w:r>
    </w:p>
    <w:p>
      <w:pPr>
        <w:pStyle w:val="ListParagraph"/>
        <w:numPr>
          <w:ilvl w:val="0"/>
          <w:numId w:val="6"/>
        </w:numPr>
        <w:tabs>
          <w:tab w:pos="1820" w:val="left" w:leader="none"/>
        </w:tabs>
        <w:spacing w:line="240" w:lineRule="auto" w:before="59" w:after="0"/>
        <w:ind w:left="1819" w:right="252" w:hanging="583"/>
        <w:jc w:val="both"/>
        <w:rPr>
          <w:sz w:val="22"/>
        </w:rPr>
      </w:pPr>
      <w:r>
        <w:rPr>
          <w:sz w:val="22"/>
        </w:rPr>
        <w:t>Pravidelné odečty měřicího zařízení pro účely vyhodnocení odběru elektřiny provádí příslušný PDS podle svých podmínek distribuce v souladu s příslušným právním předpisem.</w:t>
      </w:r>
    </w:p>
    <w:p>
      <w:pPr>
        <w:pStyle w:val="BodyText"/>
        <w:rPr>
          <w:sz w:val="24"/>
        </w:rPr>
      </w:pPr>
    </w:p>
    <w:p>
      <w:pPr>
        <w:pStyle w:val="Heading1"/>
        <w:numPr>
          <w:ilvl w:val="0"/>
          <w:numId w:val="1"/>
        </w:numPr>
        <w:tabs>
          <w:tab w:pos="5074" w:val="left" w:leader="none"/>
          <w:tab w:pos="5075" w:val="left" w:leader="none"/>
        </w:tabs>
        <w:spacing w:line="240" w:lineRule="auto" w:before="206" w:after="0"/>
        <w:ind w:left="5074" w:right="0" w:hanging="720"/>
        <w:jc w:val="left"/>
      </w:pPr>
      <w:r>
        <w:rPr/>
        <w:t>CENA</w:t>
      </w:r>
    </w:p>
    <w:p>
      <w:pPr>
        <w:pStyle w:val="ListParagraph"/>
        <w:numPr>
          <w:ilvl w:val="0"/>
          <w:numId w:val="7"/>
        </w:numPr>
        <w:tabs>
          <w:tab w:pos="1819" w:val="left" w:leader="none"/>
          <w:tab w:pos="1820" w:val="left" w:leader="none"/>
        </w:tabs>
        <w:spacing w:line="240" w:lineRule="auto" w:before="58" w:after="0"/>
        <w:ind w:left="1819" w:right="0" w:hanging="583"/>
        <w:jc w:val="left"/>
        <w:rPr>
          <w:sz w:val="22"/>
        </w:rPr>
      </w:pPr>
      <w:r>
        <w:rPr>
          <w:sz w:val="22"/>
        </w:rPr>
        <w:t>Cena silové elektřiny dle této Smlouvy je smluvní a je ve výši </w:t>
      </w:r>
      <w:r>
        <w:rPr>
          <w:b/>
          <w:sz w:val="22"/>
        </w:rPr>
        <w:t>885</w:t>
      </w:r>
      <w:r>
        <w:rPr>
          <w:b/>
          <w:spacing w:val="-13"/>
          <w:sz w:val="22"/>
        </w:rPr>
        <w:t> </w:t>
      </w:r>
      <w:r>
        <w:rPr>
          <w:b/>
          <w:sz w:val="22"/>
        </w:rPr>
        <w:t>Kč/MWh</w:t>
      </w:r>
      <w:r>
        <w:rPr>
          <w:sz w:val="22"/>
        </w:rPr>
        <w:t>.</w:t>
      </w:r>
    </w:p>
    <w:p>
      <w:pPr>
        <w:pStyle w:val="ListParagraph"/>
        <w:numPr>
          <w:ilvl w:val="0"/>
          <w:numId w:val="7"/>
        </w:numPr>
        <w:tabs>
          <w:tab w:pos="1820" w:val="left" w:leader="none"/>
        </w:tabs>
        <w:spacing w:line="240" w:lineRule="auto" w:before="61" w:after="0"/>
        <w:ind w:left="1819" w:right="252" w:hanging="583"/>
        <w:jc w:val="both"/>
        <w:rPr>
          <w:sz w:val="22"/>
        </w:rPr>
      </w:pPr>
      <w:r>
        <w:rPr>
          <w:sz w:val="22"/>
        </w:rPr>
        <w:t>Regulované ceny jsou stanoveny ve výši podle účinného cenového rozhodnutí ERÚ. Distribuční sazba pro Odběrné místo připojené z hladiny nn je uvedena v Příloze č.1 této</w:t>
      </w:r>
      <w:r>
        <w:rPr>
          <w:spacing w:val="-1"/>
          <w:sz w:val="22"/>
        </w:rPr>
        <w:t> </w:t>
      </w:r>
      <w:r>
        <w:rPr>
          <w:sz w:val="22"/>
        </w:rPr>
        <w:t>Smlouvy.</w:t>
      </w:r>
    </w:p>
    <w:p>
      <w:pPr>
        <w:pStyle w:val="ListParagraph"/>
        <w:numPr>
          <w:ilvl w:val="0"/>
          <w:numId w:val="7"/>
        </w:numPr>
        <w:tabs>
          <w:tab w:pos="1820" w:val="left" w:leader="none"/>
        </w:tabs>
        <w:spacing w:line="240" w:lineRule="auto" w:before="60" w:after="0"/>
        <w:ind w:left="1819" w:right="251" w:hanging="583"/>
        <w:jc w:val="both"/>
        <w:rPr>
          <w:sz w:val="22"/>
        </w:rPr>
      </w:pPr>
      <w:r>
        <w:rPr>
          <w:sz w:val="22"/>
        </w:rPr>
        <w:t>Ceny uvedené v tomto čl. neobsahují daň z přidané hodnoty (dále jen „DPH“) a daň z elektřiny. K uvedeným cenám budou připočítávány DPH a daň z elektřiny podle zvláštního právního</w:t>
      </w:r>
      <w:r>
        <w:rPr>
          <w:spacing w:val="-4"/>
          <w:sz w:val="22"/>
        </w:rPr>
        <w:t> </w:t>
      </w:r>
      <w:r>
        <w:rPr>
          <w:sz w:val="22"/>
        </w:rPr>
        <w:t>předpisu.</w:t>
      </w:r>
    </w:p>
    <w:p>
      <w:pPr>
        <w:pStyle w:val="BodyText"/>
        <w:rPr>
          <w:sz w:val="24"/>
        </w:rPr>
      </w:pPr>
    </w:p>
    <w:p>
      <w:pPr>
        <w:pStyle w:val="BodyText"/>
        <w:rPr>
          <w:sz w:val="24"/>
        </w:rPr>
      </w:pPr>
    </w:p>
    <w:p>
      <w:pPr>
        <w:pStyle w:val="BodyText"/>
        <w:rPr>
          <w:sz w:val="21"/>
        </w:rPr>
      </w:pPr>
    </w:p>
    <w:p>
      <w:pPr>
        <w:pStyle w:val="Heading1"/>
        <w:numPr>
          <w:ilvl w:val="0"/>
          <w:numId w:val="1"/>
        </w:numPr>
        <w:tabs>
          <w:tab w:pos="3820" w:val="left" w:leader="none"/>
        </w:tabs>
        <w:spacing w:line="240" w:lineRule="auto" w:before="0" w:after="0"/>
        <w:ind w:left="3819" w:right="0" w:hanging="360"/>
        <w:jc w:val="left"/>
      </w:pPr>
      <w:r>
        <w:rPr/>
        <w:t>FAKTURACE A</w:t>
      </w:r>
      <w:r>
        <w:rPr>
          <w:spacing w:val="-30"/>
        </w:rPr>
        <w:t> </w:t>
      </w:r>
      <w:r>
        <w:rPr/>
        <w:t>PLACENÍ</w:t>
      </w:r>
    </w:p>
    <w:p>
      <w:pPr>
        <w:pStyle w:val="ListParagraph"/>
        <w:numPr>
          <w:ilvl w:val="0"/>
          <w:numId w:val="8"/>
        </w:numPr>
        <w:tabs>
          <w:tab w:pos="1820" w:val="left" w:leader="none"/>
        </w:tabs>
        <w:spacing w:line="240" w:lineRule="auto" w:before="58" w:after="0"/>
        <w:ind w:left="1819" w:right="251" w:hanging="583"/>
        <w:jc w:val="both"/>
        <w:rPr>
          <w:sz w:val="22"/>
        </w:rPr>
      </w:pPr>
      <w:r>
        <w:rPr>
          <w:sz w:val="22"/>
        </w:rPr>
        <w:t>Dodávky silové elektřiny dle této Smlouvy hradí ZÁKAZNÍK na základě vyúčtování vystaveného podle příslušného právního předpisu (dále jen „faktura“) vždy po příslušném fakturačním období. V případě Odběrného místa vybaveného měřením typu C se provádí vyúčtování nejméně jednou za rok. V případě Odběrného místa vybaveného měřením typu A, B nebo S se provádí vyúčtování za kalendářní</w:t>
      </w:r>
      <w:r>
        <w:rPr>
          <w:spacing w:val="-8"/>
          <w:sz w:val="22"/>
        </w:rPr>
        <w:t> </w:t>
      </w:r>
      <w:r>
        <w:rPr>
          <w:sz w:val="22"/>
        </w:rPr>
        <w:t>měsíc.</w:t>
      </w:r>
    </w:p>
    <w:p>
      <w:pPr>
        <w:pStyle w:val="ListParagraph"/>
        <w:numPr>
          <w:ilvl w:val="0"/>
          <w:numId w:val="8"/>
        </w:numPr>
        <w:tabs>
          <w:tab w:pos="1820" w:val="left" w:leader="none"/>
        </w:tabs>
        <w:spacing w:line="240" w:lineRule="auto" w:before="61" w:after="0"/>
        <w:ind w:left="1819" w:right="252" w:hanging="583"/>
        <w:jc w:val="both"/>
        <w:rPr>
          <w:sz w:val="22"/>
        </w:rPr>
      </w:pPr>
      <w:r>
        <w:rPr>
          <w:sz w:val="22"/>
        </w:rPr>
        <w:t>Faktury vystavené ze strany PRE jsou splatné do čtrnácti (14) dnů od data vystavení faktury.</w:t>
      </w:r>
    </w:p>
    <w:p>
      <w:pPr>
        <w:pStyle w:val="ListParagraph"/>
        <w:numPr>
          <w:ilvl w:val="0"/>
          <w:numId w:val="8"/>
        </w:numPr>
        <w:tabs>
          <w:tab w:pos="1820" w:val="left" w:leader="none"/>
        </w:tabs>
        <w:spacing w:line="240" w:lineRule="auto" w:before="60" w:after="0"/>
        <w:ind w:left="1819" w:right="252" w:hanging="583"/>
        <w:jc w:val="both"/>
        <w:rPr>
          <w:sz w:val="22"/>
        </w:rPr>
      </w:pPr>
      <w:r>
        <w:rPr>
          <w:sz w:val="22"/>
        </w:rPr>
        <w:t>Připadne-li poslední den splatnosti na den pracovního klidu, posouvá se splatnost faktury na nejbližší následující pracovní den. Termínem úhrady se rozumí datum připsání částky na účet</w:t>
      </w:r>
      <w:r>
        <w:rPr>
          <w:spacing w:val="-4"/>
          <w:sz w:val="22"/>
        </w:rPr>
        <w:t> </w:t>
      </w:r>
      <w:r>
        <w:rPr>
          <w:sz w:val="22"/>
        </w:rPr>
        <w:t>příjemce.</w:t>
      </w:r>
    </w:p>
    <w:p>
      <w:pPr>
        <w:pStyle w:val="ListParagraph"/>
        <w:numPr>
          <w:ilvl w:val="0"/>
          <w:numId w:val="8"/>
        </w:numPr>
        <w:tabs>
          <w:tab w:pos="1820" w:val="left" w:leader="none"/>
        </w:tabs>
        <w:spacing w:line="240" w:lineRule="auto" w:before="60" w:after="0"/>
        <w:ind w:left="1819" w:right="252" w:hanging="583"/>
        <w:jc w:val="both"/>
        <w:rPr>
          <w:sz w:val="22"/>
        </w:rPr>
      </w:pPr>
      <w:r>
        <w:rPr>
          <w:sz w:val="22"/>
        </w:rPr>
        <w:t>Vzniknou-li chyby nebo omyly při vyúčtování elektřiny nesprávným odečtem, použitím nesprávné sazby, početní chybou apod. mají ZÁKAZNÍK a PRE nárok na vyrovnání nesprávně vyúčtovaných částek. V případě chybného vyúčtování dodávky elektřiny uplatní zákazník písemně reklamaci bez zbytečného odkladu. PRE reklamaci přezkoumá a výsledek písemně oznámí odběrateli do 15 kalendářních dnů ode dne, kdy reklamaci obdržel. Je-li na základě reklamace vystaven opravný daňový doklad (opravná faktura), považuje se současně za informaci o výsledku</w:t>
      </w:r>
      <w:r>
        <w:rPr>
          <w:spacing w:val="-15"/>
          <w:sz w:val="22"/>
        </w:rPr>
        <w:t> </w:t>
      </w:r>
      <w:r>
        <w:rPr>
          <w:sz w:val="22"/>
        </w:rPr>
        <w:t>reklamace.</w:t>
      </w:r>
    </w:p>
    <w:p>
      <w:pPr>
        <w:pStyle w:val="ListParagraph"/>
        <w:numPr>
          <w:ilvl w:val="0"/>
          <w:numId w:val="8"/>
        </w:numPr>
        <w:tabs>
          <w:tab w:pos="1820" w:val="left" w:leader="none"/>
        </w:tabs>
        <w:spacing w:line="240" w:lineRule="auto" w:before="60" w:after="0"/>
        <w:ind w:left="1819" w:right="251" w:hanging="583"/>
        <w:jc w:val="both"/>
        <w:rPr>
          <w:sz w:val="22"/>
        </w:rPr>
      </w:pPr>
      <w:r>
        <w:rPr>
          <w:sz w:val="22"/>
        </w:rPr>
        <w:t>ZÁKAZNÍK poukáže platbu se správným variabilním symbolem na bankovní účet uvedený na faktuře. Všechny platby se provádějí v Kč bezhotovostně z účtů vedených v</w:t>
      </w:r>
    </w:p>
    <w:p>
      <w:pPr>
        <w:spacing w:after="0" w:line="240" w:lineRule="auto"/>
        <w:jc w:val="both"/>
        <w:rPr>
          <w:sz w:val="22"/>
        </w:rPr>
        <w:sectPr>
          <w:pgSz w:w="11910" w:h="16840"/>
          <w:pgMar w:top="1320" w:bottom="280" w:left="900" w:right="1162"/>
        </w:sectPr>
      </w:pPr>
    </w:p>
    <w:p>
      <w:pPr>
        <w:pStyle w:val="BodyText"/>
        <w:spacing w:before="71"/>
        <w:ind w:left="1819" w:right="388"/>
      </w:pPr>
      <w:r>
        <w:rPr/>
        <w:t>Kč u peněžních ústavů působících na území České republiky. Všechny platby se provádějí převodním příkazem k úhradě z podnětu plátce .</w:t>
      </w:r>
    </w:p>
    <w:p>
      <w:pPr>
        <w:pStyle w:val="ListParagraph"/>
        <w:numPr>
          <w:ilvl w:val="0"/>
          <w:numId w:val="8"/>
        </w:numPr>
        <w:tabs>
          <w:tab w:pos="1819" w:val="left" w:leader="none"/>
          <w:tab w:pos="1820" w:val="left" w:leader="none"/>
        </w:tabs>
        <w:spacing w:line="240" w:lineRule="auto" w:before="61" w:after="0"/>
        <w:ind w:left="1819" w:right="0" w:hanging="583"/>
        <w:jc w:val="left"/>
        <w:rPr>
          <w:sz w:val="22"/>
        </w:rPr>
      </w:pPr>
      <w:r>
        <w:rPr>
          <w:sz w:val="22"/>
        </w:rPr>
        <w:t>Adresa pro zasílání faktur ZÁKAZNÍKOVI je: Praha 10, Sámova7, 101</w:t>
      </w:r>
      <w:r>
        <w:rPr>
          <w:spacing w:val="-9"/>
          <w:sz w:val="22"/>
        </w:rPr>
        <w:t> </w:t>
      </w:r>
      <w:r>
        <w:rPr>
          <w:sz w:val="22"/>
        </w:rPr>
        <w:t>00.</w:t>
      </w:r>
    </w:p>
    <w:p>
      <w:pPr>
        <w:pStyle w:val="ListParagraph"/>
        <w:numPr>
          <w:ilvl w:val="0"/>
          <w:numId w:val="8"/>
        </w:numPr>
        <w:tabs>
          <w:tab w:pos="1820" w:val="left" w:leader="none"/>
        </w:tabs>
        <w:spacing w:line="240" w:lineRule="auto" w:before="61" w:after="0"/>
        <w:ind w:left="1819" w:right="248" w:hanging="583"/>
        <w:jc w:val="both"/>
        <w:rPr>
          <w:sz w:val="22"/>
        </w:rPr>
      </w:pPr>
      <w:r>
        <w:rPr>
          <w:sz w:val="22"/>
        </w:rPr>
        <w:t>ZÁKAZNÍK se zavazuje na úhradu odebrané, ale dosud nevyfakturované elektřiny, platit ve prospěch PRE zálohy. V případě Odběrného místa připojeného na hladině nn se zálohy hradí na základě rozpisu záloh oznámených ZÁKAZNÍKOVI na faktuře.      V případě Odběrného místa připojeného na hladině vn nebo vvn budou zálohy zaplaceny na základě zálohové faktury. Uhrazená záloha bude odečtena v následujícím vyúčtování za příslušné fakturační období. Rozdíl mezi zálohou a skutečnou cenou dodávky bude vyrovnán na základě vystavené faktury s tím, že doplatek bude ZÁKAZNÍK hradit v předepsaném termínu splatnosti a případné přeplatky vrátí PRE ZÁKAZNÍKOVI (příkazem k úhradě) na jeho</w:t>
      </w:r>
      <w:r>
        <w:rPr>
          <w:spacing w:val="-8"/>
          <w:sz w:val="22"/>
        </w:rPr>
        <w:t> </w:t>
      </w:r>
      <w:r>
        <w:rPr>
          <w:sz w:val="22"/>
        </w:rPr>
        <w:t>účet.</w:t>
      </w:r>
    </w:p>
    <w:p>
      <w:pPr>
        <w:pStyle w:val="ListParagraph"/>
        <w:numPr>
          <w:ilvl w:val="0"/>
          <w:numId w:val="8"/>
        </w:numPr>
        <w:tabs>
          <w:tab w:pos="1820" w:val="left" w:leader="none"/>
        </w:tabs>
        <w:spacing w:line="242" w:lineRule="auto" w:before="59" w:after="0"/>
        <w:ind w:left="1819" w:right="260" w:hanging="583"/>
        <w:jc w:val="both"/>
        <w:rPr>
          <w:sz w:val="22"/>
        </w:rPr>
      </w:pPr>
      <w:r>
        <w:rPr>
          <w:sz w:val="22"/>
        </w:rPr>
        <w:t>Výše zálohy je stanovena podle skutečně dosažených hodnot dodávek elektřiny ve srovnatelném období loňského roku. Frekvence záloh je</w:t>
      </w:r>
      <w:r>
        <w:rPr>
          <w:spacing w:val="-7"/>
          <w:sz w:val="22"/>
        </w:rPr>
        <w:t> </w:t>
      </w:r>
      <w:r>
        <w:rPr>
          <w:sz w:val="22"/>
        </w:rPr>
        <w:t>měsíční.</w:t>
      </w:r>
    </w:p>
    <w:p>
      <w:pPr>
        <w:pStyle w:val="ListParagraph"/>
        <w:numPr>
          <w:ilvl w:val="0"/>
          <w:numId w:val="8"/>
        </w:numPr>
        <w:tabs>
          <w:tab w:pos="1820" w:val="left" w:leader="none"/>
        </w:tabs>
        <w:spacing w:line="240" w:lineRule="auto" w:before="56" w:after="0"/>
        <w:ind w:left="1819" w:right="253" w:hanging="583"/>
        <w:jc w:val="both"/>
        <w:rPr>
          <w:sz w:val="22"/>
        </w:rPr>
      </w:pPr>
      <w:r>
        <w:rPr>
          <w:sz w:val="22"/>
        </w:rPr>
        <w:t>Zálohové faktury hrazené měsíčně budou splatné 8. kalendářní den měsíce, za který se záloha poskytuje. Zálohové faktury hrazené dekádně budou splatné 5., 15. a 25. kalendářního dne měsíce, za který se záloha poskytuje. Pro ZÁKAZNÍKA, který je plátce DPH, bude k zaplacené záloze vystaven daňový doklad podle příslušného právního</w:t>
      </w:r>
      <w:r>
        <w:rPr>
          <w:spacing w:val="-1"/>
          <w:sz w:val="22"/>
        </w:rPr>
        <w:t> </w:t>
      </w:r>
      <w:r>
        <w:rPr>
          <w:sz w:val="22"/>
        </w:rPr>
        <w:t>předpisu.</w:t>
      </w:r>
    </w:p>
    <w:p>
      <w:pPr>
        <w:pStyle w:val="BodyText"/>
        <w:rPr>
          <w:sz w:val="24"/>
        </w:rPr>
      </w:pPr>
    </w:p>
    <w:p>
      <w:pPr>
        <w:pStyle w:val="BodyText"/>
        <w:rPr>
          <w:sz w:val="24"/>
        </w:rPr>
      </w:pPr>
    </w:p>
    <w:p>
      <w:pPr>
        <w:pStyle w:val="BodyText"/>
        <w:spacing w:before="2"/>
        <w:rPr>
          <w:sz w:val="21"/>
        </w:rPr>
      </w:pPr>
    </w:p>
    <w:p>
      <w:pPr>
        <w:pStyle w:val="Heading1"/>
        <w:numPr>
          <w:ilvl w:val="0"/>
          <w:numId w:val="1"/>
        </w:numPr>
        <w:tabs>
          <w:tab w:pos="3306" w:val="left" w:leader="none"/>
        </w:tabs>
        <w:spacing w:line="240" w:lineRule="auto" w:before="0" w:after="0"/>
        <w:ind w:left="3305" w:right="0" w:hanging="360"/>
        <w:jc w:val="left"/>
      </w:pPr>
      <w:r>
        <w:rPr/>
        <w:t>REGULACE ODBĚRU</w:t>
      </w:r>
      <w:r>
        <w:rPr>
          <w:spacing w:val="-27"/>
        </w:rPr>
        <w:t> </w:t>
      </w:r>
      <w:r>
        <w:rPr/>
        <w:t>ELEKTŘINY</w:t>
      </w:r>
    </w:p>
    <w:p>
      <w:pPr>
        <w:pStyle w:val="ListParagraph"/>
        <w:numPr>
          <w:ilvl w:val="0"/>
          <w:numId w:val="9"/>
        </w:numPr>
        <w:tabs>
          <w:tab w:pos="1820" w:val="left" w:leader="none"/>
        </w:tabs>
        <w:spacing w:line="240" w:lineRule="auto" w:before="59" w:after="0"/>
        <w:ind w:left="1819" w:right="252" w:hanging="583"/>
        <w:jc w:val="both"/>
        <w:rPr>
          <w:sz w:val="22"/>
        </w:rPr>
      </w:pPr>
      <w:r>
        <w:rPr>
          <w:sz w:val="22"/>
        </w:rPr>
        <w:t>Pro řešení důsledků živelných událostí, opatření státních orgánů za nouzového stavu, stavu ohrožení státu nebo válečného stavu, havárií nebo kumulace poruch na zařízeních pro výrobu, přenos a distribuci komodity, smogové situace, teroristického činu, nevyrovnané bilance elektrizační soustavy nebo její části a dalších vymezených událostí, je provozovatel přenosové soustavy nebo příslušný PDS v souladu se Zákonem oprávněn vyhlašovat v hromadných sdělovacích prostředcích stav</w:t>
      </w:r>
      <w:r>
        <w:rPr>
          <w:spacing w:val="-10"/>
          <w:sz w:val="22"/>
        </w:rPr>
        <w:t> </w:t>
      </w:r>
      <w:r>
        <w:rPr>
          <w:sz w:val="22"/>
        </w:rPr>
        <w:t>nouze.</w:t>
      </w:r>
    </w:p>
    <w:p>
      <w:pPr>
        <w:pStyle w:val="ListParagraph"/>
        <w:numPr>
          <w:ilvl w:val="0"/>
          <w:numId w:val="9"/>
        </w:numPr>
        <w:tabs>
          <w:tab w:pos="1820" w:val="left" w:leader="none"/>
        </w:tabs>
        <w:spacing w:line="240" w:lineRule="auto" w:before="59" w:after="0"/>
        <w:ind w:left="1819" w:right="251" w:hanging="583"/>
        <w:jc w:val="both"/>
        <w:rPr>
          <w:sz w:val="22"/>
        </w:rPr>
      </w:pPr>
      <w:r>
        <w:rPr>
          <w:sz w:val="22"/>
        </w:rPr>
        <w:t>Pro omezení spotřeby elektřiny při předcházení stavu nouze a při stavu nouze se ZÁKAZNÍK zařazuje do regulačních stupňů. Regulační stupeň ZÁKAZNÍKA je uveden ve Smlouvě nebo ve smlouvě o distribuci. ZÁKAZNÍK je povinen řídit se pokyny PRE a/nebo příslušného PDS či provozovatele přenosové soustavy k regulaci odběru elektřiny a strpět jejich oprávnění k provedení omezení nebo přerušení dodávek elektřiny v případech stavu nouze a předcházení stavu</w:t>
      </w:r>
      <w:r>
        <w:rPr>
          <w:spacing w:val="-8"/>
          <w:sz w:val="22"/>
        </w:rPr>
        <w:t> </w:t>
      </w:r>
      <w:r>
        <w:rPr>
          <w:sz w:val="22"/>
        </w:rPr>
        <w:t>nouze.</w:t>
      </w:r>
    </w:p>
    <w:p>
      <w:pPr>
        <w:pStyle w:val="BodyText"/>
        <w:rPr>
          <w:sz w:val="24"/>
        </w:rPr>
      </w:pPr>
    </w:p>
    <w:p>
      <w:pPr>
        <w:pStyle w:val="BodyText"/>
        <w:rPr>
          <w:sz w:val="24"/>
        </w:rPr>
      </w:pPr>
    </w:p>
    <w:p>
      <w:pPr>
        <w:pStyle w:val="BodyText"/>
        <w:spacing w:before="2"/>
        <w:rPr>
          <w:sz w:val="21"/>
        </w:rPr>
      </w:pPr>
    </w:p>
    <w:p>
      <w:pPr>
        <w:pStyle w:val="Heading1"/>
        <w:numPr>
          <w:ilvl w:val="0"/>
          <w:numId w:val="1"/>
        </w:numPr>
        <w:tabs>
          <w:tab w:pos="3666" w:val="left" w:leader="none"/>
        </w:tabs>
        <w:spacing w:line="240" w:lineRule="auto" w:before="0" w:after="0"/>
        <w:ind w:left="3665" w:right="0" w:hanging="360"/>
        <w:jc w:val="left"/>
      </w:pPr>
      <w:r>
        <w:rPr/>
        <w:t>DOPROVODNÉ</w:t>
      </w:r>
      <w:r>
        <w:rPr>
          <w:spacing w:val="-15"/>
        </w:rPr>
        <w:t> </w:t>
      </w:r>
      <w:r>
        <w:rPr/>
        <w:t>PRODUKTY</w:t>
      </w:r>
    </w:p>
    <w:p>
      <w:pPr>
        <w:pStyle w:val="BodyText"/>
        <w:spacing w:before="58"/>
        <w:ind w:left="1224"/>
      </w:pPr>
      <w:r>
        <w:rPr/>
        <w:t>PRE poskytne ZÁKAZNÍKOVI v rámci dodávky elektřiny ZÁKAZNÍKOVI následující doprovodné produkty:</w:t>
      </w:r>
    </w:p>
    <w:p>
      <w:pPr>
        <w:pStyle w:val="ListParagraph"/>
        <w:numPr>
          <w:ilvl w:val="1"/>
          <w:numId w:val="9"/>
        </w:numPr>
        <w:tabs>
          <w:tab w:pos="2791" w:val="left" w:leader="none"/>
          <w:tab w:pos="2792" w:val="left" w:leader="none"/>
        </w:tabs>
        <w:spacing w:line="240" w:lineRule="auto" w:before="61" w:after="0"/>
        <w:ind w:left="2791" w:right="0" w:hanging="715"/>
        <w:jc w:val="left"/>
        <w:rPr>
          <w:sz w:val="22"/>
        </w:rPr>
      </w:pPr>
      <w:r>
        <w:rPr>
          <w:sz w:val="22"/>
        </w:rPr>
        <w:t>Individuální obsluha a informační</w:t>
      </w:r>
      <w:r>
        <w:rPr>
          <w:spacing w:val="-1"/>
          <w:sz w:val="22"/>
        </w:rPr>
        <w:t> </w:t>
      </w:r>
      <w:r>
        <w:rPr>
          <w:sz w:val="22"/>
        </w:rPr>
        <w:t>servis</w:t>
      </w:r>
    </w:p>
    <w:p>
      <w:pPr>
        <w:pStyle w:val="ListParagraph"/>
        <w:numPr>
          <w:ilvl w:val="2"/>
          <w:numId w:val="9"/>
        </w:numPr>
        <w:tabs>
          <w:tab w:pos="3352" w:val="left" w:leader="none"/>
        </w:tabs>
        <w:spacing w:line="240" w:lineRule="auto" w:before="59" w:after="0"/>
        <w:ind w:left="3351" w:right="251" w:hanging="425"/>
        <w:jc w:val="both"/>
        <w:rPr>
          <w:sz w:val="22"/>
        </w:rPr>
      </w:pPr>
      <w:r>
        <w:rPr>
          <w:sz w:val="22"/>
        </w:rPr>
        <w:t>PRE bude obsluhovat ZÁKAZNÍKA individuálním obchodním zástupcem. Jméno obchodního zástupce je uvedeno v následující Tabulce. V případě změny obchodního zástupce pro ZÁKAZNÍKA se PRE zavazuje písemně informovat ZÁKAZNÍKA o této</w:t>
      </w:r>
      <w:r>
        <w:rPr>
          <w:spacing w:val="-8"/>
          <w:sz w:val="22"/>
        </w:rPr>
        <w:t> </w:t>
      </w:r>
      <w:r>
        <w:rPr>
          <w:sz w:val="22"/>
        </w:rPr>
        <w:t>změně.</w:t>
      </w:r>
    </w:p>
    <w:p>
      <w:pPr>
        <w:spacing w:after="0" w:line="240" w:lineRule="auto"/>
        <w:jc w:val="both"/>
        <w:rPr>
          <w:sz w:val="22"/>
        </w:rPr>
        <w:sectPr>
          <w:pgSz w:w="11910" w:h="16840"/>
          <w:pgMar w:top="1320" w:bottom="280" w:left="900" w:right="1162"/>
        </w:sectPr>
      </w:pPr>
    </w:p>
    <w:p>
      <w:pPr>
        <w:spacing w:before="72"/>
        <w:ind w:left="874" w:right="0" w:firstLine="0"/>
        <w:jc w:val="left"/>
        <w:rPr>
          <w:rFonts w:ascii="Arial" w:hAnsi="Arial"/>
          <w:b/>
          <w:sz w:val="20"/>
        </w:rPr>
      </w:pPr>
      <w:r>
        <w:rPr>
          <w:rFonts w:ascii="Arial" w:hAnsi="Arial"/>
          <w:b/>
          <w:sz w:val="20"/>
        </w:rPr>
        <w:t>Tabulka – Specifikace kontaktního místa pro jednání s dodavatelem v Praze</w:t>
      </w:r>
    </w:p>
    <w:p>
      <w:pPr>
        <w:pStyle w:val="BodyText"/>
        <w:spacing w:before="11"/>
        <w:rPr>
          <w:rFonts w:ascii="Arial"/>
          <w:b/>
          <w:sz w:val="10"/>
        </w:rPr>
      </w:pPr>
    </w:p>
    <w:tbl>
      <w:tblPr>
        <w:tblW w:w="0" w:type="auto"/>
        <w:jc w:val="left"/>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77"/>
        <w:gridCol w:w="5902"/>
      </w:tblGrid>
      <w:tr>
        <w:trPr>
          <w:trHeight w:val="400" w:hRule="atLeast"/>
        </w:trPr>
        <w:tc>
          <w:tcPr>
            <w:tcW w:w="8679" w:type="dxa"/>
            <w:gridSpan w:val="2"/>
          </w:tcPr>
          <w:p>
            <w:pPr>
              <w:pStyle w:val="TableParagraph"/>
              <w:spacing w:before="84"/>
              <w:ind w:left="55"/>
              <w:jc w:val="left"/>
              <w:rPr>
                <w:rFonts w:ascii="Times New Roman" w:hAnsi="Times New Roman"/>
                <w:b/>
                <w:sz w:val="20"/>
              </w:rPr>
            </w:pPr>
            <w:r>
              <w:rPr>
                <w:rFonts w:ascii="Times New Roman" w:hAnsi="Times New Roman"/>
                <w:b/>
                <w:sz w:val="20"/>
              </w:rPr>
              <w:t>Pražská energetika, a. s.</w:t>
            </w:r>
          </w:p>
        </w:tc>
      </w:tr>
      <w:tr>
        <w:trPr>
          <w:trHeight w:val="417" w:hRule="atLeast"/>
        </w:trPr>
        <w:tc>
          <w:tcPr>
            <w:tcW w:w="2777" w:type="dxa"/>
          </w:tcPr>
          <w:p>
            <w:pPr>
              <w:pStyle w:val="TableParagraph"/>
              <w:spacing w:before="91"/>
              <w:ind w:left="55"/>
              <w:jc w:val="left"/>
              <w:rPr>
                <w:rFonts w:ascii="Times New Roman" w:hAnsi="Times New Roman"/>
                <w:b/>
                <w:sz w:val="20"/>
              </w:rPr>
            </w:pPr>
            <w:r>
              <w:rPr>
                <w:rFonts w:ascii="Times New Roman" w:hAnsi="Times New Roman"/>
                <w:b/>
                <w:sz w:val="20"/>
              </w:rPr>
              <w:t>Kontaktní osoba</w:t>
            </w:r>
          </w:p>
        </w:tc>
        <w:tc>
          <w:tcPr>
            <w:tcW w:w="5902" w:type="dxa"/>
          </w:tcPr>
          <w:p>
            <w:pPr>
              <w:pStyle w:val="TableParagraph"/>
              <w:spacing w:before="86"/>
              <w:ind w:left="55"/>
              <w:jc w:val="left"/>
              <w:rPr>
                <w:rFonts w:ascii="Times New Roman"/>
                <w:sz w:val="20"/>
              </w:rPr>
            </w:pPr>
            <w:r>
              <w:rPr>
                <w:rFonts w:ascii="Times New Roman"/>
                <w:sz w:val="20"/>
              </w:rPr>
              <w:t>xxx</w:t>
            </w:r>
          </w:p>
        </w:tc>
      </w:tr>
      <w:tr>
        <w:trPr>
          <w:trHeight w:val="414" w:hRule="atLeast"/>
        </w:trPr>
        <w:tc>
          <w:tcPr>
            <w:tcW w:w="2777" w:type="dxa"/>
          </w:tcPr>
          <w:p>
            <w:pPr>
              <w:pStyle w:val="TableParagraph"/>
              <w:spacing w:before="89"/>
              <w:ind w:left="55"/>
              <w:jc w:val="left"/>
              <w:rPr>
                <w:rFonts w:ascii="Times New Roman" w:hAnsi="Times New Roman"/>
                <w:b/>
                <w:sz w:val="20"/>
              </w:rPr>
            </w:pPr>
            <w:r>
              <w:rPr>
                <w:rFonts w:ascii="Times New Roman" w:hAnsi="Times New Roman"/>
                <w:b/>
                <w:sz w:val="20"/>
              </w:rPr>
              <w:t>Číslo telefonu</w:t>
            </w:r>
          </w:p>
        </w:tc>
        <w:tc>
          <w:tcPr>
            <w:tcW w:w="5902" w:type="dxa"/>
          </w:tcPr>
          <w:p>
            <w:pPr>
              <w:pStyle w:val="TableParagraph"/>
              <w:spacing w:before="84"/>
              <w:ind w:left="55"/>
              <w:jc w:val="left"/>
              <w:rPr>
                <w:rFonts w:ascii="Times New Roman"/>
                <w:sz w:val="20"/>
              </w:rPr>
            </w:pPr>
            <w:r>
              <w:rPr>
                <w:rFonts w:ascii="Times New Roman"/>
                <w:sz w:val="20"/>
              </w:rPr>
              <w:t>xxx</w:t>
            </w:r>
          </w:p>
        </w:tc>
      </w:tr>
      <w:tr>
        <w:trPr>
          <w:trHeight w:val="414" w:hRule="atLeast"/>
        </w:trPr>
        <w:tc>
          <w:tcPr>
            <w:tcW w:w="2777" w:type="dxa"/>
          </w:tcPr>
          <w:p>
            <w:pPr>
              <w:pStyle w:val="TableParagraph"/>
              <w:spacing w:before="89"/>
              <w:ind w:left="55"/>
              <w:jc w:val="left"/>
              <w:rPr>
                <w:rFonts w:ascii="Times New Roman" w:hAnsi="Times New Roman"/>
                <w:b/>
                <w:sz w:val="20"/>
              </w:rPr>
            </w:pPr>
            <w:r>
              <w:rPr>
                <w:rFonts w:ascii="Times New Roman" w:hAnsi="Times New Roman"/>
                <w:b/>
                <w:sz w:val="20"/>
              </w:rPr>
              <w:t>Číslo mobilního telefonu</w:t>
            </w:r>
          </w:p>
        </w:tc>
        <w:tc>
          <w:tcPr>
            <w:tcW w:w="5902" w:type="dxa"/>
          </w:tcPr>
          <w:p>
            <w:pPr>
              <w:pStyle w:val="TableParagraph"/>
              <w:spacing w:before="84"/>
              <w:ind w:left="55"/>
              <w:jc w:val="left"/>
              <w:rPr>
                <w:rFonts w:ascii="Times New Roman"/>
                <w:sz w:val="20"/>
              </w:rPr>
            </w:pPr>
            <w:r>
              <w:rPr>
                <w:rFonts w:ascii="Times New Roman"/>
                <w:sz w:val="20"/>
              </w:rPr>
              <w:t>xxx</w:t>
            </w:r>
          </w:p>
        </w:tc>
      </w:tr>
      <w:tr>
        <w:trPr>
          <w:trHeight w:val="414" w:hRule="atLeast"/>
        </w:trPr>
        <w:tc>
          <w:tcPr>
            <w:tcW w:w="2777" w:type="dxa"/>
          </w:tcPr>
          <w:p>
            <w:pPr>
              <w:pStyle w:val="TableParagraph"/>
              <w:spacing w:before="89"/>
              <w:ind w:left="55"/>
              <w:jc w:val="left"/>
              <w:rPr>
                <w:rFonts w:ascii="Times New Roman"/>
                <w:b/>
                <w:sz w:val="20"/>
              </w:rPr>
            </w:pPr>
            <w:r>
              <w:rPr>
                <w:rFonts w:ascii="Times New Roman"/>
                <w:b/>
                <w:sz w:val="20"/>
              </w:rPr>
              <w:t>E-mail</w:t>
            </w:r>
          </w:p>
        </w:tc>
        <w:tc>
          <w:tcPr>
            <w:tcW w:w="5902" w:type="dxa"/>
          </w:tcPr>
          <w:p>
            <w:pPr>
              <w:pStyle w:val="TableParagraph"/>
              <w:spacing w:before="84"/>
              <w:ind w:left="55"/>
              <w:jc w:val="left"/>
              <w:rPr>
                <w:rFonts w:ascii="Times New Roman"/>
                <w:sz w:val="20"/>
              </w:rPr>
            </w:pPr>
            <w:r>
              <w:rPr>
                <w:rFonts w:ascii="Times New Roman"/>
                <w:sz w:val="20"/>
              </w:rPr>
              <w:t>xxx</w:t>
            </w:r>
          </w:p>
        </w:tc>
      </w:tr>
    </w:tbl>
    <w:p>
      <w:pPr>
        <w:pStyle w:val="BodyText"/>
        <w:rPr>
          <w:rFonts w:ascii="Arial"/>
          <w:b/>
        </w:rPr>
      </w:pPr>
    </w:p>
    <w:p>
      <w:pPr>
        <w:pStyle w:val="BodyText"/>
        <w:rPr>
          <w:rFonts w:ascii="Arial"/>
          <w:b/>
        </w:rPr>
      </w:pPr>
    </w:p>
    <w:p>
      <w:pPr>
        <w:pStyle w:val="ListParagraph"/>
        <w:numPr>
          <w:ilvl w:val="1"/>
          <w:numId w:val="9"/>
        </w:numPr>
        <w:tabs>
          <w:tab w:pos="2791" w:val="left" w:leader="none"/>
          <w:tab w:pos="2792" w:val="left" w:leader="none"/>
        </w:tabs>
        <w:spacing w:line="240" w:lineRule="auto" w:before="174" w:after="0"/>
        <w:ind w:left="2791" w:right="0" w:hanging="715"/>
        <w:jc w:val="left"/>
        <w:rPr>
          <w:sz w:val="22"/>
        </w:rPr>
      </w:pPr>
      <w:r>
        <w:rPr>
          <w:sz w:val="22"/>
        </w:rPr>
        <w:t>Součinnost při rozvoji energetického zařízení</w:t>
      </w:r>
      <w:r>
        <w:rPr>
          <w:spacing w:val="0"/>
          <w:sz w:val="22"/>
        </w:rPr>
        <w:t> </w:t>
      </w:r>
      <w:r>
        <w:rPr>
          <w:sz w:val="22"/>
        </w:rPr>
        <w:t>ZÁKAZNÍKA</w:t>
      </w:r>
    </w:p>
    <w:p>
      <w:pPr>
        <w:pStyle w:val="ListParagraph"/>
        <w:numPr>
          <w:ilvl w:val="2"/>
          <w:numId w:val="9"/>
        </w:numPr>
        <w:tabs>
          <w:tab w:pos="3352" w:val="left" w:leader="none"/>
        </w:tabs>
        <w:spacing w:line="240" w:lineRule="auto" w:before="60" w:after="0"/>
        <w:ind w:left="3351" w:right="255" w:hanging="425"/>
        <w:jc w:val="both"/>
        <w:rPr>
          <w:sz w:val="22"/>
        </w:rPr>
      </w:pPr>
      <w:r>
        <w:rPr>
          <w:sz w:val="22"/>
        </w:rPr>
        <w:t>PRE poskytne na vyžádání součinnost a odbornou pomoc při řešení požadavků souvisejících s úpravami technických parametrů napojení ZÁKAZNÍKA   na   distribuční    síť    příslušného    PDS    zejména  v souvislosti s uvažovaným rozvojem stávajícího energetického zařízení ZÁKAZNÍKA.</w:t>
      </w:r>
    </w:p>
    <w:p>
      <w:pPr>
        <w:pStyle w:val="BodyText"/>
        <w:rPr>
          <w:sz w:val="24"/>
        </w:rPr>
      </w:pPr>
    </w:p>
    <w:p>
      <w:pPr>
        <w:pStyle w:val="BodyText"/>
        <w:rPr>
          <w:sz w:val="24"/>
        </w:rPr>
      </w:pPr>
    </w:p>
    <w:p>
      <w:pPr>
        <w:pStyle w:val="BodyText"/>
        <w:spacing w:before="2"/>
        <w:rPr>
          <w:sz w:val="21"/>
        </w:rPr>
      </w:pPr>
    </w:p>
    <w:p>
      <w:pPr>
        <w:pStyle w:val="Heading1"/>
        <w:numPr>
          <w:ilvl w:val="0"/>
          <w:numId w:val="1"/>
        </w:numPr>
        <w:tabs>
          <w:tab w:pos="3399" w:val="left" w:leader="none"/>
          <w:tab w:pos="3400" w:val="left" w:leader="none"/>
        </w:tabs>
        <w:spacing w:line="240" w:lineRule="auto" w:before="0" w:after="0"/>
        <w:ind w:left="3399" w:right="0" w:hanging="721"/>
        <w:jc w:val="left"/>
      </w:pPr>
      <w:r>
        <w:rPr/>
        <w:t>PŘERUŠENÍ A OMEZENÍ</w:t>
      </w:r>
      <w:r>
        <w:rPr>
          <w:spacing w:val="-46"/>
        </w:rPr>
        <w:t> </w:t>
      </w:r>
      <w:r>
        <w:rPr/>
        <w:t>DODÁVEK</w:t>
      </w:r>
    </w:p>
    <w:p>
      <w:pPr>
        <w:pStyle w:val="ListParagraph"/>
        <w:numPr>
          <w:ilvl w:val="0"/>
          <w:numId w:val="10"/>
        </w:numPr>
        <w:tabs>
          <w:tab w:pos="1820" w:val="left" w:leader="none"/>
        </w:tabs>
        <w:spacing w:line="240" w:lineRule="auto" w:before="58" w:after="0"/>
        <w:ind w:left="1819" w:right="254" w:hanging="583"/>
        <w:jc w:val="both"/>
        <w:rPr>
          <w:sz w:val="22"/>
        </w:rPr>
      </w:pPr>
      <w:r>
        <w:rPr>
          <w:sz w:val="22"/>
        </w:rPr>
        <w:t>PRE má právo přerušit nebo ukončit dodávku elektřiny v Odběrném místě dle této Smlouvy v případech stanovených Zákonem, zejména při neoprávněném</w:t>
      </w:r>
      <w:r>
        <w:rPr>
          <w:spacing w:val="-6"/>
          <w:sz w:val="22"/>
        </w:rPr>
        <w:t> </w:t>
      </w:r>
      <w:r>
        <w:rPr>
          <w:sz w:val="22"/>
        </w:rPr>
        <w:t>odběru.</w:t>
      </w:r>
    </w:p>
    <w:p>
      <w:pPr>
        <w:pStyle w:val="ListParagraph"/>
        <w:numPr>
          <w:ilvl w:val="0"/>
          <w:numId w:val="10"/>
        </w:numPr>
        <w:tabs>
          <w:tab w:pos="1820" w:val="left" w:leader="none"/>
        </w:tabs>
        <w:spacing w:line="240" w:lineRule="auto" w:before="59" w:after="0"/>
        <w:ind w:left="1819" w:right="250" w:hanging="583"/>
        <w:jc w:val="both"/>
        <w:rPr>
          <w:sz w:val="22"/>
        </w:rPr>
      </w:pPr>
      <w:r>
        <w:rPr>
          <w:sz w:val="22"/>
        </w:rPr>
        <w:t>Neoprávněný odběr je definován příslušnými ustanoveními Zákona. V případě neoprávněného odběru je ZÁKAZNÍK povinen uhradit PRE vzniklou</w:t>
      </w:r>
      <w:r>
        <w:rPr>
          <w:spacing w:val="-9"/>
          <w:sz w:val="22"/>
        </w:rPr>
        <w:t> </w:t>
      </w:r>
      <w:r>
        <w:rPr>
          <w:sz w:val="22"/>
        </w:rPr>
        <w:t>škodu.</w:t>
      </w:r>
    </w:p>
    <w:p>
      <w:pPr>
        <w:pStyle w:val="BodyText"/>
        <w:rPr>
          <w:sz w:val="24"/>
        </w:rPr>
      </w:pPr>
    </w:p>
    <w:p>
      <w:pPr>
        <w:pStyle w:val="Heading1"/>
        <w:numPr>
          <w:ilvl w:val="0"/>
          <w:numId w:val="1"/>
        </w:numPr>
        <w:tabs>
          <w:tab w:pos="4906" w:val="left" w:leader="none"/>
          <w:tab w:pos="4907" w:val="left" w:leader="none"/>
        </w:tabs>
        <w:spacing w:line="240" w:lineRule="auto" w:before="206" w:after="0"/>
        <w:ind w:left="4906" w:right="0" w:hanging="720"/>
        <w:jc w:val="left"/>
      </w:pPr>
      <w:r>
        <w:rPr/>
        <w:t>SANKCE</w:t>
      </w:r>
    </w:p>
    <w:p>
      <w:pPr>
        <w:pStyle w:val="ListParagraph"/>
        <w:numPr>
          <w:ilvl w:val="0"/>
          <w:numId w:val="11"/>
        </w:numPr>
        <w:tabs>
          <w:tab w:pos="1820" w:val="left" w:leader="none"/>
        </w:tabs>
        <w:spacing w:line="240" w:lineRule="auto" w:before="58" w:after="0"/>
        <w:ind w:left="1819" w:right="250" w:hanging="583"/>
        <w:jc w:val="both"/>
        <w:rPr>
          <w:sz w:val="22"/>
        </w:rPr>
      </w:pPr>
      <w:r>
        <w:rPr>
          <w:sz w:val="22"/>
        </w:rPr>
        <w:t>Pro případ prodlení s úhradou splatné pohledávky (peněžitého dluhu) se ZÁKAZNÍK zavazuje  zaplatit  PRE smluvní  pokutu, a  to při  prodlení  do 15 dnů ve  výši  0,05 %  z nezaplacené částky za každý den prodlení a při prodlení delším než 15 dnů ve výši  0,1 % z nezaplacené částky za každý den</w:t>
      </w:r>
      <w:r>
        <w:rPr>
          <w:spacing w:val="-9"/>
          <w:sz w:val="22"/>
        </w:rPr>
        <w:t> </w:t>
      </w:r>
      <w:r>
        <w:rPr>
          <w:sz w:val="22"/>
        </w:rPr>
        <w:t>prodlení.</w:t>
      </w:r>
    </w:p>
    <w:p>
      <w:pPr>
        <w:pStyle w:val="ListParagraph"/>
        <w:numPr>
          <w:ilvl w:val="0"/>
          <w:numId w:val="11"/>
        </w:numPr>
        <w:tabs>
          <w:tab w:pos="1820" w:val="left" w:leader="none"/>
        </w:tabs>
        <w:spacing w:line="240" w:lineRule="auto" w:before="61" w:after="0"/>
        <w:ind w:left="1819" w:right="256" w:hanging="583"/>
        <w:jc w:val="both"/>
        <w:rPr>
          <w:sz w:val="22"/>
        </w:rPr>
      </w:pPr>
      <w:r>
        <w:rPr>
          <w:sz w:val="22"/>
        </w:rPr>
        <w:t>Tuto smluvní pokutu fakturuje PRE za dosud neprovedené platby průběžně, zpravidla jednou měsíčně se splatností 14 dnů od data vystavení</w:t>
      </w:r>
      <w:r>
        <w:rPr>
          <w:spacing w:val="-8"/>
          <w:sz w:val="22"/>
        </w:rPr>
        <w:t> </w:t>
      </w:r>
      <w:r>
        <w:rPr>
          <w:sz w:val="22"/>
        </w:rPr>
        <w:t>faktury.</w:t>
      </w:r>
    </w:p>
    <w:p>
      <w:pPr>
        <w:pStyle w:val="ListParagraph"/>
        <w:numPr>
          <w:ilvl w:val="0"/>
          <w:numId w:val="11"/>
        </w:numPr>
        <w:tabs>
          <w:tab w:pos="1820" w:val="left" w:leader="none"/>
        </w:tabs>
        <w:spacing w:line="240" w:lineRule="auto" w:before="61" w:after="0"/>
        <w:ind w:left="1819" w:right="258" w:hanging="583"/>
        <w:jc w:val="both"/>
        <w:rPr>
          <w:sz w:val="22"/>
        </w:rPr>
      </w:pPr>
      <w:r>
        <w:rPr>
          <w:sz w:val="22"/>
        </w:rPr>
        <w:t>Připadne-li poslední den splatnosti na sobotu nebo na den pracovního klidu, posouvá se splatnost faktury na nejbližší následující pracovní</w:t>
      </w:r>
      <w:r>
        <w:rPr>
          <w:spacing w:val="-3"/>
          <w:sz w:val="22"/>
        </w:rPr>
        <w:t> </w:t>
      </w:r>
      <w:r>
        <w:rPr>
          <w:sz w:val="22"/>
        </w:rPr>
        <w:t>den.</w:t>
      </w:r>
    </w:p>
    <w:p>
      <w:pPr>
        <w:pStyle w:val="ListParagraph"/>
        <w:numPr>
          <w:ilvl w:val="0"/>
          <w:numId w:val="11"/>
        </w:numPr>
        <w:tabs>
          <w:tab w:pos="1820" w:val="left" w:leader="none"/>
        </w:tabs>
        <w:spacing w:line="240" w:lineRule="auto" w:before="61" w:after="0"/>
        <w:ind w:left="1819" w:right="258" w:hanging="583"/>
        <w:jc w:val="both"/>
        <w:rPr>
          <w:sz w:val="22"/>
        </w:rPr>
      </w:pPr>
      <w:r>
        <w:rPr>
          <w:sz w:val="22"/>
        </w:rPr>
        <w:t>Strany se dohodly, že závazek zaplatit smluvní pokutu nevylučuje právo na náhradu škody ve výši, v jaké převyšuje smluvní</w:t>
      </w:r>
      <w:r>
        <w:rPr>
          <w:spacing w:val="-6"/>
          <w:sz w:val="22"/>
        </w:rPr>
        <w:t> </w:t>
      </w:r>
      <w:r>
        <w:rPr>
          <w:sz w:val="22"/>
        </w:rPr>
        <w:t>pokutu.</w:t>
      </w:r>
    </w:p>
    <w:p>
      <w:pPr>
        <w:pStyle w:val="BodyText"/>
        <w:rPr>
          <w:sz w:val="24"/>
        </w:rPr>
      </w:pPr>
    </w:p>
    <w:p>
      <w:pPr>
        <w:pStyle w:val="Heading1"/>
        <w:numPr>
          <w:ilvl w:val="0"/>
          <w:numId w:val="1"/>
        </w:numPr>
        <w:tabs>
          <w:tab w:pos="4352" w:val="left" w:leader="none"/>
          <w:tab w:pos="4353" w:val="left" w:leader="none"/>
        </w:tabs>
        <w:spacing w:line="240" w:lineRule="auto" w:before="204" w:after="0"/>
        <w:ind w:left="4352" w:right="0" w:hanging="720"/>
        <w:jc w:val="left"/>
      </w:pPr>
      <w:r>
        <w:rPr/>
        <w:t>NÁHRADA</w:t>
      </w:r>
      <w:r>
        <w:rPr>
          <w:spacing w:val="-20"/>
        </w:rPr>
        <w:t> </w:t>
      </w:r>
      <w:r>
        <w:rPr/>
        <w:t>ŠKODY</w:t>
      </w:r>
    </w:p>
    <w:p>
      <w:pPr>
        <w:pStyle w:val="ListParagraph"/>
        <w:numPr>
          <w:ilvl w:val="0"/>
          <w:numId w:val="12"/>
        </w:numPr>
        <w:tabs>
          <w:tab w:pos="1820" w:val="left" w:leader="none"/>
        </w:tabs>
        <w:spacing w:line="240" w:lineRule="auto" w:before="58" w:after="0"/>
        <w:ind w:left="1819" w:right="253" w:hanging="583"/>
        <w:jc w:val="both"/>
        <w:rPr>
          <w:sz w:val="22"/>
        </w:rPr>
      </w:pPr>
      <w:r>
        <w:rPr>
          <w:sz w:val="22"/>
        </w:rPr>
        <w:t>Každá smluvní strana odpovídá za škodu způsobenou druhé smluvní straně porušením povinnosti vyplývající ze</w:t>
      </w:r>
      <w:r>
        <w:rPr>
          <w:spacing w:val="0"/>
          <w:sz w:val="22"/>
        </w:rPr>
        <w:t> </w:t>
      </w:r>
      <w:r>
        <w:rPr>
          <w:sz w:val="22"/>
        </w:rPr>
        <w:t>Smlouvy.</w:t>
      </w:r>
    </w:p>
    <w:p>
      <w:pPr>
        <w:pStyle w:val="ListParagraph"/>
        <w:numPr>
          <w:ilvl w:val="0"/>
          <w:numId w:val="12"/>
        </w:numPr>
        <w:tabs>
          <w:tab w:pos="1820" w:val="left" w:leader="none"/>
        </w:tabs>
        <w:spacing w:line="240" w:lineRule="auto" w:before="60" w:after="0"/>
        <w:ind w:left="1819" w:right="253" w:hanging="583"/>
        <w:jc w:val="both"/>
        <w:rPr>
          <w:sz w:val="22"/>
        </w:rPr>
      </w:pPr>
      <w:r>
        <w:rPr>
          <w:sz w:val="22"/>
        </w:rPr>
        <w:t>Povinnosti k náhradě se škůdce zprostí, prokáže-li, že mu ve splnění povinnosti ze Smlouvy dočasně nebo trvale zabránila mimořádná překážka vzniklá nezávisle na jeho vůli, jako například válka, teroristické akce, blokáda, sabotáž, požár velkého rozsahu, živelná pohroma, rozhodnutí státních orgánů s dopadem na plnění dle této Smlouvy či stavy nouze dle Zákona. Překážka vzniklá ze škůdcových osobních poměrů nebo vzniklá v době, kdy byl škůdce s plněním smluvené povinnosti v prodlení, ho však povinnosti k náhradě</w:t>
      </w:r>
      <w:r>
        <w:rPr>
          <w:spacing w:val="-3"/>
          <w:sz w:val="22"/>
        </w:rPr>
        <w:t> </w:t>
      </w:r>
      <w:r>
        <w:rPr>
          <w:sz w:val="22"/>
        </w:rPr>
        <w:t>nezprostí.</w:t>
      </w:r>
    </w:p>
    <w:p>
      <w:pPr>
        <w:spacing w:after="0" w:line="240" w:lineRule="auto"/>
        <w:jc w:val="both"/>
        <w:rPr>
          <w:sz w:val="22"/>
        </w:rPr>
        <w:sectPr>
          <w:pgSz w:w="11910" w:h="16840"/>
          <w:pgMar w:top="1320" w:bottom="280" w:left="900" w:right="1162"/>
        </w:sectPr>
      </w:pPr>
    </w:p>
    <w:p>
      <w:pPr>
        <w:pStyle w:val="ListParagraph"/>
        <w:numPr>
          <w:ilvl w:val="0"/>
          <w:numId w:val="12"/>
        </w:numPr>
        <w:tabs>
          <w:tab w:pos="1820" w:val="left" w:leader="none"/>
        </w:tabs>
        <w:spacing w:line="240" w:lineRule="auto" w:before="71" w:after="0"/>
        <w:ind w:left="1819" w:right="254" w:hanging="583"/>
        <w:jc w:val="both"/>
        <w:rPr>
          <w:sz w:val="22"/>
        </w:rPr>
      </w:pPr>
      <w:r>
        <w:rPr>
          <w:sz w:val="22"/>
        </w:rPr>
        <w:t>O vzniku situace překážky a jejích bližších okolnostech uvědomí smluvní strana neprodleně druhou stranu. Stejným způsobem bude druhá smluvní strana informována o pominutí překážky, a pokud bude požádána, předloží důvěryhodný důkaz o existenci této</w:t>
      </w:r>
      <w:r>
        <w:rPr>
          <w:spacing w:val="-1"/>
          <w:sz w:val="22"/>
        </w:rPr>
        <w:t> </w:t>
      </w:r>
      <w:r>
        <w:rPr>
          <w:sz w:val="22"/>
        </w:rPr>
        <w:t>skutečnosti.</w:t>
      </w:r>
    </w:p>
    <w:p>
      <w:pPr>
        <w:pStyle w:val="BodyText"/>
        <w:rPr>
          <w:sz w:val="24"/>
        </w:rPr>
      </w:pPr>
    </w:p>
    <w:p>
      <w:pPr>
        <w:pStyle w:val="BodyText"/>
        <w:rPr>
          <w:sz w:val="24"/>
        </w:rPr>
      </w:pPr>
    </w:p>
    <w:p>
      <w:pPr>
        <w:pStyle w:val="BodyText"/>
        <w:spacing w:before="2"/>
        <w:rPr>
          <w:sz w:val="21"/>
        </w:rPr>
      </w:pPr>
    </w:p>
    <w:p>
      <w:pPr>
        <w:pStyle w:val="Heading1"/>
        <w:numPr>
          <w:ilvl w:val="0"/>
          <w:numId w:val="1"/>
        </w:numPr>
        <w:tabs>
          <w:tab w:pos="4071" w:val="left" w:leader="none"/>
          <w:tab w:pos="4072" w:val="left" w:leader="none"/>
        </w:tabs>
        <w:spacing w:line="240" w:lineRule="auto" w:before="0" w:after="0"/>
        <w:ind w:left="4071" w:right="0" w:hanging="720"/>
        <w:jc w:val="left"/>
      </w:pPr>
      <w:r>
        <w:rPr/>
        <w:t>DŮVĚRNÉ</w:t>
      </w:r>
      <w:r>
        <w:rPr>
          <w:spacing w:val="-14"/>
        </w:rPr>
        <w:t> </w:t>
      </w:r>
      <w:r>
        <w:rPr/>
        <w:t>INFORMACE</w:t>
      </w:r>
    </w:p>
    <w:p>
      <w:pPr>
        <w:pStyle w:val="ListParagraph"/>
        <w:numPr>
          <w:ilvl w:val="0"/>
          <w:numId w:val="13"/>
        </w:numPr>
        <w:tabs>
          <w:tab w:pos="1820" w:val="left" w:leader="none"/>
        </w:tabs>
        <w:spacing w:line="240" w:lineRule="auto" w:before="58" w:after="0"/>
        <w:ind w:left="1819" w:right="255" w:hanging="583"/>
        <w:jc w:val="both"/>
        <w:rPr>
          <w:sz w:val="22"/>
        </w:rPr>
      </w:pPr>
      <w:r>
        <w:rPr>
          <w:sz w:val="22"/>
        </w:rPr>
        <w:t>Smluvní strany se vzájemně zavazují, že budou chránit a utajovat před třetími osobami důvěrné informace. Žádná ze smluvních stran bez písemného souhlasu druhé smluvní strany neposkytne informace o obsahu této Smlouvy třetí straně, a to ani v dílčím rozsahu, s výjimkou veřejně publikovaných informací. Stejným způsobem budou strany chránit důvěrné informace a skutečnosti tvořící obchodní tajemství třetí osoby, které byly touto třetí stranou některé ze smluvních stran poskytnuty se svolením jejich dalšího užití. Závazek ochrany utajení trvá po celou dobu trvání skutečností tvořících obchodní tajemství nebo trvání zájmu chránění důvěrných</w:t>
      </w:r>
      <w:r>
        <w:rPr>
          <w:spacing w:val="0"/>
          <w:sz w:val="22"/>
        </w:rPr>
        <w:t> </w:t>
      </w:r>
      <w:r>
        <w:rPr>
          <w:sz w:val="22"/>
        </w:rPr>
        <w:t>informací.</w:t>
      </w:r>
    </w:p>
    <w:p>
      <w:pPr>
        <w:pStyle w:val="ListParagraph"/>
        <w:numPr>
          <w:ilvl w:val="0"/>
          <w:numId w:val="13"/>
        </w:numPr>
        <w:tabs>
          <w:tab w:pos="1820" w:val="left" w:leader="none"/>
        </w:tabs>
        <w:spacing w:line="240" w:lineRule="auto" w:before="62" w:after="0"/>
        <w:ind w:left="1819" w:right="259" w:hanging="583"/>
        <w:jc w:val="both"/>
        <w:rPr>
          <w:sz w:val="22"/>
        </w:rPr>
      </w:pPr>
      <w:r>
        <w:rPr>
          <w:sz w:val="22"/>
        </w:rPr>
        <w:t>Tento článek se nevztahuje na informační povinnost vyplývající z obecně platných předpisů.</w:t>
      </w:r>
    </w:p>
    <w:p>
      <w:pPr>
        <w:pStyle w:val="BodyText"/>
        <w:rPr>
          <w:sz w:val="24"/>
        </w:rPr>
      </w:pPr>
    </w:p>
    <w:p>
      <w:pPr>
        <w:pStyle w:val="Heading1"/>
        <w:numPr>
          <w:ilvl w:val="0"/>
          <w:numId w:val="1"/>
        </w:numPr>
        <w:tabs>
          <w:tab w:pos="3372" w:val="left" w:leader="none"/>
          <w:tab w:pos="3373" w:val="left" w:leader="none"/>
        </w:tabs>
        <w:spacing w:line="240" w:lineRule="auto" w:before="207" w:after="0"/>
        <w:ind w:left="3372" w:right="0" w:hanging="708"/>
        <w:jc w:val="left"/>
      </w:pPr>
      <w:r>
        <w:rPr/>
        <w:t>PLATNOST A ÚČINNOST</w:t>
      </w:r>
      <w:r>
        <w:rPr>
          <w:spacing w:val="-43"/>
        </w:rPr>
        <w:t> </w:t>
      </w:r>
      <w:r>
        <w:rPr/>
        <w:t>SMLOUVY</w:t>
      </w:r>
    </w:p>
    <w:p>
      <w:pPr>
        <w:pStyle w:val="ListParagraph"/>
        <w:numPr>
          <w:ilvl w:val="0"/>
          <w:numId w:val="14"/>
        </w:numPr>
        <w:tabs>
          <w:tab w:pos="1820" w:val="left" w:leader="none"/>
        </w:tabs>
        <w:spacing w:line="240" w:lineRule="auto" w:before="58" w:after="0"/>
        <w:ind w:left="1819" w:right="250" w:hanging="583"/>
        <w:jc w:val="both"/>
        <w:rPr>
          <w:sz w:val="22"/>
        </w:rPr>
      </w:pPr>
      <w:r>
        <w:rPr>
          <w:sz w:val="22"/>
        </w:rPr>
        <w:t>Tato Smlouva nabývá platnosti okamžikem jejího podpisu poslední stranou a účinnosti od 1.1.2016.</w:t>
      </w:r>
    </w:p>
    <w:p>
      <w:pPr>
        <w:pStyle w:val="ListParagraph"/>
        <w:numPr>
          <w:ilvl w:val="0"/>
          <w:numId w:val="14"/>
        </w:numPr>
        <w:tabs>
          <w:tab w:pos="1819" w:val="left" w:leader="none"/>
          <w:tab w:pos="1820" w:val="left" w:leader="none"/>
        </w:tabs>
        <w:spacing w:line="240" w:lineRule="auto" w:before="58" w:after="0"/>
        <w:ind w:left="1819" w:right="0" w:hanging="583"/>
        <w:jc w:val="left"/>
        <w:rPr>
          <w:sz w:val="22"/>
        </w:rPr>
      </w:pPr>
      <w:r>
        <w:rPr>
          <w:sz w:val="22"/>
        </w:rPr>
        <w:t>Tato Smlouva se uzavírá na dobu určitou do</w:t>
      </w:r>
      <w:r>
        <w:rPr>
          <w:spacing w:val="-4"/>
          <w:sz w:val="22"/>
        </w:rPr>
        <w:t> </w:t>
      </w:r>
      <w:r>
        <w:rPr>
          <w:sz w:val="22"/>
        </w:rPr>
        <w:t>31.12.2016.</w:t>
      </w:r>
    </w:p>
    <w:p>
      <w:pPr>
        <w:pStyle w:val="ListParagraph"/>
        <w:numPr>
          <w:ilvl w:val="0"/>
          <w:numId w:val="14"/>
        </w:numPr>
        <w:tabs>
          <w:tab w:pos="1820" w:val="left" w:leader="none"/>
        </w:tabs>
        <w:spacing w:line="240" w:lineRule="auto" w:before="61" w:after="0"/>
        <w:ind w:left="1819" w:right="253" w:hanging="583"/>
        <w:jc w:val="both"/>
        <w:rPr>
          <w:sz w:val="22"/>
        </w:rPr>
      </w:pPr>
      <w:r>
        <w:rPr>
          <w:sz w:val="22"/>
        </w:rPr>
        <w:t>Smluvní strany jsou oprávněny od této Smlouvy odstoupit v případech stanovených právními předpisy a dále v případech podstatného porušení povinností vyplývajících     z této</w:t>
      </w:r>
      <w:r>
        <w:rPr>
          <w:spacing w:val="-3"/>
          <w:sz w:val="22"/>
        </w:rPr>
        <w:t> </w:t>
      </w:r>
      <w:r>
        <w:rPr>
          <w:sz w:val="22"/>
        </w:rPr>
        <w:t>Smlouvy.</w:t>
      </w:r>
    </w:p>
    <w:p>
      <w:pPr>
        <w:pStyle w:val="ListParagraph"/>
        <w:numPr>
          <w:ilvl w:val="0"/>
          <w:numId w:val="14"/>
        </w:numPr>
        <w:tabs>
          <w:tab w:pos="1820" w:val="left" w:leader="none"/>
        </w:tabs>
        <w:spacing w:line="240" w:lineRule="auto" w:before="60" w:after="0"/>
        <w:ind w:left="1819" w:right="253" w:hanging="583"/>
        <w:jc w:val="both"/>
        <w:rPr>
          <w:sz w:val="22"/>
        </w:rPr>
      </w:pPr>
      <w:r>
        <w:rPr>
          <w:sz w:val="22"/>
        </w:rPr>
        <w:t>Za podstatné porušení povinností vyplývajících z této Smlouvy ze strany ZÁKAZNÍKA se považuje</w:t>
      </w:r>
      <w:r>
        <w:rPr>
          <w:spacing w:val="-1"/>
          <w:sz w:val="22"/>
        </w:rPr>
        <w:t> </w:t>
      </w:r>
      <w:r>
        <w:rPr>
          <w:sz w:val="22"/>
        </w:rPr>
        <w:t>zejména:</w:t>
      </w:r>
    </w:p>
    <w:p>
      <w:pPr>
        <w:pStyle w:val="ListParagraph"/>
        <w:numPr>
          <w:ilvl w:val="1"/>
          <w:numId w:val="14"/>
        </w:numPr>
        <w:tabs>
          <w:tab w:pos="2671" w:val="left" w:leader="none"/>
          <w:tab w:pos="2672" w:val="left" w:leader="none"/>
        </w:tabs>
        <w:spacing w:line="240" w:lineRule="auto" w:before="61" w:after="0"/>
        <w:ind w:left="2671" w:right="0" w:hanging="715"/>
        <w:jc w:val="left"/>
        <w:rPr>
          <w:sz w:val="22"/>
        </w:rPr>
      </w:pPr>
      <w:r>
        <w:rPr>
          <w:sz w:val="22"/>
        </w:rPr>
        <w:t>nezaplacení vyúčtování dodávek elektřiny dle Smlouvy ani po</w:t>
      </w:r>
      <w:r>
        <w:rPr>
          <w:spacing w:val="-8"/>
          <w:sz w:val="22"/>
        </w:rPr>
        <w:t> </w:t>
      </w:r>
      <w:r>
        <w:rPr>
          <w:sz w:val="22"/>
        </w:rPr>
        <w:t>upozornění;</w:t>
      </w:r>
    </w:p>
    <w:p>
      <w:pPr>
        <w:pStyle w:val="ListParagraph"/>
        <w:numPr>
          <w:ilvl w:val="1"/>
          <w:numId w:val="14"/>
        </w:numPr>
        <w:tabs>
          <w:tab w:pos="2671" w:val="left" w:leader="none"/>
          <w:tab w:pos="2672" w:val="left" w:leader="none"/>
        </w:tabs>
        <w:spacing w:line="240" w:lineRule="auto" w:before="59" w:after="0"/>
        <w:ind w:left="2671" w:right="0" w:hanging="715"/>
        <w:jc w:val="left"/>
        <w:rPr>
          <w:sz w:val="22"/>
        </w:rPr>
      </w:pPr>
      <w:r>
        <w:rPr>
          <w:sz w:val="22"/>
        </w:rPr>
        <w:t>zahájení insolvenčního řízení na</w:t>
      </w:r>
      <w:r>
        <w:rPr>
          <w:spacing w:val="-2"/>
          <w:sz w:val="22"/>
        </w:rPr>
        <w:t> </w:t>
      </w:r>
      <w:r>
        <w:rPr>
          <w:sz w:val="22"/>
        </w:rPr>
        <w:t>ZÁKAZNÍKA.</w:t>
      </w:r>
    </w:p>
    <w:p>
      <w:pPr>
        <w:pStyle w:val="ListParagraph"/>
        <w:numPr>
          <w:ilvl w:val="0"/>
          <w:numId w:val="14"/>
        </w:numPr>
        <w:tabs>
          <w:tab w:pos="1819" w:val="left" w:leader="none"/>
          <w:tab w:pos="1820" w:val="left" w:leader="none"/>
        </w:tabs>
        <w:spacing w:line="240" w:lineRule="auto" w:before="61" w:after="0"/>
        <w:ind w:left="1819" w:right="0" w:hanging="583"/>
        <w:jc w:val="left"/>
        <w:rPr>
          <w:sz w:val="22"/>
        </w:rPr>
      </w:pPr>
      <w:r>
        <w:rPr>
          <w:sz w:val="22"/>
        </w:rPr>
        <w:t>Za podstatné porušení povinností ze Smlouvy ze strany PRE se považuje</w:t>
      </w:r>
      <w:r>
        <w:rPr>
          <w:spacing w:val="-10"/>
          <w:sz w:val="22"/>
        </w:rPr>
        <w:t> </w:t>
      </w:r>
      <w:r>
        <w:rPr>
          <w:sz w:val="22"/>
        </w:rPr>
        <w:t>zejména:</w:t>
      </w:r>
    </w:p>
    <w:p>
      <w:pPr>
        <w:pStyle w:val="ListParagraph"/>
        <w:numPr>
          <w:ilvl w:val="1"/>
          <w:numId w:val="14"/>
        </w:numPr>
        <w:tabs>
          <w:tab w:pos="2671" w:val="left" w:leader="none"/>
          <w:tab w:pos="2672" w:val="left" w:leader="none"/>
        </w:tabs>
        <w:spacing w:line="240" w:lineRule="auto" w:before="59" w:after="0"/>
        <w:ind w:left="2671" w:right="0" w:hanging="715"/>
        <w:jc w:val="left"/>
        <w:rPr>
          <w:sz w:val="22"/>
        </w:rPr>
      </w:pPr>
      <w:r>
        <w:rPr>
          <w:sz w:val="22"/>
        </w:rPr>
        <w:t>bezdůvodné přerušení nebo omezení dodávek</w:t>
      </w:r>
      <w:r>
        <w:rPr>
          <w:spacing w:val="-3"/>
          <w:sz w:val="22"/>
        </w:rPr>
        <w:t> </w:t>
      </w:r>
      <w:r>
        <w:rPr>
          <w:sz w:val="22"/>
        </w:rPr>
        <w:t>elektřiny,</w:t>
      </w:r>
    </w:p>
    <w:p>
      <w:pPr>
        <w:pStyle w:val="ListParagraph"/>
        <w:numPr>
          <w:ilvl w:val="1"/>
          <w:numId w:val="14"/>
        </w:numPr>
        <w:tabs>
          <w:tab w:pos="2671" w:val="left" w:leader="none"/>
          <w:tab w:pos="2672" w:val="left" w:leader="none"/>
        </w:tabs>
        <w:spacing w:line="240" w:lineRule="auto" w:before="59" w:after="0"/>
        <w:ind w:left="2671" w:right="0" w:hanging="715"/>
        <w:jc w:val="left"/>
        <w:rPr>
          <w:sz w:val="22"/>
        </w:rPr>
      </w:pPr>
      <w:r>
        <w:rPr>
          <w:sz w:val="22"/>
        </w:rPr>
        <w:t>bezdůvodné nezajištění distribuce elektřiny,</w:t>
      </w:r>
    </w:p>
    <w:p>
      <w:pPr>
        <w:pStyle w:val="ListParagraph"/>
        <w:numPr>
          <w:ilvl w:val="1"/>
          <w:numId w:val="14"/>
        </w:numPr>
        <w:tabs>
          <w:tab w:pos="2671" w:val="left" w:leader="none"/>
          <w:tab w:pos="2672" w:val="left" w:leader="none"/>
        </w:tabs>
        <w:spacing w:line="240" w:lineRule="auto" w:before="62" w:after="0"/>
        <w:ind w:left="2671" w:right="0" w:hanging="715"/>
        <w:jc w:val="left"/>
        <w:rPr>
          <w:sz w:val="22"/>
        </w:rPr>
      </w:pPr>
      <w:r>
        <w:rPr>
          <w:sz w:val="22"/>
        </w:rPr>
        <w:t>zahájení insolvenčního řízení na</w:t>
      </w:r>
      <w:r>
        <w:rPr>
          <w:spacing w:val="-2"/>
          <w:sz w:val="22"/>
        </w:rPr>
        <w:t> </w:t>
      </w:r>
      <w:r>
        <w:rPr>
          <w:sz w:val="22"/>
        </w:rPr>
        <w:t>PRE.</w:t>
      </w:r>
    </w:p>
    <w:p>
      <w:pPr>
        <w:pStyle w:val="ListParagraph"/>
        <w:numPr>
          <w:ilvl w:val="0"/>
          <w:numId w:val="14"/>
        </w:numPr>
        <w:tabs>
          <w:tab w:pos="1794" w:val="left" w:leader="none"/>
        </w:tabs>
        <w:spacing w:line="240" w:lineRule="auto" w:before="59" w:after="0"/>
        <w:ind w:left="1819" w:right="249" w:hanging="583"/>
        <w:jc w:val="both"/>
        <w:rPr>
          <w:sz w:val="22"/>
        </w:rPr>
      </w:pPr>
      <w:r>
        <w:rPr>
          <w:sz w:val="22"/>
        </w:rPr>
        <w:t>Pokud ZÁKAZNÍK pozbude oprávnění užívat Odběrné místo na základě vlastnického nebo jiného práva a řádně neukončí smluvní vztah, pak účinnost Smlouvy končí odebráním měřicího zařízení nebo zahájením dodávky elektřiny na základě smlouvy uzavřené PRE s novým zákazníkem pro toto Odběrné místo nebo změnou dodavatele. Nároky PRE vůči ZÁKAZNÍKOVI vyplývající z případné náhrady škody zůstávají zachovány.</w:t>
      </w:r>
    </w:p>
    <w:p>
      <w:pPr>
        <w:pStyle w:val="ListParagraph"/>
        <w:numPr>
          <w:ilvl w:val="0"/>
          <w:numId w:val="14"/>
        </w:numPr>
        <w:tabs>
          <w:tab w:pos="1819" w:val="left" w:leader="none"/>
          <w:tab w:pos="1820" w:val="left" w:leader="none"/>
        </w:tabs>
        <w:spacing w:line="240" w:lineRule="auto" w:before="61" w:after="0"/>
        <w:ind w:left="1819" w:right="0" w:hanging="583"/>
        <w:jc w:val="left"/>
        <w:rPr>
          <w:sz w:val="22"/>
        </w:rPr>
      </w:pPr>
      <w:r>
        <w:rPr>
          <w:sz w:val="22"/>
        </w:rPr>
        <w:t>Smlouva může být ukončena dohodou smluvních</w:t>
      </w:r>
      <w:r>
        <w:rPr>
          <w:spacing w:val="0"/>
          <w:sz w:val="22"/>
        </w:rPr>
        <w:t> </w:t>
      </w:r>
      <w:r>
        <w:rPr>
          <w:sz w:val="22"/>
        </w:rPr>
        <w:t>stran.</w:t>
      </w:r>
    </w:p>
    <w:p>
      <w:pPr>
        <w:pStyle w:val="BodyText"/>
        <w:rPr>
          <w:sz w:val="24"/>
        </w:rPr>
      </w:pPr>
    </w:p>
    <w:p>
      <w:pPr>
        <w:pStyle w:val="Heading1"/>
        <w:numPr>
          <w:ilvl w:val="0"/>
          <w:numId w:val="1"/>
        </w:numPr>
        <w:tabs>
          <w:tab w:pos="4588" w:val="left" w:leader="none"/>
        </w:tabs>
        <w:spacing w:line="240" w:lineRule="auto" w:before="205" w:after="0"/>
        <w:ind w:left="4587" w:right="0" w:hanging="708"/>
        <w:jc w:val="left"/>
      </w:pPr>
      <w:r>
        <w:rPr/>
        <w:t>DORUČOVÁNÍ</w:t>
      </w:r>
    </w:p>
    <w:p>
      <w:pPr>
        <w:pStyle w:val="ListParagraph"/>
        <w:numPr>
          <w:ilvl w:val="0"/>
          <w:numId w:val="15"/>
        </w:numPr>
        <w:tabs>
          <w:tab w:pos="1820" w:val="left" w:leader="none"/>
        </w:tabs>
        <w:spacing w:line="240" w:lineRule="auto" w:before="59" w:after="0"/>
        <w:ind w:left="1819" w:right="250" w:hanging="583"/>
        <w:jc w:val="both"/>
        <w:rPr>
          <w:sz w:val="22"/>
        </w:rPr>
      </w:pPr>
      <w:r>
        <w:rPr>
          <w:sz w:val="22"/>
        </w:rPr>
        <w:t>Veškeré informace a oznámení dle Smlouvy musí mít písemnou podobu, není-li sjednáno jinak ve Smlouvě. Pro písemný styk lze použít způsob odeslání dopisu, osobní předání písemnosti, faxovou zprávu, elektronickou zprávu se zpětným potvrzením doručení nebo zprávu SMS na kontaktní číslo mobilního telefonu. Kontaktní adresy, telefony či faxová čísla a e-mailové adresy jsou uvedeny ve</w:t>
      </w:r>
      <w:r>
        <w:rPr>
          <w:spacing w:val="-14"/>
          <w:sz w:val="22"/>
        </w:rPr>
        <w:t> </w:t>
      </w:r>
      <w:r>
        <w:rPr>
          <w:sz w:val="22"/>
        </w:rPr>
        <w:t>Smlouvě.</w:t>
      </w:r>
    </w:p>
    <w:p>
      <w:pPr>
        <w:spacing w:after="0" w:line="240" w:lineRule="auto"/>
        <w:jc w:val="both"/>
        <w:rPr>
          <w:sz w:val="22"/>
        </w:rPr>
        <w:sectPr>
          <w:pgSz w:w="11910" w:h="16840"/>
          <w:pgMar w:top="1320" w:bottom="280" w:left="900" w:right="1162"/>
        </w:sectPr>
      </w:pPr>
    </w:p>
    <w:p>
      <w:pPr>
        <w:pStyle w:val="ListParagraph"/>
        <w:numPr>
          <w:ilvl w:val="0"/>
          <w:numId w:val="15"/>
        </w:numPr>
        <w:tabs>
          <w:tab w:pos="1820" w:val="left" w:leader="none"/>
        </w:tabs>
        <w:spacing w:line="240" w:lineRule="auto" w:before="71" w:after="0"/>
        <w:ind w:left="1819" w:right="257" w:hanging="583"/>
        <w:jc w:val="both"/>
        <w:rPr>
          <w:sz w:val="22"/>
        </w:rPr>
      </w:pPr>
      <w:r>
        <w:rPr>
          <w:sz w:val="22"/>
        </w:rPr>
        <w:t>Pokud se smluvní strany nedohodnou jinak, musí být písemnosti týkající se vzniku, změn a zániku smluvního vztahu podle Smlouvy doručeny držitelem poštovní licence dopisem na adresu druhé strany, která je odesílateli známa podle Smlouvy (kontaktní adresa). Pokud není ve Smlouvě uvedena kontaktní adresa, doručují se tyto písemnosti na adresu sídla/bydliště uvedené ve Smlouvě. Při zachování stejných zásad je možné i osobní doručení písemností s písemným potvrzením</w:t>
      </w:r>
      <w:r>
        <w:rPr>
          <w:spacing w:val="-9"/>
          <w:sz w:val="22"/>
        </w:rPr>
        <w:t> </w:t>
      </w:r>
      <w:r>
        <w:rPr>
          <w:sz w:val="22"/>
        </w:rPr>
        <w:t>převzetí.</w:t>
      </w:r>
    </w:p>
    <w:p>
      <w:pPr>
        <w:pStyle w:val="ListParagraph"/>
        <w:numPr>
          <w:ilvl w:val="0"/>
          <w:numId w:val="15"/>
        </w:numPr>
        <w:tabs>
          <w:tab w:pos="1820" w:val="left" w:leader="none"/>
        </w:tabs>
        <w:spacing w:line="240" w:lineRule="auto" w:before="62" w:after="0"/>
        <w:ind w:left="1819" w:right="252" w:hanging="583"/>
        <w:jc w:val="both"/>
        <w:rPr>
          <w:sz w:val="22"/>
        </w:rPr>
      </w:pPr>
      <w:r>
        <w:rPr>
          <w:sz w:val="22"/>
        </w:rPr>
        <w:t>Povinnost odesílatele doručit písemnost adresátovi je splněna, jakmile adresát písemnost převezme nebo jakmile byla držitelem poštovní licence vrácena odesílateli jako nedoručitelná a adresát svým jednáním nebo opomenutím doručení zmařil (např. neoznámení změny kontaktní adresy druhé smluvní straně). Účinky doručení nastanou i tehdy, jestliže adresát přijetí písemnosti</w:t>
      </w:r>
      <w:r>
        <w:rPr>
          <w:spacing w:val="-7"/>
          <w:sz w:val="22"/>
        </w:rPr>
        <w:t> </w:t>
      </w:r>
      <w:r>
        <w:rPr>
          <w:sz w:val="22"/>
        </w:rPr>
        <w:t>odmítne.</w:t>
      </w:r>
    </w:p>
    <w:p>
      <w:pPr>
        <w:pStyle w:val="ListParagraph"/>
        <w:numPr>
          <w:ilvl w:val="0"/>
          <w:numId w:val="15"/>
        </w:numPr>
        <w:tabs>
          <w:tab w:pos="1819" w:val="left" w:leader="none"/>
          <w:tab w:pos="1820" w:val="left" w:leader="none"/>
        </w:tabs>
        <w:spacing w:line="240" w:lineRule="auto" w:before="60" w:after="0"/>
        <w:ind w:left="1819" w:right="0" w:hanging="583"/>
        <w:jc w:val="left"/>
        <w:rPr>
          <w:sz w:val="22"/>
        </w:rPr>
      </w:pPr>
      <w:r>
        <w:rPr>
          <w:sz w:val="22"/>
        </w:rPr>
        <w:t>Kontaktní údaje</w:t>
      </w:r>
      <w:r>
        <w:rPr>
          <w:spacing w:val="-3"/>
          <w:sz w:val="22"/>
        </w:rPr>
        <w:t> </w:t>
      </w:r>
      <w:r>
        <w:rPr>
          <w:sz w:val="22"/>
        </w:rPr>
        <w:t>ZÁKAZNÍKA:</w:t>
      </w:r>
    </w:p>
    <w:p>
      <w:pPr>
        <w:pStyle w:val="BodyText"/>
        <w:spacing w:before="9"/>
        <w:rPr>
          <w:sz w:val="27"/>
        </w:rPr>
      </w:pPr>
    </w:p>
    <w:tbl>
      <w:tblPr>
        <w:tblW w:w="0" w:type="auto"/>
        <w:jc w:val="left"/>
        <w:tblInd w:w="1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81"/>
        <w:gridCol w:w="5061"/>
      </w:tblGrid>
      <w:tr>
        <w:trPr>
          <w:trHeight w:val="405" w:hRule="atLeast"/>
        </w:trPr>
        <w:tc>
          <w:tcPr>
            <w:tcW w:w="2881" w:type="dxa"/>
          </w:tcPr>
          <w:p>
            <w:pPr>
              <w:pStyle w:val="TableParagraph"/>
              <w:spacing w:before="85"/>
              <w:ind w:left="55"/>
              <w:jc w:val="left"/>
              <w:rPr>
                <w:rFonts w:ascii="Times New Roman" w:hAnsi="Times New Roman"/>
                <w:b/>
                <w:sz w:val="20"/>
              </w:rPr>
            </w:pPr>
            <w:r>
              <w:rPr>
                <w:rFonts w:ascii="Times New Roman" w:hAnsi="Times New Roman"/>
                <w:b/>
                <w:sz w:val="20"/>
              </w:rPr>
              <w:t>Kontaktní osoba</w:t>
            </w:r>
          </w:p>
        </w:tc>
        <w:tc>
          <w:tcPr>
            <w:tcW w:w="5061" w:type="dxa"/>
          </w:tcPr>
          <w:p>
            <w:pPr>
              <w:pStyle w:val="TableParagraph"/>
              <w:spacing w:before="80"/>
              <w:ind w:left="54"/>
              <w:jc w:val="left"/>
              <w:rPr>
                <w:rFonts w:ascii="Times New Roman"/>
                <w:sz w:val="20"/>
              </w:rPr>
            </w:pPr>
            <w:r>
              <w:rPr>
                <w:rFonts w:ascii="Times New Roman"/>
                <w:sz w:val="20"/>
              </w:rPr>
              <w:t>xxx</w:t>
            </w:r>
          </w:p>
        </w:tc>
      </w:tr>
      <w:tr>
        <w:trPr>
          <w:trHeight w:val="405" w:hRule="atLeast"/>
        </w:trPr>
        <w:tc>
          <w:tcPr>
            <w:tcW w:w="2881" w:type="dxa"/>
          </w:tcPr>
          <w:p>
            <w:pPr>
              <w:pStyle w:val="TableParagraph"/>
              <w:spacing w:before="84"/>
              <w:ind w:left="55"/>
              <w:jc w:val="left"/>
              <w:rPr>
                <w:rFonts w:ascii="Times New Roman" w:hAnsi="Times New Roman"/>
                <w:b/>
                <w:sz w:val="20"/>
              </w:rPr>
            </w:pPr>
            <w:r>
              <w:rPr>
                <w:rFonts w:ascii="Times New Roman" w:hAnsi="Times New Roman"/>
                <w:b/>
                <w:sz w:val="20"/>
              </w:rPr>
              <w:t>Číslo telefonu</w:t>
            </w:r>
          </w:p>
        </w:tc>
        <w:tc>
          <w:tcPr>
            <w:tcW w:w="5061" w:type="dxa"/>
          </w:tcPr>
          <w:p>
            <w:pPr>
              <w:pStyle w:val="TableParagraph"/>
              <w:spacing w:before="79"/>
              <w:ind w:left="54"/>
              <w:jc w:val="left"/>
              <w:rPr>
                <w:rFonts w:ascii="Times New Roman"/>
                <w:sz w:val="20"/>
              </w:rPr>
            </w:pPr>
            <w:r>
              <w:rPr>
                <w:rFonts w:ascii="Times New Roman"/>
                <w:sz w:val="20"/>
              </w:rPr>
              <w:t>xxx</w:t>
            </w:r>
          </w:p>
        </w:tc>
      </w:tr>
      <w:tr>
        <w:trPr>
          <w:trHeight w:val="402" w:hRule="atLeast"/>
        </w:trPr>
        <w:tc>
          <w:tcPr>
            <w:tcW w:w="2881" w:type="dxa"/>
          </w:tcPr>
          <w:p>
            <w:pPr>
              <w:pStyle w:val="TableParagraph"/>
              <w:spacing w:before="84"/>
              <w:ind w:left="55"/>
              <w:jc w:val="left"/>
              <w:rPr>
                <w:rFonts w:ascii="Times New Roman" w:hAnsi="Times New Roman"/>
                <w:b/>
                <w:sz w:val="20"/>
              </w:rPr>
            </w:pPr>
            <w:r>
              <w:rPr>
                <w:rFonts w:ascii="Times New Roman" w:hAnsi="Times New Roman"/>
                <w:b/>
                <w:sz w:val="20"/>
              </w:rPr>
              <w:t>Číslo mobilního telefonu</w:t>
            </w:r>
          </w:p>
        </w:tc>
        <w:tc>
          <w:tcPr>
            <w:tcW w:w="5061" w:type="dxa"/>
          </w:tcPr>
          <w:p>
            <w:pPr>
              <w:pStyle w:val="TableParagraph"/>
              <w:spacing w:before="79"/>
              <w:ind w:left="54"/>
              <w:jc w:val="left"/>
              <w:rPr>
                <w:rFonts w:ascii="Times New Roman"/>
                <w:sz w:val="20"/>
              </w:rPr>
            </w:pPr>
            <w:r>
              <w:rPr>
                <w:rFonts w:ascii="Times New Roman"/>
                <w:sz w:val="20"/>
              </w:rPr>
              <w:t>xxx</w:t>
            </w:r>
          </w:p>
        </w:tc>
      </w:tr>
      <w:tr>
        <w:trPr>
          <w:trHeight w:val="407" w:hRule="atLeast"/>
        </w:trPr>
        <w:tc>
          <w:tcPr>
            <w:tcW w:w="2881" w:type="dxa"/>
          </w:tcPr>
          <w:p>
            <w:pPr>
              <w:pStyle w:val="TableParagraph"/>
              <w:spacing w:before="86"/>
              <w:ind w:left="55"/>
              <w:jc w:val="left"/>
              <w:rPr>
                <w:rFonts w:ascii="Times New Roman"/>
                <w:b/>
                <w:sz w:val="20"/>
              </w:rPr>
            </w:pPr>
            <w:r>
              <w:rPr>
                <w:rFonts w:ascii="Times New Roman"/>
                <w:b/>
                <w:sz w:val="20"/>
              </w:rPr>
              <w:t>E-mail</w:t>
            </w:r>
          </w:p>
        </w:tc>
        <w:tc>
          <w:tcPr>
            <w:tcW w:w="5061" w:type="dxa"/>
          </w:tcPr>
          <w:p>
            <w:pPr>
              <w:pStyle w:val="TableParagraph"/>
              <w:spacing w:before="82"/>
              <w:ind w:left="54"/>
              <w:jc w:val="left"/>
              <w:rPr>
                <w:rFonts w:ascii="Times New Roman"/>
                <w:sz w:val="20"/>
              </w:rPr>
            </w:pPr>
            <w:r>
              <w:rPr>
                <w:rFonts w:ascii="Times New Roman"/>
                <w:sz w:val="20"/>
              </w:rPr>
              <w:t>xxx</w:t>
            </w:r>
          </w:p>
        </w:tc>
      </w:tr>
    </w:tbl>
    <w:p>
      <w:pPr>
        <w:pStyle w:val="BodyText"/>
        <w:rPr>
          <w:sz w:val="24"/>
        </w:rPr>
      </w:pPr>
    </w:p>
    <w:p>
      <w:pPr>
        <w:pStyle w:val="BodyText"/>
        <w:rPr>
          <w:sz w:val="24"/>
        </w:rPr>
      </w:pPr>
    </w:p>
    <w:p>
      <w:pPr>
        <w:pStyle w:val="BodyText"/>
        <w:rPr>
          <w:sz w:val="24"/>
        </w:rPr>
      </w:pPr>
    </w:p>
    <w:p>
      <w:pPr>
        <w:pStyle w:val="BodyText"/>
        <w:spacing w:before="1"/>
        <w:rPr>
          <w:sz w:val="35"/>
        </w:rPr>
      </w:pPr>
    </w:p>
    <w:p>
      <w:pPr>
        <w:pStyle w:val="Heading1"/>
        <w:numPr>
          <w:ilvl w:val="0"/>
          <w:numId w:val="1"/>
        </w:numPr>
        <w:tabs>
          <w:tab w:pos="3846" w:val="left" w:leader="none"/>
        </w:tabs>
        <w:spacing w:line="240" w:lineRule="auto" w:before="0" w:after="0"/>
        <w:ind w:left="3845" w:right="0" w:hanging="708"/>
        <w:jc w:val="left"/>
      </w:pPr>
      <w:r>
        <w:rPr/>
        <w:t>ZÁVĚREČNÁ</w:t>
      </w:r>
      <w:r>
        <w:rPr>
          <w:spacing w:val="-17"/>
        </w:rPr>
        <w:t> </w:t>
      </w:r>
      <w:r>
        <w:rPr/>
        <w:t>USTANOVENÍ</w:t>
      </w:r>
    </w:p>
    <w:p>
      <w:pPr>
        <w:pStyle w:val="ListParagraph"/>
        <w:numPr>
          <w:ilvl w:val="0"/>
          <w:numId w:val="16"/>
        </w:numPr>
        <w:tabs>
          <w:tab w:pos="1820" w:val="left" w:leader="none"/>
        </w:tabs>
        <w:spacing w:line="240" w:lineRule="auto" w:before="59" w:after="0"/>
        <w:ind w:left="1819" w:right="1098" w:hanging="583"/>
        <w:jc w:val="both"/>
        <w:rPr>
          <w:sz w:val="22"/>
        </w:rPr>
      </w:pPr>
      <w:r>
        <w:rPr>
          <w:sz w:val="22"/>
        </w:rPr>
        <w:t>Ve věcech výslovně neupravených touto Smlouvou se právní vztahy mezi PRE a ZÁKAZNÍKEM řídí zák. č.458/2000 Sb., energetický zákon,</w:t>
      </w:r>
      <w:r>
        <w:rPr>
          <w:spacing w:val="22"/>
          <w:sz w:val="22"/>
        </w:rPr>
        <w:t> </w:t>
      </w:r>
      <w:r>
        <w:rPr>
          <w:sz w:val="22"/>
        </w:rPr>
        <w:t>jeho prováděcími předpisy a příslušnými ustanoveními zák. č. 89/2012Sb., občanský</w:t>
      </w:r>
      <w:r>
        <w:rPr>
          <w:spacing w:val="-3"/>
          <w:sz w:val="22"/>
        </w:rPr>
        <w:t> </w:t>
      </w:r>
      <w:r>
        <w:rPr>
          <w:sz w:val="22"/>
        </w:rPr>
        <w:t>zákoník.</w:t>
      </w:r>
    </w:p>
    <w:p>
      <w:pPr>
        <w:pStyle w:val="ListParagraph"/>
        <w:numPr>
          <w:ilvl w:val="0"/>
          <w:numId w:val="16"/>
        </w:numPr>
        <w:tabs>
          <w:tab w:pos="1820" w:val="left" w:leader="none"/>
        </w:tabs>
        <w:spacing w:line="240" w:lineRule="auto" w:before="58" w:after="0"/>
        <w:ind w:left="1819" w:right="1103" w:hanging="583"/>
        <w:jc w:val="both"/>
        <w:rPr>
          <w:sz w:val="22"/>
        </w:rPr>
      </w:pPr>
      <w:r>
        <w:rPr>
          <w:sz w:val="22"/>
        </w:rPr>
        <w:t>V případě, že je tato Smlouva uzavřena pro více Odběrných míst, platí jednotlivá ujednání této Smlouvy, pokud není stanoveno jinak, zvlášť pro každé Odběrné</w:t>
      </w:r>
      <w:r>
        <w:rPr>
          <w:spacing w:val="-1"/>
          <w:sz w:val="22"/>
        </w:rPr>
        <w:t> </w:t>
      </w:r>
      <w:r>
        <w:rPr>
          <w:sz w:val="22"/>
        </w:rPr>
        <w:t>místo.</w:t>
      </w:r>
    </w:p>
    <w:p>
      <w:pPr>
        <w:pStyle w:val="ListParagraph"/>
        <w:numPr>
          <w:ilvl w:val="0"/>
          <w:numId w:val="16"/>
        </w:numPr>
        <w:tabs>
          <w:tab w:pos="1820" w:val="left" w:leader="none"/>
        </w:tabs>
        <w:spacing w:line="240" w:lineRule="auto" w:before="59" w:after="0"/>
        <w:ind w:left="1819" w:right="1099" w:hanging="583"/>
        <w:jc w:val="both"/>
        <w:rPr>
          <w:sz w:val="22"/>
        </w:rPr>
      </w:pPr>
      <w:r>
        <w:rPr>
          <w:sz w:val="22"/>
        </w:rPr>
        <w:t>Smluvní strany se zavazují, že budou usilovat o to, aby případné spory vyplývající ze Smlouvy byly vyřešeny smírem. Za tímto účelem se zavazují poskytnout nezbytnou součinnost a postupovat tak, aby situace byla objektivně  vysvětlena.  Kterákoliv   strana   je   oprávněna   předložit   spor   k rozhodnutí ERÚ v případech, kdy je dána příslušnost tohoto úřadu dle Zákona. Spory mezi smluvními stranami jsou s konečnou platností řešeny před věcně a místně příslušným soudem. V případě soudního řízení, jehož účastníkem bude  ZÁKAZNÍK, který má  sídlo, bydliště  či  místo podnikání  v zahraničí, je místně příslušný soud dle sídla PRE a rozhodným právem je právo České</w:t>
      </w:r>
      <w:r>
        <w:rPr>
          <w:spacing w:val="-1"/>
          <w:sz w:val="22"/>
        </w:rPr>
        <w:t> </w:t>
      </w:r>
      <w:r>
        <w:rPr>
          <w:sz w:val="22"/>
        </w:rPr>
        <w:t>republiky.</w:t>
      </w:r>
    </w:p>
    <w:p>
      <w:pPr>
        <w:pStyle w:val="ListParagraph"/>
        <w:numPr>
          <w:ilvl w:val="0"/>
          <w:numId w:val="16"/>
        </w:numPr>
        <w:tabs>
          <w:tab w:pos="1820" w:val="left" w:leader="none"/>
        </w:tabs>
        <w:spacing w:line="240" w:lineRule="auto" w:before="61" w:after="0"/>
        <w:ind w:left="1819" w:right="1100" w:hanging="583"/>
        <w:jc w:val="both"/>
        <w:rPr>
          <w:sz w:val="22"/>
        </w:rPr>
      </w:pPr>
      <w:r>
        <w:rPr>
          <w:sz w:val="22"/>
        </w:rPr>
        <w:t>Tuto Smlouvu lze měnit, pokud se smluvní strany nedohodnou jinak, pouze písemnými dodatky.</w:t>
      </w:r>
    </w:p>
    <w:p>
      <w:pPr>
        <w:pStyle w:val="ListParagraph"/>
        <w:numPr>
          <w:ilvl w:val="0"/>
          <w:numId w:val="16"/>
        </w:numPr>
        <w:tabs>
          <w:tab w:pos="1794" w:val="left" w:leader="none"/>
        </w:tabs>
        <w:spacing w:line="240" w:lineRule="auto" w:before="60" w:after="0"/>
        <w:ind w:left="1819" w:right="1100" w:hanging="583"/>
        <w:jc w:val="both"/>
        <w:rPr>
          <w:sz w:val="22"/>
        </w:rPr>
      </w:pPr>
      <w:r>
        <w:rPr>
          <w:sz w:val="22"/>
        </w:rPr>
        <w:t>Pokud by se jakékoli ujednání této Smlouvy stalo neplatným nebo neúčinným pro rozpory s obecně závaznými právními předpisy, nemá to vliv na platnost a účinnost ostatních ujednání této Smlouvy a zbývající obsah Smlouvy a bude nahrazen příslušnými ustanoveními platných právních</w:t>
      </w:r>
      <w:r>
        <w:rPr>
          <w:spacing w:val="-2"/>
          <w:sz w:val="22"/>
        </w:rPr>
        <w:t> </w:t>
      </w:r>
      <w:r>
        <w:rPr>
          <w:sz w:val="22"/>
        </w:rPr>
        <w:t>předpisů.</w:t>
      </w:r>
    </w:p>
    <w:p>
      <w:pPr>
        <w:pStyle w:val="ListParagraph"/>
        <w:numPr>
          <w:ilvl w:val="0"/>
          <w:numId w:val="16"/>
        </w:numPr>
        <w:tabs>
          <w:tab w:pos="1794" w:val="left" w:leader="none"/>
        </w:tabs>
        <w:spacing w:line="240" w:lineRule="auto" w:before="61" w:after="0"/>
        <w:ind w:left="1819" w:right="1106" w:hanging="583"/>
        <w:jc w:val="both"/>
        <w:rPr>
          <w:sz w:val="22"/>
        </w:rPr>
      </w:pPr>
      <w:r>
        <w:rPr>
          <w:sz w:val="22"/>
        </w:rPr>
        <w:t>Pro  účely  této  Smlouvy  jsou  používány  odborné  pojmy  a  terminologie   v souladu se Zákonem a jeho prováděcími a souvisejícími</w:t>
      </w:r>
      <w:r>
        <w:rPr>
          <w:spacing w:val="-9"/>
          <w:sz w:val="22"/>
        </w:rPr>
        <w:t> </w:t>
      </w:r>
      <w:r>
        <w:rPr>
          <w:sz w:val="22"/>
        </w:rPr>
        <w:t>předpisy.</w:t>
      </w:r>
    </w:p>
    <w:p>
      <w:pPr>
        <w:spacing w:after="0" w:line="240" w:lineRule="auto"/>
        <w:jc w:val="both"/>
        <w:rPr>
          <w:sz w:val="22"/>
        </w:rPr>
        <w:sectPr>
          <w:pgSz w:w="11910" w:h="16840"/>
          <w:pgMar w:top="1320" w:bottom="280" w:left="900" w:right="1162"/>
        </w:sectPr>
      </w:pPr>
    </w:p>
    <w:p>
      <w:pPr>
        <w:pStyle w:val="ListParagraph"/>
        <w:numPr>
          <w:ilvl w:val="0"/>
          <w:numId w:val="16"/>
        </w:numPr>
        <w:tabs>
          <w:tab w:pos="1819" w:val="left" w:leader="none"/>
          <w:tab w:pos="1820" w:val="left" w:leader="none"/>
        </w:tabs>
        <w:spacing w:line="240" w:lineRule="auto" w:before="71" w:after="0"/>
        <w:ind w:left="1819" w:right="1106" w:hanging="583"/>
        <w:jc w:val="left"/>
        <w:rPr>
          <w:sz w:val="22"/>
        </w:rPr>
      </w:pPr>
      <w:r>
        <w:rPr>
          <w:sz w:val="22"/>
        </w:rPr>
        <w:t>Tato Smlouva je vyhotovena ve dvou (2) stejnopisech, z nichž každý má platnost originálu. ZÁKAZNÍK obdrží jeden (1) stejnopis, PRE obdrží</w:t>
      </w:r>
      <w:r>
        <w:rPr>
          <w:spacing w:val="-24"/>
          <w:sz w:val="22"/>
        </w:rPr>
        <w:t> </w:t>
      </w:r>
      <w:r>
        <w:rPr>
          <w:sz w:val="22"/>
        </w:rPr>
        <w:t>jeden</w:t>
      </w:r>
    </w:p>
    <w:p>
      <w:pPr>
        <w:pStyle w:val="ListParagraph"/>
        <w:numPr>
          <w:ilvl w:val="1"/>
          <w:numId w:val="16"/>
        </w:numPr>
        <w:tabs>
          <w:tab w:pos="2132" w:val="left" w:leader="none"/>
        </w:tabs>
        <w:spacing w:line="240" w:lineRule="auto" w:before="1" w:after="0"/>
        <w:ind w:left="2131" w:right="0" w:hanging="312"/>
        <w:jc w:val="left"/>
        <w:rPr>
          <w:sz w:val="22"/>
        </w:rPr>
      </w:pPr>
      <w:r>
        <w:rPr>
          <w:sz w:val="22"/>
        </w:rPr>
        <w:t>stejnopis.</w:t>
      </w:r>
    </w:p>
    <w:p>
      <w:pPr>
        <w:pStyle w:val="ListParagraph"/>
        <w:numPr>
          <w:ilvl w:val="0"/>
          <w:numId w:val="16"/>
        </w:numPr>
        <w:tabs>
          <w:tab w:pos="1819" w:val="left" w:leader="none"/>
          <w:tab w:pos="1820" w:val="left" w:leader="none"/>
        </w:tabs>
        <w:spacing w:line="240" w:lineRule="auto" w:before="61" w:after="0"/>
        <w:ind w:left="1819" w:right="0" w:hanging="583"/>
        <w:jc w:val="left"/>
        <w:rPr>
          <w:sz w:val="22"/>
        </w:rPr>
      </w:pPr>
      <w:r>
        <w:rPr>
          <w:sz w:val="22"/>
        </w:rPr>
        <w:t>Nedílnou součástí této Smlouvy jsou její přílohy, které specifikují obsah Smlouvy, a</w:t>
      </w:r>
      <w:r>
        <w:rPr>
          <w:spacing w:val="-20"/>
          <w:sz w:val="22"/>
        </w:rPr>
        <w:t> </w:t>
      </w:r>
      <w:r>
        <w:rPr>
          <w:sz w:val="22"/>
        </w:rPr>
        <w:t>to:</w:t>
      </w:r>
    </w:p>
    <w:p>
      <w:pPr>
        <w:pStyle w:val="ListParagraph"/>
        <w:numPr>
          <w:ilvl w:val="0"/>
          <w:numId w:val="17"/>
        </w:numPr>
        <w:tabs>
          <w:tab w:pos="2643" w:val="left" w:leader="none"/>
        </w:tabs>
        <w:spacing w:line="240" w:lineRule="auto" w:before="59" w:after="0"/>
        <w:ind w:left="2642" w:right="0" w:hanging="326"/>
        <w:jc w:val="left"/>
        <w:rPr>
          <w:sz w:val="22"/>
        </w:rPr>
      </w:pPr>
      <w:r>
        <w:rPr>
          <w:sz w:val="22"/>
        </w:rPr>
        <w:t>Příloha č. 1 – Specifikace odběrných míst zákazníka ze sítí</w:t>
      </w:r>
      <w:r>
        <w:rPr>
          <w:spacing w:val="-17"/>
          <w:sz w:val="22"/>
        </w:rPr>
        <w:t> </w:t>
      </w:r>
      <w:r>
        <w:rPr>
          <w:sz w:val="22"/>
        </w:rPr>
        <w:t>vn</w:t>
      </w:r>
    </w:p>
    <w:p>
      <w:pPr>
        <w:pStyle w:val="ListParagraph"/>
        <w:numPr>
          <w:ilvl w:val="0"/>
          <w:numId w:val="17"/>
        </w:numPr>
        <w:tabs>
          <w:tab w:pos="2643" w:val="left" w:leader="none"/>
        </w:tabs>
        <w:spacing w:line="240" w:lineRule="auto" w:before="59" w:after="0"/>
        <w:ind w:left="2642" w:right="0" w:hanging="326"/>
        <w:jc w:val="left"/>
        <w:rPr>
          <w:sz w:val="22"/>
        </w:rPr>
      </w:pPr>
      <w:r>
        <w:rPr>
          <w:sz w:val="22"/>
        </w:rPr>
        <w:t>Příloha č. 2 – Specifikace odběrných míst zákazníka ze sítí</w:t>
      </w:r>
      <w:r>
        <w:rPr>
          <w:spacing w:val="-16"/>
          <w:sz w:val="22"/>
        </w:rPr>
        <w:t> </w:t>
      </w:r>
      <w:r>
        <w:rPr>
          <w:sz w:val="22"/>
        </w:rPr>
        <w:t>nn</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5"/>
        <w:rPr>
          <w:sz w:val="19"/>
        </w:rPr>
      </w:pPr>
    </w:p>
    <w:p>
      <w:pPr>
        <w:pStyle w:val="BodyText"/>
        <w:tabs>
          <w:tab w:pos="5208" w:val="left" w:leader="none"/>
        </w:tabs>
        <w:ind w:left="624"/>
      </w:pPr>
      <w:r>
        <w:rPr/>
        <w:t>V Praze</w:t>
      </w:r>
      <w:r>
        <w:rPr>
          <w:spacing w:val="-1"/>
        </w:rPr>
        <w:t> </w:t>
      </w:r>
      <w:r>
        <w:rPr/>
        <w:t>dne 16.12.2015</w:t>
        <w:tab/>
        <w:t>V Praze dne</w:t>
      </w:r>
    </w:p>
    <w:p>
      <w:pPr>
        <w:pStyle w:val="BodyText"/>
        <w:tabs>
          <w:tab w:pos="5163" w:val="left" w:leader="none"/>
        </w:tabs>
        <w:spacing w:before="121"/>
        <w:ind w:left="5163" w:right="388" w:hanging="4539"/>
      </w:pPr>
      <w:r>
        <w:rPr/>
        <w:t>Pražská energetika,</w:t>
      </w:r>
      <w:r>
        <w:rPr>
          <w:spacing w:val="-4"/>
        </w:rPr>
        <w:t> </w:t>
      </w:r>
      <w:r>
        <w:rPr/>
        <w:t>a.</w:t>
      </w:r>
      <w:r>
        <w:rPr>
          <w:spacing w:val="-2"/>
        </w:rPr>
        <w:t> </w:t>
      </w:r>
      <w:r>
        <w:rPr/>
        <w:t>s.</w:t>
        <w:tab/>
        <w:t>Centrum sociální a ošetřovatelské pomoci v Praze 10, příspěvková</w:t>
      </w:r>
      <w:r>
        <w:rPr>
          <w:spacing w:val="-1"/>
        </w:rPr>
        <w:t> </w:t>
      </w:r>
      <w:r>
        <w:rPr/>
        <w:t>organizace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9"/>
        </w:rPr>
      </w:pPr>
      <w:r>
        <w:rPr/>
        <w:pict>
          <v:line style="position:absolute;mso-position-horizontal-relative:page;mso-position-vertical-relative:paragraph;z-index:0;mso-wrap-distance-left:0;mso-wrap-distance-right:0" from="70.823997pt,19.088486pt" to="277.843997pt,19.088486pt" stroked="true" strokeweight=".48pt" strokecolor="#000000">
            <v:stroke dashstyle="solid"/>
            <w10:wrap type="topAndBottom"/>
          </v:line>
        </w:pict>
      </w:r>
      <w:r>
        <w:rPr/>
        <w:pict>
          <v:line style="position:absolute;mso-position-horizontal-relative:page;mso-position-vertical-relative:paragraph;z-index:1048;mso-wrap-distance-left:0;mso-wrap-distance-right:0" from="312.769989pt,19.088486pt" to="524.499989pt,19.088486pt" stroked="true" strokeweight=".48pt" strokecolor="#000000">
            <v:stroke dashstyle="solid"/>
            <w10:wrap type="topAndBottom"/>
          </v:line>
        </w:pict>
      </w:r>
    </w:p>
    <w:p>
      <w:pPr>
        <w:pStyle w:val="BodyText"/>
        <w:tabs>
          <w:tab w:pos="6291" w:val="left" w:leader="none"/>
        </w:tabs>
        <w:ind w:left="859"/>
      </w:pPr>
      <w:r>
        <w:rPr/>
        <w:t>xxx, vedoucí</w:t>
      </w:r>
      <w:r>
        <w:rPr>
          <w:spacing w:val="-1"/>
        </w:rPr>
        <w:t> </w:t>
      </w:r>
      <w:r>
        <w:rPr/>
        <w:t>sekce</w:t>
      </w:r>
      <w:r>
        <w:rPr>
          <w:spacing w:val="2"/>
        </w:rPr>
        <w:t> </w:t>
      </w:r>
      <w:r>
        <w:rPr/>
        <w:t>Prodej</w:t>
        <w:tab/>
        <w:t>Ing. Richard Černý,</w:t>
      </w:r>
      <w:r>
        <w:rPr>
          <w:spacing w:val="-1"/>
        </w:rPr>
        <w:t> </w:t>
      </w:r>
      <w:r>
        <w:rPr/>
        <w:t>ředitel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6"/>
        </w:rPr>
      </w:pPr>
      <w:r>
        <w:rPr/>
        <w:drawing>
          <wp:anchor distT="0" distB="0" distL="0" distR="0" allowOverlap="1" layoutInCell="1" locked="0" behindDoc="0" simplePos="0" relativeHeight="1072">
            <wp:simplePos x="0" y="0"/>
            <wp:positionH relativeFrom="page">
              <wp:posOffset>899794</wp:posOffset>
            </wp:positionH>
            <wp:positionV relativeFrom="paragraph">
              <wp:posOffset>217856</wp:posOffset>
            </wp:positionV>
            <wp:extent cx="2124791" cy="670560"/>
            <wp:effectExtent l="0" t="0" r="0" b="0"/>
            <wp:wrapTopAndBottom/>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124791" cy="670560"/>
                    </a:xfrm>
                    <a:prstGeom prst="rect">
                      <a:avLst/>
                    </a:prstGeom>
                  </pic:spPr>
                </pic:pic>
              </a:graphicData>
            </a:graphic>
          </wp:anchor>
        </w:drawing>
      </w:r>
    </w:p>
    <w:p>
      <w:pPr>
        <w:spacing w:before="87"/>
        <w:ind w:left="516" w:right="0" w:firstLine="0"/>
        <w:jc w:val="left"/>
        <w:rPr>
          <w:sz w:val="24"/>
        </w:rPr>
      </w:pPr>
      <w:r>
        <w:rPr>
          <w:sz w:val="24"/>
        </w:rPr>
        <w:t>Certifikováno dle ČSN EN ISO 9001 a ČSN EN ISO 14001</w:t>
      </w:r>
    </w:p>
    <w:p>
      <w:pPr>
        <w:spacing w:after="0"/>
        <w:jc w:val="left"/>
        <w:rPr>
          <w:sz w:val="24"/>
        </w:rPr>
        <w:sectPr>
          <w:pgSz w:w="11910" w:h="16840"/>
          <w:pgMar w:top="1320" w:bottom="280" w:left="900" w:right="1162"/>
        </w:sectPr>
      </w:pPr>
    </w:p>
    <w:p>
      <w:pPr>
        <w:pStyle w:val="Heading1"/>
        <w:spacing w:before="73"/>
        <w:ind w:firstLine="0"/>
      </w:pPr>
      <w:r>
        <w:rPr/>
        <w:t>PŘÍLOHA Č. 1 - SPECIFIKACE ODBĚRNÝCH MÍST</w:t>
      </w:r>
    </w:p>
    <w:p>
      <w:pPr>
        <w:spacing w:before="121"/>
        <w:ind w:left="516" w:right="0" w:firstLine="0"/>
        <w:jc w:val="left"/>
        <w:rPr>
          <w:b/>
          <w:sz w:val="24"/>
        </w:rPr>
      </w:pPr>
      <w:r>
        <w:rPr>
          <w:b/>
          <w:sz w:val="24"/>
        </w:rPr>
        <w:t>Specifikace Odběrného místa připojeného ze sítí vn</w:t>
      </w:r>
    </w:p>
    <w:p>
      <w:pPr>
        <w:pStyle w:val="BodyText"/>
        <w:spacing w:before="9"/>
        <w:rPr>
          <w:b/>
          <w:sz w:val="10"/>
        </w:rPr>
      </w:pPr>
    </w:p>
    <w:tbl>
      <w:tblPr>
        <w:tblW w:w="0" w:type="auto"/>
        <w:jc w:val="left"/>
        <w:tblInd w:w="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75"/>
        <w:gridCol w:w="4571"/>
      </w:tblGrid>
      <w:tr>
        <w:trPr>
          <w:trHeight w:val="265" w:hRule="atLeast"/>
        </w:trPr>
        <w:tc>
          <w:tcPr>
            <w:tcW w:w="4575" w:type="dxa"/>
          </w:tcPr>
          <w:p>
            <w:pPr>
              <w:pStyle w:val="TableParagraph"/>
              <w:spacing w:line="225" w:lineRule="exact" w:before="0"/>
              <w:ind w:left="4"/>
              <w:jc w:val="left"/>
              <w:rPr>
                <w:rFonts w:ascii="Times New Roman" w:hAnsi="Times New Roman"/>
                <w:sz w:val="20"/>
              </w:rPr>
            </w:pPr>
            <w:r>
              <w:rPr>
                <w:rFonts w:ascii="Times New Roman" w:hAnsi="Times New Roman"/>
                <w:sz w:val="20"/>
              </w:rPr>
              <w:t>Odběrné místo:</w:t>
            </w:r>
          </w:p>
        </w:tc>
        <w:tc>
          <w:tcPr>
            <w:tcW w:w="4571" w:type="dxa"/>
          </w:tcPr>
          <w:p>
            <w:pPr>
              <w:pStyle w:val="TableParagraph"/>
              <w:spacing w:line="225" w:lineRule="exact" w:before="0"/>
              <w:ind w:left="4"/>
              <w:jc w:val="left"/>
              <w:rPr>
                <w:rFonts w:ascii="Times New Roman" w:hAnsi="Times New Roman"/>
                <w:sz w:val="20"/>
              </w:rPr>
            </w:pPr>
            <w:r>
              <w:rPr>
                <w:rFonts w:ascii="Times New Roman" w:hAnsi="Times New Roman"/>
                <w:sz w:val="20"/>
              </w:rPr>
              <w:t>Moskevská 120/21, Praha 10, 101 00</w:t>
            </w:r>
          </w:p>
        </w:tc>
      </w:tr>
      <w:tr>
        <w:trPr>
          <w:trHeight w:val="266"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Územně příslušný provozovatel distribuční soustavy:</w:t>
            </w:r>
          </w:p>
        </w:tc>
        <w:tc>
          <w:tcPr>
            <w:tcW w:w="4571" w:type="dxa"/>
          </w:tcPr>
          <w:p>
            <w:pPr>
              <w:pStyle w:val="TableParagraph"/>
              <w:spacing w:line="246" w:lineRule="exact" w:before="0"/>
              <w:ind w:left="4"/>
              <w:jc w:val="left"/>
              <w:rPr>
                <w:rFonts w:ascii="Times New Roman"/>
                <w:sz w:val="22"/>
              </w:rPr>
            </w:pPr>
            <w:r>
              <w:rPr>
                <w:rFonts w:ascii="Times New Roman"/>
                <w:sz w:val="22"/>
              </w:rPr>
              <w:t>PREdistribuce, a. s.</w:t>
            </w:r>
          </w:p>
        </w:tc>
      </w:tr>
      <w:tr>
        <w:trPr>
          <w:trHeight w:val="263"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EAN (číselná identifikace odběrného místa):</w:t>
            </w:r>
          </w:p>
        </w:tc>
        <w:tc>
          <w:tcPr>
            <w:tcW w:w="4571" w:type="dxa"/>
          </w:tcPr>
          <w:p>
            <w:pPr>
              <w:pStyle w:val="TableParagraph"/>
              <w:spacing w:line="223" w:lineRule="exact" w:before="0"/>
              <w:ind w:left="4"/>
              <w:jc w:val="left"/>
              <w:rPr>
                <w:rFonts w:ascii="Times New Roman"/>
                <w:sz w:val="20"/>
              </w:rPr>
            </w:pPr>
            <w:r>
              <w:rPr>
                <w:rFonts w:ascii="Times New Roman"/>
                <w:sz w:val="20"/>
              </w:rPr>
              <w:t>859182400300040787</w:t>
            </w:r>
          </w:p>
        </w:tc>
      </w:tr>
      <w:tr>
        <w:trPr>
          <w:trHeight w:val="265"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Rezervovaný příkon:</w:t>
            </w:r>
          </w:p>
        </w:tc>
        <w:tc>
          <w:tcPr>
            <w:tcW w:w="4571" w:type="dxa"/>
          </w:tcPr>
          <w:p>
            <w:pPr>
              <w:pStyle w:val="TableParagraph"/>
              <w:spacing w:line="223" w:lineRule="exact" w:before="0"/>
              <w:ind w:left="4"/>
              <w:jc w:val="left"/>
              <w:rPr>
                <w:rFonts w:ascii="Times New Roman"/>
                <w:sz w:val="20"/>
              </w:rPr>
            </w:pPr>
            <w:r>
              <w:rPr>
                <w:rFonts w:ascii="Times New Roman"/>
                <w:sz w:val="20"/>
              </w:rPr>
              <w:t>800 kW</w:t>
            </w:r>
          </w:p>
        </w:tc>
      </w:tr>
      <w:tr>
        <w:trPr>
          <w:trHeight w:val="263"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Rezervovaná kapacita (roční):</w:t>
            </w:r>
          </w:p>
        </w:tc>
        <w:tc>
          <w:tcPr>
            <w:tcW w:w="4571" w:type="dxa"/>
          </w:tcPr>
          <w:p>
            <w:pPr>
              <w:pStyle w:val="TableParagraph"/>
              <w:spacing w:line="223" w:lineRule="exact" w:before="0"/>
              <w:ind w:left="4"/>
              <w:jc w:val="left"/>
              <w:rPr>
                <w:rFonts w:ascii="Times New Roman"/>
                <w:sz w:val="20"/>
              </w:rPr>
            </w:pPr>
            <w:r>
              <w:rPr>
                <w:rFonts w:ascii="Times New Roman"/>
                <w:sz w:val="20"/>
              </w:rPr>
              <w:t>500 kW</w:t>
            </w:r>
          </w:p>
        </w:tc>
      </w:tr>
      <w:tr>
        <w:trPr>
          <w:trHeight w:val="265"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Podíl na transformačním výkonu:</w:t>
            </w:r>
          </w:p>
        </w:tc>
        <w:tc>
          <w:tcPr>
            <w:tcW w:w="4571" w:type="dxa"/>
          </w:tcPr>
          <w:p>
            <w:pPr>
              <w:pStyle w:val="TableParagraph"/>
              <w:spacing w:line="223" w:lineRule="exact" w:before="0"/>
              <w:ind w:left="4"/>
              <w:jc w:val="left"/>
              <w:rPr>
                <w:rFonts w:ascii="Times New Roman"/>
                <w:sz w:val="20"/>
              </w:rPr>
            </w:pPr>
            <w:r>
              <w:rPr>
                <w:rFonts w:ascii="Times New Roman"/>
                <w:sz w:val="20"/>
              </w:rPr>
              <w:t>100 %</w:t>
            </w:r>
          </w:p>
        </w:tc>
      </w:tr>
      <w:tr>
        <w:trPr>
          <w:trHeight w:val="263"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Výše transformačních ztrát:</w:t>
            </w:r>
          </w:p>
        </w:tc>
        <w:tc>
          <w:tcPr>
            <w:tcW w:w="4571" w:type="dxa"/>
          </w:tcPr>
          <w:p>
            <w:pPr>
              <w:pStyle w:val="TableParagraph"/>
              <w:spacing w:line="223" w:lineRule="exact" w:before="0"/>
              <w:ind w:left="4"/>
              <w:jc w:val="left"/>
              <w:rPr>
                <w:rFonts w:ascii="Times New Roman"/>
                <w:sz w:val="20"/>
              </w:rPr>
            </w:pPr>
            <w:r>
              <w:rPr>
                <w:rFonts w:ascii="Times New Roman"/>
                <w:sz w:val="20"/>
              </w:rPr>
              <w:t>4%</w:t>
            </w:r>
          </w:p>
        </w:tc>
      </w:tr>
      <w:tr>
        <w:trPr>
          <w:trHeight w:val="265" w:hRule="atLeast"/>
        </w:trPr>
        <w:tc>
          <w:tcPr>
            <w:tcW w:w="4575" w:type="dxa"/>
          </w:tcPr>
          <w:p>
            <w:pPr>
              <w:pStyle w:val="TableParagraph"/>
              <w:spacing w:line="225" w:lineRule="exact" w:before="0"/>
              <w:ind w:left="4"/>
              <w:jc w:val="left"/>
              <w:rPr>
                <w:rFonts w:ascii="Times New Roman" w:hAnsi="Times New Roman"/>
                <w:sz w:val="20"/>
              </w:rPr>
            </w:pPr>
            <w:r>
              <w:rPr>
                <w:rFonts w:ascii="Times New Roman" w:hAnsi="Times New Roman"/>
                <w:sz w:val="20"/>
              </w:rPr>
              <w:t>Hladina napětí:</w:t>
            </w:r>
          </w:p>
        </w:tc>
        <w:tc>
          <w:tcPr>
            <w:tcW w:w="4571" w:type="dxa"/>
          </w:tcPr>
          <w:p>
            <w:pPr>
              <w:pStyle w:val="TableParagraph"/>
              <w:spacing w:line="225" w:lineRule="exact" w:before="0"/>
              <w:ind w:left="4"/>
              <w:jc w:val="left"/>
              <w:rPr>
                <w:rFonts w:ascii="Times New Roman"/>
                <w:sz w:val="20"/>
              </w:rPr>
            </w:pPr>
            <w:r>
              <w:rPr>
                <w:rFonts w:ascii="Times New Roman"/>
                <w:sz w:val="20"/>
              </w:rPr>
              <w:t>VN</w:t>
            </w:r>
          </w:p>
        </w:tc>
      </w:tr>
      <w:tr>
        <w:trPr>
          <w:trHeight w:val="266"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Typ měření:</w:t>
            </w:r>
          </w:p>
        </w:tc>
        <w:tc>
          <w:tcPr>
            <w:tcW w:w="4571" w:type="dxa"/>
          </w:tcPr>
          <w:p>
            <w:pPr>
              <w:pStyle w:val="TableParagraph"/>
              <w:spacing w:line="223" w:lineRule="exact" w:before="0"/>
              <w:ind w:left="4"/>
              <w:jc w:val="left"/>
              <w:rPr>
                <w:rFonts w:ascii="Times New Roman"/>
                <w:sz w:val="20"/>
              </w:rPr>
            </w:pPr>
            <w:r>
              <w:rPr>
                <w:rFonts w:ascii="Times New Roman"/>
                <w:w w:val="99"/>
                <w:sz w:val="20"/>
              </w:rPr>
              <w:t>A</w:t>
            </w:r>
          </w:p>
        </w:tc>
      </w:tr>
      <w:tr>
        <w:trPr>
          <w:trHeight w:val="264"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Druh měření:</w:t>
            </w:r>
          </w:p>
        </w:tc>
        <w:tc>
          <w:tcPr>
            <w:tcW w:w="4571" w:type="dxa"/>
          </w:tcPr>
          <w:p>
            <w:pPr>
              <w:pStyle w:val="TableParagraph"/>
              <w:spacing w:line="223" w:lineRule="exact" w:before="0"/>
              <w:ind w:left="4"/>
              <w:jc w:val="left"/>
              <w:rPr>
                <w:rFonts w:ascii="Times New Roman" w:hAnsi="Times New Roman"/>
                <w:sz w:val="20"/>
              </w:rPr>
            </w:pPr>
            <w:r>
              <w:rPr>
                <w:rFonts w:ascii="Times New Roman" w:hAnsi="Times New Roman"/>
                <w:sz w:val="20"/>
              </w:rPr>
              <w:t>nepřímé, sekundární</w:t>
            </w:r>
          </w:p>
        </w:tc>
      </w:tr>
      <w:tr>
        <w:trPr>
          <w:trHeight w:val="249"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Regulační stupně:</w:t>
            </w:r>
          </w:p>
        </w:tc>
        <w:tc>
          <w:tcPr>
            <w:tcW w:w="4571" w:type="dxa"/>
          </w:tcPr>
          <w:p>
            <w:pPr>
              <w:pStyle w:val="TableParagraph"/>
              <w:spacing w:line="223" w:lineRule="exact" w:before="0"/>
              <w:ind w:left="4"/>
              <w:jc w:val="left"/>
              <w:rPr>
                <w:rFonts w:ascii="Times New Roman"/>
                <w:sz w:val="20"/>
              </w:rPr>
            </w:pPr>
            <w:r>
              <w:rPr>
                <w:rFonts w:ascii="Times New Roman"/>
                <w:sz w:val="20"/>
              </w:rPr>
              <w:t>4, 6, 7</w:t>
            </w:r>
          </w:p>
        </w:tc>
      </w:tr>
      <w:tr>
        <w:trPr>
          <w:trHeight w:val="688" w:hRule="atLeast"/>
        </w:trPr>
        <w:tc>
          <w:tcPr>
            <w:tcW w:w="4575" w:type="dxa"/>
          </w:tcPr>
          <w:p>
            <w:pPr>
              <w:pStyle w:val="TableParagraph"/>
              <w:spacing w:before="0"/>
              <w:ind w:left="4" w:right="-10"/>
              <w:jc w:val="left"/>
              <w:rPr>
                <w:rFonts w:ascii="Times New Roman" w:hAnsi="Times New Roman"/>
                <w:sz w:val="20"/>
              </w:rPr>
            </w:pPr>
            <w:r>
              <w:rPr>
                <w:rFonts w:ascii="Times New Roman" w:hAnsi="Times New Roman"/>
                <w:sz w:val="20"/>
              </w:rPr>
              <w:t>Bezpečnostní minimum s možností snížení do jedné hodiny</w:t>
            </w:r>
            <w:r>
              <w:rPr>
                <w:rFonts w:ascii="Times New Roman" w:hAnsi="Times New Roman"/>
                <w:spacing w:val="22"/>
                <w:sz w:val="20"/>
              </w:rPr>
              <w:t> </w:t>
            </w:r>
            <w:r>
              <w:rPr>
                <w:rFonts w:ascii="Times New Roman" w:hAnsi="Times New Roman"/>
                <w:sz w:val="20"/>
              </w:rPr>
              <w:t>(zároveň</w:t>
            </w:r>
            <w:r>
              <w:rPr>
                <w:rFonts w:ascii="Times New Roman" w:hAnsi="Times New Roman"/>
                <w:spacing w:val="25"/>
                <w:sz w:val="20"/>
              </w:rPr>
              <w:t> </w:t>
            </w:r>
            <w:r>
              <w:rPr>
                <w:rFonts w:ascii="Times New Roman" w:hAnsi="Times New Roman"/>
                <w:sz w:val="20"/>
              </w:rPr>
              <w:t>hodnota</w:t>
            </w:r>
            <w:r>
              <w:rPr>
                <w:rFonts w:ascii="Times New Roman" w:hAnsi="Times New Roman"/>
                <w:spacing w:val="25"/>
                <w:sz w:val="20"/>
              </w:rPr>
              <w:t> </w:t>
            </w:r>
            <w:r>
              <w:rPr>
                <w:rFonts w:ascii="Times New Roman" w:hAnsi="Times New Roman"/>
                <w:sz w:val="20"/>
              </w:rPr>
              <w:t>snížení</w:t>
            </w:r>
            <w:r>
              <w:rPr>
                <w:rFonts w:ascii="Times New Roman" w:hAnsi="Times New Roman"/>
                <w:spacing w:val="25"/>
                <w:sz w:val="20"/>
              </w:rPr>
              <w:t> </w:t>
            </w:r>
            <w:r>
              <w:rPr>
                <w:rFonts w:ascii="Times New Roman" w:hAnsi="Times New Roman"/>
                <w:sz w:val="20"/>
              </w:rPr>
              <w:t>výkonu</w:t>
            </w:r>
            <w:r>
              <w:rPr>
                <w:rFonts w:ascii="Times New Roman" w:hAnsi="Times New Roman"/>
                <w:spacing w:val="25"/>
                <w:sz w:val="20"/>
              </w:rPr>
              <w:t> </w:t>
            </w:r>
            <w:r>
              <w:rPr>
                <w:rFonts w:ascii="Times New Roman" w:hAnsi="Times New Roman"/>
                <w:sz w:val="20"/>
              </w:rPr>
              <w:t>pro</w:t>
            </w:r>
            <w:r>
              <w:rPr>
                <w:rFonts w:ascii="Times New Roman" w:hAnsi="Times New Roman"/>
                <w:spacing w:val="26"/>
                <w:sz w:val="20"/>
              </w:rPr>
              <w:t> </w:t>
            </w:r>
            <w:r>
              <w:rPr>
                <w:rFonts w:ascii="Times New Roman" w:hAnsi="Times New Roman"/>
                <w:sz w:val="20"/>
              </w:rPr>
              <w:t>regulační</w:t>
            </w:r>
          </w:p>
          <w:p>
            <w:pPr>
              <w:pStyle w:val="TableParagraph"/>
              <w:spacing w:line="215" w:lineRule="exact" w:before="0"/>
              <w:ind w:left="4"/>
              <w:jc w:val="left"/>
              <w:rPr>
                <w:rFonts w:ascii="Times New Roman" w:hAnsi="Times New Roman"/>
                <w:sz w:val="20"/>
              </w:rPr>
            </w:pPr>
            <w:r>
              <w:rPr>
                <w:rFonts w:ascii="Times New Roman" w:hAnsi="Times New Roman"/>
                <w:sz w:val="20"/>
              </w:rPr>
              <w:t>stupeň 7)</w:t>
            </w:r>
          </w:p>
        </w:tc>
        <w:tc>
          <w:tcPr>
            <w:tcW w:w="4571" w:type="dxa"/>
          </w:tcPr>
          <w:p>
            <w:pPr>
              <w:pStyle w:val="TableParagraph"/>
              <w:spacing w:line="223" w:lineRule="exact" w:before="0"/>
              <w:ind w:left="4"/>
              <w:jc w:val="left"/>
              <w:rPr>
                <w:rFonts w:ascii="Times New Roman"/>
                <w:sz w:val="20"/>
              </w:rPr>
            </w:pPr>
            <w:r>
              <w:rPr>
                <w:rFonts w:ascii="Times New Roman"/>
                <w:sz w:val="20"/>
              </w:rPr>
              <w:t>350 kW</w:t>
            </w:r>
          </w:p>
        </w:tc>
      </w:tr>
      <w:tr>
        <w:trPr>
          <w:trHeight w:val="460" w:hRule="atLeast"/>
        </w:trPr>
        <w:tc>
          <w:tcPr>
            <w:tcW w:w="4575" w:type="dxa"/>
          </w:tcPr>
          <w:p>
            <w:pPr>
              <w:pStyle w:val="TableParagraph"/>
              <w:spacing w:line="228" w:lineRule="exact" w:before="0"/>
              <w:ind w:left="4"/>
              <w:jc w:val="left"/>
              <w:rPr>
                <w:rFonts w:ascii="Times New Roman" w:hAnsi="Times New Roman"/>
                <w:sz w:val="20"/>
              </w:rPr>
            </w:pPr>
            <w:r>
              <w:rPr>
                <w:rFonts w:ascii="Times New Roman" w:hAnsi="Times New Roman"/>
                <w:sz w:val="20"/>
              </w:rPr>
              <w:t>Časový posun, za který bude hodnota bezpečnostního minima dosažena</w:t>
            </w:r>
          </w:p>
        </w:tc>
        <w:tc>
          <w:tcPr>
            <w:tcW w:w="4571" w:type="dxa"/>
          </w:tcPr>
          <w:p>
            <w:pPr>
              <w:pStyle w:val="TableParagraph"/>
              <w:spacing w:line="225" w:lineRule="exact" w:before="0"/>
              <w:ind w:left="4"/>
              <w:jc w:val="left"/>
              <w:rPr>
                <w:rFonts w:ascii="Times New Roman"/>
                <w:sz w:val="20"/>
              </w:rPr>
            </w:pPr>
            <w:r>
              <w:rPr>
                <w:rFonts w:ascii="Times New Roman"/>
                <w:sz w:val="20"/>
              </w:rPr>
              <w:t>1 hod.</w:t>
            </w:r>
          </w:p>
        </w:tc>
      </w:tr>
      <w:tr>
        <w:trPr>
          <w:trHeight w:val="460"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Hodnota snížení výkonu pro regulační stupně 3 a 4</w:t>
            </w:r>
          </w:p>
        </w:tc>
        <w:tc>
          <w:tcPr>
            <w:tcW w:w="4571" w:type="dxa"/>
          </w:tcPr>
          <w:p>
            <w:pPr>
              <w:pStyle w:val="TableParagraph"/>
              <w:spacing w:line="223" w:lineRule="exact" w:before="0"/>
              <w:ind w:left="4"/>
              <w:jc w:val="left"/>
              <w:rPr>
                <w:rFonts w:ascii="Times New Roman" w:hAnsi="Times New Roman"/>
                <w:sz w:val="20"/>
              </w:rPr>
            </w:pPr>
            <w:r>
              <w:rPr>
                <w:rFonts w:ascii="Times New Roman" w:hAnsi="Times New Roman"/>
                <w:sz w:val="20"/>
              </w:rPr>
              <w:t>15% z hodnoty rezervované kapacity v příslušném</w:t>
            </w:r>
          </w:p>
          <w:p>
            <w:pPr>
              <w:pStyle w:val="TableParagraph"/>
              <w:spacing w:line="217" w:lineRule="exact" w:before="0"/>
              <w:ind w:left="4"/>
              <w:jc w:val="left"/>
              <w:rPr>
                <w:rFonts w:ascii="Times New Roman" w:hAnsi="Times New Roman"/>
                <w:sz w:val="20"/>
              </w:rPr>
            </w:pPr>
            <w:r>
              <w:rPr>
                <w:rFonts w:ascii="Times New Roman" w:hAnsi="Times New Roman"/>
                <w:sz w:val="20"/>
              </w:rPr>
              <w:t>kalendářním měsíci</w:t>
            </w:r>
          </w:p>
        </w:tc>
      </w:tr>
      <w:tr>
        <w:trPr>
          <w:trHeight w:val="460" w:hRule="atLeast"/>
        </w:trPr>
        <w:tc>
          <w:tcPr>
            <w:tcW w:w="4575" w:type="dxa"/>
          </w:tcPr>
          <w:p>
            <w:pPr>
              <w:pStyle w:val="TableParagraph"/>
              <w:spacing w:line="223" w:lineRule="exact" w:before="0"/>
              <w:ind w:left="4"/>
              <w:jc w:val="left"/>
              <w:rPr>
                <w:rFonts w:ascii="Times New Roman" w:hAnsi="Times New Roman"/>
                <w:sz w:val="20"/>
              </w:rPr>
            </w:pPr>
            <w:r>
              <w:rPr>
                <w:rFonts w:ascii="Times New Roman" w:hAnsi="Times New Roman"/>
                <w:sz w:val="20"/>
              </w:rPr>
              <w:t>Hodnota snížení výkonu pro regulační stupně 5 a 6</w:t>
            </w:r>
          </w:p>
        </w:tc>
        <w:tc>
          <w:tcPr>
            <w:tcW w:w="4571" w:type="dxa"/>
          </w:tcPr>
          <w:p>
            <w:pPr>
              <w:pStyle w:val="TableParagraph"/>
              <w:spacing w:line="223" w:lineRule="exact" w:before="0"/>
              <w:ind w:left="4"/>
              <w:jc w:val="left"/>
              <w:rPr>
                <w:rFonts w:ascii="Times New Roman" w:hAnsi="Times New Roman"/>
                <w:sz w:val="20"/>
              </w:rPr>
            </w:pPr>
            <w:r>
              <w:rPr>
                <w:rFonts w:ascii="Times New Roman" w:hAnsi="Times New Roman"/>
                <w:sz w:val="20"/>
              </w:rPr>
              <w:t>dalších 15% z hodnoty rezervované kapacity v</w:t>
            </w:r>
          </w:p>
          <w:p>
            <w:pPr>
              <w:pStyle w:val="TableParagraph"/>
              <w:spacing w:line="217" w:lineRule="exact" w:before="0"/>
              <w:ind w:left="4"/>
              <w:jc w:val="left"/>
              <w:rPr>
                <w:rFonts w:ascii="Times New Roman" w:hAnsi="Times New Roman"/>
                <w:sz w:val="20"/>
              </w:rPr>
            </w:pPr>
            <w:r>
              <w:rPr>
                <w:rFonts w:ascii="Times New Roman" w:hAnsi="Times New Roman"/>
                <w:sz w:val="20"/>
              </w:rPr>
              <w:t>příslušném kalendářním měsíci</w:t>
            </w:r>
          </w:p>
        </w:tc>
      </w:tr>
    </w:tbl>
    <w:p>
      <w:pPr>
        <w:pStyle w:val="BodyText"/>
        <w:spacing w:before="114"/>
        <w:ind w:left="516"/>
      </w:pPr>
      <w:r>
        <w:rPr/>
        <w:t>Dodávka od 1.1.2016.</w:t>
      </w:r>
    </w:p>
    <w:p>
      <w:pPr>
        <w:spacing w:after="0"/>
        <w:sectPr>
          <w:pgSz w:w="11910" w:h="16840"/>
          <w:pgMar w:top="1320" w:bottom="280" w:left="900" w:right="1162"/>
        </w:sectPr>
      </w:pPr>
    </w:p>
    <w:p>
      <w:pPr>
        <w:spacing w:line="261" w:lineRule="auto" w:before="78"/>
        <w:ind w:left="158" w:right="3913" w:firstLine="0"/>
        <w:jc w:val="left"/>
        <w:rPr>
          <w:rFonts w:ascii="Arial" w:hAnsi="Arial"/>
          <w:b/>
          <w:sz w:val="21"/>
        </w:rPr>
      </w:pPr>
      <w:r>
        <w:rPr>
          <w:rFonts w:ascii="Arial" w:hAnsi="Arial"/>
          <w:b/>
          <w:sz w:val="21"/>
        </w:rPr>
        <w:t>PŘÍLOHA Č. 2 - SPECIFIKACE ODBĚRNÝCH MÍST SoSSDE č. 3510744352</w:t>
      </w:r>
    </w:p>
    <w:p>
      <w:pPr>
        <w:spacing w:before="2"/>
        <w:ind w:left="153" w:right="0" w:firstLine="0"/>
        <w:jc w:val="left"/>
        <w:rPr>
          <w:b/>
          <w:sz w:val="21"/>
        </w:rPr>
      </w:pPr>
      <w:r>
        <w:rPr>
          <w:b/>
          <w:sz w:val="21"/>
        </w:rPr>
        <w:t>Specifikace Odběrného místa připojeného ze sítí nn</w:t>
      </w:r>
    </w:p>
    <w:p>
      <w:pPr>
        <w:pStyle w:val="BodyText"/>
        <w:spacing w:before="4"/>
        <w:rPr>
          <w:b/>
          <w:sz w:val="15"/>
        </w:rPr>
      </w:pPr>
    </w:p>
    <w:tbl>
      <w:tblPr>
        <w:tblW w:w="0" w:type="auto"/>
        <w:jc w:val="left"/>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84"/>
        <w:gridCol w:w="638"/>
        <w:gridCol w:w="609"/>
        <w:gridCol w:w="979"/>
        <w:gridCol w:w="609"/>
        <w:gridCol w:w="609"/>
        <w:gridCol w:w="609"/>
        <w:gridCol w:w="609"/>
        <w:gridCol w:w="609"/>
        <w:gridCol w:w="609"/>
        <w:gridCol w:w="610"/>
        <w:gridCol w:w="609"/>
        <w:gridCol w:w="609"/>
        <w:gridCol w:w="609"/>
      </w:tblGrid>
      <w:tr>
        <w:trPr>
          <w:trHeight w:val="445" w:hRule="atLeast"/>
        </w:trPr>
        <w:tc>
          <w:tcPr>
            <w:tcW w:w="1284"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140" w:right="128"/>
              <w:rPr>
                <w:rFonts w:ascii="Times New Roman"/>
                <w:sz w:val="9"/>
              </w:rPr>
            </w:pPr>
            <w:r>
              <w:rPr>
                <w:rFonts w:ascii="Times New Roman"/>
                <w:w w:val="105"/>
                <w:sz w:val="9"/>
              </w:rPr>
              <w:t>EAN</w:t>
            </w:r>
          </w:p>
        </w:tc>
        <w:tc>
          <w:tcPr>
            <w:tcW w:w="638" w:type="dxa"/>
            <w:vMerge w:val="restart"/>
          </w:tcPr>
          <w:p>
            <w:pPr>
              <w:pStyle w:val="TableParagraph"/>
              <w:spacing w:before="0"/>
              <w:ind w:left="0"/>
              <w:jc w:val="left"/>
              <w:rPr>
                <w:rFonts w:ascii="Times New Roman"/>
                <w:b/>
                <w:sz w:val="10"/>
              </w:rPr>
            </w:pPr>
          </w:p>
          <w:p>
            <w:pPr>
              <w:pStyle w:val="TableParagraph"/>
              <w:spacing w:line="283" w:lineRule="auto" w:before="73"/>
              <w:ind w:left="160" w:hanging="53"/>
              <w:jc w:val="left"/>
              <w:rPr>
                <w:rFonts w:ascii="Times New Roman" w:hAnsi="Times New Roman"/>
                <w:sz w:val="9"/>
              </w:rPr>
            </w:pPr>
            <w:r>
              <w:rPr>
                <w:rFonts w:ascii="Times New Roman" w:hAnsi="Times New Roman"/>
                <w:w w:val="105"/>
                <w:sz w:val="9"/>
              </w:rPr>
              <w:t>Číslo místa spotřeby</w:t>
            </w:r>
          </w:p>
        </w:tc>
        <w:tc>
          <w:tcPr>
            <w:tcW w:w="2197" w:type="dxa"/>
            <w:gridSpan w:val="3"/>
          </w:tcPr>
          <w:p>
            <w:pPr>
              <w:pStyle w:val="TableParagraph"/>
              <w:spacing w:before="3"/>
              <w:ind w:left="0"/>
              <w:jc w:val="left"/>
              <w:rPr>
                <w:rFonts w:ascii="Times New Roman"/>
                <w:b/>
                <w:sz w:val="14"/>
              </w:rPr>
            </w:pPr>
          </w:p>
          <w:p>
            <w:pPr>
              <w:pStyle w:val="TableParagraph"/>
              <w:spacing w:before="0"/>
              <w:ind w:left="732"/>
              <w:jc w:val="left"/>
              <w:rPr>
                <w:rFonts w:ascii="Times New Roman" w:hAnsi="Times New Roman"/>
                <w:sz w:val="9"/>
              </w:rPr>
            </w:pPr>
            <w:r>
              <w:rPr>
                <w:rFonts w:ascii="Times New Roman" w:hAnsi="Times New Roman"/>
                <w:w w:val="105"/>
                <w:sz w:val="9"/>
              </w:rPr>
              <w:t>Název a adresa OM</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right="34"/>
              <w:rPr>
                <w:rFonts w:ascii="Times New Roman"/>
                <w:sz w:val="9"/>
              </w:rPr>
            </w:pPr>
            <w:r>
              <w:rPr>
                <w:rFonts w:ascii="Times New Roman"/>
                <w:w w:val="105"/>
                <w:sz w:val="9"/>
              </w:rPr>
              <w:t>PDS</w:t>
            </w:r>
          </w:p>
        </w:tc>
        <w:tc>
          <w:tcPr>
            <w:tcW w:w="609" w:type="dxa"/>
            <w:vMerge w:val="restart"/>
          </w:tcPr>
          <w:p>
            <w:pPr>
              <w:pStyle w:val="TableParagraph"/>
              <w:spacing w:before="1"/>
              <w:ind w:left="0"/>
              <w:jc w:val="left"/>
              <w:rPr>
                <w:rFonts w:ascii="Times New Roman"/>
                <w:b/>
                <w:sz w:val="11"/>
              </w:rPr>
            </w:pPr>
          </w:p>
          <w:p>
            <w:pPr>
              <w:pStyle w:val="TableParagraph"/>
              <w:spacing w:line="283" w:lineRule="auto" w:before="0"/>
              <w:ind w:left="31" w:right="10" w:firstLine="36"/>
              <w:jc w:val="both"/>
              <w:rPr>
                <w:rFonts w:ascii="Times New Roman" w:hAnsi="Times New Roman"/>
                <w:sz w:val="9"/>
              </w:rPr>
            </w:pPr>
            <w:r>
              <w:rPr>
                <w:rFonts w:ascii="Times New Roman" w:hAnsi="Times New Roman"/>
                <w:w w:val="105"/>
                <w:sz w:val="9"/>
              </w:rPr>
              <w:t>Rezervovaná kapacita [A] - hodnota</w:t>
            </w:r>
            <w:r>
              <w:rPr>
                <w:rFonts w:ascii="Times New Roman" w:hAnsi="Times New Roman"/>
                <w:spacing w:val="-7"/>
                <w:w w:val="105"/>
                <w:sz w:val="9"/>
              </w:rPr>
              <w:t> </w:t>
            </w:r>
            <w:r>
              <w:rPr>
                <w:rFonts w:ascii="Times New Roman" w:hAnsi="Times New Roman"/>
                <w:w w:val="105"/>
                <w:sz w:val="9"/>
              </w:rPr>
              <w:t>jističe</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124"/>
              <w:jc w:val="left"/>
              <w:rPr>
                <w:rFonts w:ascii="Times New Roman" w:hAnsi="Times New Roman"/>
                <w:sz w:val="9"/>
              </w:rPr>
            </w:pPr>
            <w:r>
              <w:rPr>
                <w:rFonts w:ascii="Times New Roman" w:hAnsi="Times New Roman"/>
                <w:w w:val="105"/>
                <w:sz w:val="9"/>
              </w:rPr>
              <w:t>Počet fází</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213"/>
              <w:jc w:val="left"/>
              <w:rPr>
                <w:rFonts w:ascii="Times New Roman"/>
                <w:sz w:val="9"/>
              </w:rPr>
            </w:pPr>
            <w:r>
              <w:rPr>
                <w:rFonts w:ascii="Times New Roman"/>
                <w:w w:val="105"/>
                <w:sz w:val="9"/>
              </w:rPr>
              <w:t>TDD</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36"/>
              <w:jc w:val="left"/>
              <w:rPr>
                <w:rFonts w:ascii="Times New Roman" w:hAnsi="Times New Roman"/>
                <w:sz w:val="9"/>
              </w:rPr>
            </w:pPr>
            <w:r>
              <w:rPr>
                <w:rFonts w:ascii="Times New Roman" w:hAnsi="Times New Roman"/>
                <w:w w:val="105"/>
                <w:sz w:val="9"/>
              </w:rPr>
              <w:t>Hladina napětí</w:t>
            </w:r>
          </w:p>
        </w:tc>
        <w:tc>
          <w:tcPr>
            <w:tcW w:w="610"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97"/>
              <w:jc w:val="left"/>
              <w:rPr>
                <w:rFonts w:ascii="Times New Roman" w:hAnsi="Times New Roman"/>
                <w:sz w:val="9"/>
              </w:rPr>
            </w:pPr>
            <w:r>
              <w:rPr>
                <w:rFonts w:ascii="Times New Roman" w:hAnsi="Times New Roman"/>
                <w:w w:val="105"/>
                <w:sz w:val="9"/>
              </w:rPr>
              <w:t>Typ měření</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123"/>
              <w:jc w:val="left"/>
              <w:rPr>
                <w:rFonts w:ascii="Times New Roman"/>
                <w:sz w:val="9"/>
              </w:rPr>
            </w:pPr>
            <w:r>
              <w:rPr>
                <w:rFonts w:ascii="Times New Roman"/>
                <w:w w:val="105"/>
                <w:sz w:val="9"/>
              </w:rPr>
              <w:t>Typ sazby</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85"/>
              <w:jc w:val="left"/>
              <w:rPr>
                <w:rFonts w:ascii="Times New Roman" w:hAnsi="Times New Roman"/>
                <w:sz w:val="9"/>
              </w:rPr>
            </w:pPr>
            <w:r>
              <w:rPr>
                <w:rFonts w:ascii="Times New Roman" w:hAnsi="Times New Roman"/>
                <w:w w:val="105"/>
                <w:sz w:val="9"/>
              </w:rPr>
              <w:t>Dodávka od</w:t>
            </w:r>
          </w:p>
        </w:tc>
        <w:tc>
          <w:tcPr>
            <w:tcW w:w="609" w:type="dxa"/>
            <w:vMerge w:val="restart"/>
          </w:tcPr>
          <w:p>
            <w:pPr>
              <w:pStyle w:val="TableParagraph"/>
              <w:spacing w:before="0"/>
              <w:ind w:left="0"/>
              <w:jc w:val="left"/>
              <w:rPr>
                <w:rFonts w:ascii="Times New Roman"/>
                <w:b/>
                <w:sz w:val="10"/>
              </w:rPr>
            </w:pPr>
          </w:p>
          <w:p>
            <w:pPr>
              <w:pStyle w:val="TableParagraph"/>
              <w:spacing w:before="8"/>
              <w:ind w:left="0"/>
              <w:jc w:val="left"/>
              <w:rPr>
                <w:rFonts w:ascii="Times New Roman"/>
                <w:b/>
                <w:sz w:val="11"/>
              </w:rPr>
            </w:pPr>
          </w:p>
          <w:p>
            <w:pPr>
              <w:pStyle w:val="TableParagraph"/>
              <w:spacing w:before="1"/>
              <w:ind w:left="86"/>
              <w:jc w:val="left"/>
              <w:rPr>
                <w:rFonts w:ascii="Times New Roman" w:hAnsi="Times New Roman"/>
                <w:sz w:val="9"/>
              </w:rPr>
            </w:pPr>
            <w:r>
              <w:rPr>
                <w:rFonts w:ascii="Times New Roman" w:hAnsi="Times New Roman"/>
                <w:w w:val="105"/>
                <w:sz w:val="9"/>
              </w:rPr>
              <w:t>Dodávka do</w:t>
            </w:r>
          </w:p>
        </w:tc>
      </w:tr>
      <w:tr>
        <w:trPr>
          <w:trHeight w:val="155" w:hRule="atLeast"/>
        </w:trPr>
        <w:tc>
          <w:tcPr>
            <w:tcW w:w="1284" w:type="dxa"/>
            <w:vMerge/>
            <w:tcBorders>
              <w:top w:val="nil"/>
            </w:tcBorders>
          </w:tcPr>
          <w:p>
            <w:pPr>
              <w:rPr>
                <w:sz w:val="2"/>
                <w:szCs w:val="2"/>
              </w:rPr>
            </w:pPr>
          </w:p>
        </w:tc>
        <w:tc>
          <w:tcPr>
            <w:tcW w:w="638" w:type="dxa"/>
            <w:vMerge/>
            <w:tcBorders>
              <w:top w:val="nil"/>
            </w:tcBorders>
          </w:tcPr>
          <w:p>
            <w:pPr>
              <w:rPr>
                <w:sz w:val="2"/>
                <w:szCs w:val="2"/>
              </w:rPr>
            </w:pPr>
          </w:p>
        </w:tc>
        <w:tc>
          <w:tcPr>
            <w:tcW w:w="609" w:type="dxa"/>
          </w:tcPr>
          <w:p>
            <w:pPr>
              <w:pStyle w:val="TableParagraph"/>
              <w:spacing w:before="29"/>
              <w:ind w:right="39"/>
              <w:rPr>
                <w:rFonts w:ascii="Times New Roman" w:hAnsi="Times New Roman"/>
                <w:sz w:val="9"/>
              </w:rPr>
            </w:pPr>
            <w:r>
              <w:rPr>
                <w:rFonts w:ascii="Times New Roman" w:hAnsi="Times New Roman"/>
                <w:w w:val="105"/>
                <w:sz w:val="9"/>
              </w:rPr>
              <w:t>Město/Obec</w:t>
            </w:r>
          </w:p>
        </w:tc>
        <w:tc>
          <w:tcPr>
            <w:tcW w:w="979" w:type="dxa"/>
          </w:tcPr>
          <w:p>
            <w:pPr>
              <w:pStyle w:val="TableParagraph"/>
              <w:spacing w:before="29"/>
              <w:ind w:left="368" w:right="351"/>
              <w:rPr>
                <w:rFonts w:ascii="Times New Roman"/>
                <w:sz w:val="9"/>
              </w:rPr>
            </w:pPr>
            <w:r>
              <w:rPr>
                <w:rFonts w:ascii="Times New Roman"/>
                <w:w w:val="105"/>
                <w:sz w:val="9"/>
              </w:rPr>
              <w:t>Ulice</w:t>
            </w:r>
          </w:p>
        </w:tc>
        <w:tc>
          <w:tcPr>
            <w:tcW w:w="609" w:type="dxa"/>
          </w:tcPr>
          <w:p>
            <w:pPr>
              <w:pStyle w:val="TableParagraph"/>
              <w:spacing w:before="29"/>
              <w:ind w:right="33"/>
              <w:rPr>
                <w:rFonts w:ascii="Times New Roman" w:hAnsi="Times New Roman"/>
                <w:sz w:val="9"/>
              </w:rPr>
            </w:pPr>
            <w:r>
              <w:rPr>
                <w:rFonts w:ascii="Times New Roman" w:hAnsi="Times New Roman"/>
                <w:w w:val="105"/>
                <w:sz w:val="9"/>
              </w:rPr>
              <w:t>PSČ</w:t>
            </w:r>
          </w:p>
        </w:tc>
        <w:tc>
          <w:tcPr>
            <w:tcW w:w="609" w:type="dxa"/>
            <w:vMerge/>
            <w:tcBorders>
              <w:top w:val="nil"/>
            </w:tcBorders>
          </w:tcPr>
          <w:p>
            <w:pPr>
              <w:rPr>
                <w:sz w:val="2"/>
                <w:szCs w:val="2"/>
              </w:rPr>
            </w:pPr>
          </w:p>
        </w:tc>
        <w:tc>
          <w:tcPr>
            <w:tcW w:w="609" w:type="dxa"/>
            <w:vMerge/>
            <w:tcBorders>
              <w:top w:val="nil"/>
            </w:tcBorders>
          </w:tcPr>
          <w:p>
            <w:pPr>
              <w:rPr>
                <w:sz w:val="2"/>
                <w:szCs w:val="2"/>
              </w:rPr>
            </w:pPr>
          </w:p>
        </w:tc>
        <w:tc>
          <w:tcPr>
            <w:tcW w:w="609" w:type="dxa"/>
            <w:vMerge/>
            <w:tcBorders>
              <w:top w:val="nil"/>
            </w:tcBorders>
          </w:tcPr>
          <w:p>
            <w:pPr>
              <w:rPr>
                <w:sz w:val="2"/>
                <w:szCs w:val="2"/>
              </w:rPr>
            </w:pPr>
          </w:p>
        </w:tc>
        <w:tc>
          <w:tcPr>
            <w:tcW w:w="609" w:type="dxa"/>
            <w:vMerge/>
            <w:tcBorders>
              <w:top w:val="nil"/>
            </w:tcBorders>
          </w:tcPr>
          <w:p>
            <w:pPr>
              <w:rPr>
                <w:sz w:val="2"/>
                <w:szCs w:val="2"/>
              </w:rPr>
            </w:pPr>
          </w:p>
        </w:tc>
        <w:tc>
          <w:tcPr>
            <w:tcW w:w="609" w:type="dxa"/>
            <w:vMerge/>
            <w:tcBorders>
              <w:top w:val="nil"/>
            </w:tcBorders>
          </w:tcPr>
          <w:p>
            <w:pPr>
              <w:rPr>
                <w:sz w:val="2"/>
                <w:szCs w:val="2"/>
              </w:rPr>
            </w:pPr>
          </w:p>
        </w:tc>
        <w:tc>
          <w:tcPr>
            <w:tcW w:w="610" w:type="dxa"/>
            <w:vMerge/>
            <w:tcBorders>
              <w:top w:val="nil"/>
            </w:tcBorders>
          </w:tcPr>
          <w:p>
            <w:pPr>
              <w:rPr>
                <w:sz w:val="2"/>
                <w:szCs w:val="2"/>
              </w:rPr>
            </w:pPr>
          </w:p>
        </w:tc>
        <w:tc>
          <w:tcPr>
            <w:tcW w:w="609" w:type="dxa"/>
            <w:vMerge/>
            <w:tcBorders>
              <w:top w:val="nil"/>
            </w:tcBorders>
          </w:tcPr>
          <w:p>
            <w:pPr>
              <w:rPr>
                <w:sz w:val="2"/>
                <w:szCs w:val="2"/>
              </w:rPr>
            </w:pPr>
          </w:p>
        </w:tc>
        <w:tc>
          <w:tcPr>
            <w:tcW w:w="609" w:type="dxa"/>
            <w:vMerge/>
            <w:tcBorders>
              <w:top w:val="nil"/>
            </w:tcBorders>
          </w:tcPr>
          <w:p>
            <w:pPr>
              <w:rPr>
                <w:sz w:val="2"/>
                <w:szCs w:val="2"/>
              </w:rPr>
            </w:pPr>
          </w:p>
        </w:tc>
        <w:tc>
          <w:tcPr>
            <w:tcW w:w="609" w:type="dxa"/>
            <w:vMerge/>
            <w:tcBorders>
              <w:top w:val="nil"/>
            </w:tcBorders>
          </w:tcPr>
          <w:p>
            <w:pPr>
              <w:rPr>
                <w:sz w:val="2"/>
                <w:szCs w:val="2"/>
              </w:rPr>
            </w:pPr>
          </w:p>
        </w:tc>
      </w:tr>
      <w:tr>
        <w:trPr>
          <w:trHeight w:val="155" w:hRule="atLeast"/>
        </w:trPr>
        <w:tc>
          <w:tcPr>
            <w:tcW w:w="1284" w:type="dxa"/>
          </w:tcPr>
          <w:p>
            <w:pPr>
              <w:pStyle w:val="TableParagraph"/>
              <w:ind w:left="154" w:right="128"/>
              <w:rPr>
                <w:sz w:val="9"/>
              </w:rPr>
            </w:pPr>
            <w:r>
              <w:rPr>
                <w:w w:val="105"/>
                <w:sz w:val="9"/>
              </w:rPr>
              <w:t>859182400306870487</w:t>
            </w:r>
          </w:p>
        </w:tc>
        <w:tc>
          <w:tcPr>
            <w:tcW w:w="638" w:type="dxa"/>
          </w:tcPr>
          <w:p>
            <w:pPr>
              <w:pStyle w:val="TableParagraph"/>
              <w:ind w:left="43" w:right="14"/>
              <w:rPr>
                <w:sz w:val="9"/>
              </w:rPr>
            </w:pPr>
            <w:r>
              <w:rPr>
                <w:w w:val="105"/>
                <w:sz w:val="9"/>
              </w:rPr>
              <w:t>8110288075</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859182400303791105</w:t>
            </w:r>
          </w:p>
        </w:tc>
        <w:tc>
          <w:tcPr>
            <w:tcW w:w="638" w:type="dxa"/>
          </w:tcPr>
          <w:p>
            <w:pPr>
              <w:pStyle w:val="TableParagraph"/>
              <w:ind w:left="43" w:right="14"/>
              <w:rPr>
                <w:sz w:val="9"/>
              </w:rPr>
            </w:pPr>
            <w:r>
              <w:rPr>
                <w:w w:val="105"/>
                <w:sz w:val="9"/>
              </w:rPr>
              <w:t>8110159089</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859182400303070170</w:t>
            </w:r>
          </w:p>
        </w:tc>
        <w:tc>
          <w:tcPr>
            <w:tcW w:w="638" w:type="dxa"/>
          </w:tcPr>
          <w:p>
            <w:pPr>
              <w:pStyle w:val="TableParagraph"/>
              <w:ind w:left="43" w:right="14"/>
              <w:rPr>
                <w:sz w:val="9"/>
              </w:rPr>
            </w:pPr>
            <w:r>
              <w:rPr>
                <w:w w:val="105"/>
                <w:sz w:val="9"/>
              </w:rPr>
              <w:t>8110518978</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859182400303070095</w:t>
            </w:r>
          </w:p>
        </w:tc>
        <w:tc>
          <w:tcPr>
            <w:tcW w:w="638" w:type="dxa"/>
          </w:tcPr>
          <w:p>
            <w:pPr>
              <w:pStyle w:val="TableParagraph"/>
              <w:ind w:left="43" w:right="14"/>
              <w:rPr>
                <w:sz w:val="9"/>
              </w:rPr>
            </w:pPr>
            <w:r>
              <w:rPr>
                <w:w w:val="105"/>
                <w:sz w:val="9"/>
              </w:rPr>
              <w:t>8110518864</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50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859182400303791013</w:t>
            </w:r>
          </w:p>
        </w:tc>
        <w:tc>
          <w:tcPr>
            <w:tcW w:w="638" w:type="dxa"/>
          </w:tcPr>
          <w:p>
            <w:pPr>
              <w:pStyle w:val="TableParagraph"/>
              <w:ind w:left="43" w:right="14"/>
              <w:rPr>
                <w:sz w:val="9"/>
              </w:rPr>
            </w:pPr>
            <w:r>
              <w:rPr>
                <w:w w:val="105"/>
                <w:sz w:val="9"/>
              </w:rPr>
              <w:t>8110158970</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859182400303166156</w:t>
            </w:r>
          </w:p>
        </w:tc>
        <w:tc>
          <w:tcPr>
            <w:tcW w:w="638" w:type="dxa"/>
          </w:tcPr>
          <w:p>
            <w:pPr>
              <w:pStyle w:val="TableParagraph"/>
              <w:ind w:left="43" w:right="14"/>
              <w:rPr>
                <w:sz w:val="9"/>
              </w:rPr>
            </w:pPr>
            <w:r>
              <w:rPr>
                <w:w w:val="105"/>
                <w:sz w:val="9"/>
              </w:rPr>
              <w:t>8110651837</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859182400303070132</w:t>
            </w:r>
          </w:p>
        </w:tc>
        <w:tc>
          <w:tcPr>
            <w:tcW w:w="638" w:type="dxa"/>
          </w:tcPr>
          <w:p>
            <w:pPr>
              <w:pStyle w:val="TableParagraph"/>
              <w:ind w:left="43" w:right="14"/>
              <w:rPr>
                <w:sz w:val="9"/>
              </w:rPr>
            </w:pPr>
            <w:r>
              <w:rPr>
                <w:w w:val="105"/>
                <w:sz w:val="9"/>
              </w:rPr>
              <w:t>8110518918</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859182400306493792</w:t>
            </w:r>
          </w:p>
        </w:tc>
        <w:tc>
          <w:tcPr>
            <w:tcW w:w="638" w:type="dxa"/>
          </w:tcPr>
          <w:p>
            <w:pPr>
              <w:pStyle w:val="TableParagraph"/>
              <w:ind w:left="43" w:right="14"/>
              <w:rPr>
                <w:sz w:val="9"/>
              </w:rPr>
            </w:pPr>
            <w:r>
              <w:rPr>
                <w:w w:val="105"/>
                <w:sz w:val="9"/>
              </w:rPr>
              <w:t>8110441669</w:t>
            </w:r>
          </w:p>
        </w:tc>
        <w:tc>
          <w:tcPr>
            <w:tcW w:w="609" w:type="dxa"/>
          </w:tcPr>
          <w:p>
            <w:pPr>
              <w:pStyle w:val="TableParagraph"/>
              <w:ind w:right="24"/>
              <w:rPr>
                <w:sz w:val="9"/>
              </w:rPr>
            </w:pPr>
            <w:r>
              <w:rPr>
                <w:w w:val="105"/>
                <w:sz w:val="9"/>
              </w:rPr>
              <w:t>Praha 10</w:t>
            </w:r>
          </w:p>
        </w:tc>
        <w:tc>
          <w:tcPr>
            <w:tcW w:w="979" w:type="dxa"/>
          </w:tcPr>
          <w:p>
            <w:pPr>
              <w:pStyle w:val="TableParagraph"/>
              <w:ind w:left="0" w:right="70"/>
              <w:jc w:val="right"/>
              <w:rPr>
                <w:sz w:val="9"/>
              </w:rPr>
            </w:pPr>
            <w:r>
              <w:rPr>
                <w:w w:val="105"/>
                <w:sz w:val="9"/>
              </w:rPr>
              <w:t>Karpatská 1169/19</w:t>
            </w:r>
          </w:p>
        </w:tc>
        <w:tc>
          <w:tcPr>
            <w:tcW w:w="609" w:type="dxa"/>
          </w:tcPr>
          <w:p>
            <w:pPr>
              <w:pStyle w:val="TableParagraph"/>
              <w:ind w:right="23"/>
              <w:rPr>
                <w:sz w:val="9"/>
              </w:rPr>
            </w:pPr>
            <w:r>
              <w:rPr>
                <w:w w:val="105"/>
                <w:sz w:val="9"/>
              </w:rPr>
              <w:t>100 00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20</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859182400306494133</w:t>
            </w:r>
          </w:p>
        </w:tc>
        <w:tc>
          <w:tcPr>
            <w:tcW w:w="638" w:type="dxa"/>
          </w:tcPr>
          <w:p>
            <w:pPr>
              <w:pStyle w:val="TableParagraph"/>
              <w:ind w:left="43" w:right="14"/>
              <w:rPr>
                <w:sz w:val="9"/>
              </w:rPr>
            </w:pPr>
            <w:r>
              <w:rPr>
                <w:w w:val="105"/>
                <w:sz w:val="9"/>
              </w:rPr>
              <w:t>8110442122</w:t>
            </w:r>
          </w:p>
        </w:tc>
        <w:tc>
          <w:tcPr>
            <w:tcW w:w="609" w:type="dxa"/>
          </w:tcPr>
          <w:p>
            <w:pPr>
              <w:pStyle w:val="TableParagraph"/>
              <w:ind w:right="24"/>
              <w:rPr>
                <w:sz w:val="9"/>
              </w:rPr>
            </w:pPr>
            <w:r>
              <w:rPr>
                <w:w w:val="105"/>
                <w:sz w:val="9"/>
              </w:rPr>
              <w:t>Praha 10</w:t>
            </w:r>
          </w:p>
        </w:tc>
        <w:tc>
          <w:tcPr>
            <w:tcW w:w="979" w:type="dxa"/>
          </w:tcPr>
          <w:p>
            <w:pPr>
              <w:pStyle w:val="TableParagraph"/>
              <w:ind w:left="152"/>
              <w:jc w:val="left"/>
              <w:rPr>
                <w:sz w:val="9"/>
              </w:rPr>
            </w:pPr>
            <w:r>
              <w:rPr>
                <w:w w:val="105"/>
                <w:sz w:val="9"/>
              </w:rPr>
              <w:t>Jakutská 1162/4</w:t>
            </w:r>
          </w:p>
        </w:tc>
        <w:tc>
          <w:tcPr>
            <w:tcW w:w="609" w:type="dxa"/>
          </w:tcPr>
          <w:p>
            <w:pPr>
              <w:pStyle w:val="TableParagraph"/>
              <w:ind w:right="23"/>
              <w:rPr>
                <w:sz w:val="9"/>
              </w:rPr>
            </w:pPr>
            <w:r>
              <w:rPr>
                <w:w w:val="105"/>
                <w:sz w:val="9"/>
              </w:rPr>
              <w:t>100 00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60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2</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C25d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859182400303579536</w:t>
            </w:r>
          </w:p>
        </w:tc>
        <w:tc>
          <w:tcPr>
            <w:tcW w:w="638" w:type="dxa"/>
          </w:tcPr>
          <w:p>
            <w:pPr>
              <w:pStyle w:val="TableParagraph"/>
              <w:ind w:left="43" w:right="14"/>
              <w:rPr>
                <w:sz w:val="9"/>
              </w:rPr>
            </w:pPr>
            <w:r>
              <w:rPr>
                <w:w w:val="105"/>
                <w:sz w:val="9"/>
              </w:rPr>
              <w:t>8110551797</w:t>
            </w:r>
          </w:p>
        </w:tc>
        <w:tc>
          <w:tcPr>
            <w:tcW w:w="609" w:type="dxa"/>
          </w:tcPr>
          <w:p>
            <w:pPr>
              <w:pStyle w:val="TableParagraph"/>
              <w:ind w:right="24"/>
              <w:rPr>
                <w:sz w:val="9"/>
              </w:rPr>
            </w:pPr>
            <w:r>
              <w:rPr>
                <w:w w:val="105"/>
                <w:sz w:val="9"/>
              </w:rPr>
              <w:t>Praha 10</w:t>
            </w:r>
          </w:p>
        </w:tc>
        <w:tc>
          <w:tcPr>
            <w:tcW w:w="979" w:type="dxa"/>
          </w:tcPr>
          <w:p>
            <w:pPr>
              <w:pStyle w:val="TableParagraph"/>
              <w:ind w:left="193"/>
              <w:jc w:val="left"/>
              <w:rPr>
                <w:sz w:val="9"/>
              </w:rPr>
            </w:pPr>
            <w:r>
              <w:rPr>
                <w:w w:val="105"/>
                <w:sz w:val="9"/>
              </w:rPr>
              <w:t>Sámova 29b/5</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859182400306517245</w:t>
            </w:r>
          </w:p>
        </w:tc>
        <w:tc>
          <w:tcPr>
            <w:tcW w:w="638" w:type="dxa"/>
          </w:tcPr>
          <w:p>
            <w:pPr>
              <w:pStyle w:val="TableParagraph"/>
              <w:ind w:left="43" w:right="14"/>
              <w:rPr>
                <w:sz w:val="9"/>
              </w:rPr>
            </w:pPr>
            <w:r>
              <w:rPr>
                <w:w w:val="105"/>
                <w:sz w:val="9"/>
              </w:rPr>
              <w:t>8110475067</w:t>
            </w:r>
          </w:p>
        </w:tc>
        <w:tc>
          <w:tcPr>
            <w:tcW w:w="609" w:type="dxa"/>
          </w:tcPr>
          <w:p>
            <w:pPr>
              <w:pStyle w:val="TableParagraph"/>
              <w:ind w:right="24"/>
              <w:rPr>
                <w:sz w:val="9"/>
              </w:rPr>
            </w:pPr>
            <w:r>
              <w:rPr>
                <w:w w:val="105"/>
                <w:sz w:val="9"/>
              </w:rPr>
              <w:t>Praha 10</w:t>
            </w:r>
          </w:p>
        </w:tc>
        <w:tc>
          <w:tcPr>
            <w:tcW w:w="979" w:type="dxa"/>
          </w:tcPr>
          <w:p>
            <w:pPr>
              <w:pStyle w:val="TableParagraph"/>
              <w:ind w:left="0" w:right="51"/>
              <w:jc w:val="right"/>
              <w:rPr>
                <w:sz w:val="9"/>
              </w:rPr>
            </w:pPr>
            <w:r>
              <w:rPr>
                <w:w w:val="105"/>
                <w:sz w:val="9"/>
              </w:rPr>
              <w:t>Záběhlická 1796/79</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80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859182400310595369</w:t>
            </w:r>
          </w:p>
        </w:tc>
        <w:tc>
          <w:tcPr>
            <w:tcW w:w="638" w:type="dxa"/>
          </w:tcPr>
          <w:p>
            <w:pPr>
              <w:pStyle w:val="TableParagraph"/>
              <w:ind w:left="43" w:right="14"/>
              <w:rPr>
                <w:sz w:val="9"/>
              </w:rPr>
            </w:pPr>
            <w:r>
              <w:rPr>
                <w:w w:val="105"/>
                <w:sz w:val="9"/>
              </w:rPr>
              <w:t>8110786004</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29/5</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859182400303791099</w:t>
            </w:r>
          </w:p>
        </w:tc>
        <w:tc>
          <w:tcPr>
            <w:tcW w:w="638" w:type="dxa"/>
          </w:tcPr>
          <w:p>
            <w:pPr>
              <w:pStyle w:val="TableParagraph"/>
              <w:ind w:left="43" w:right="14"/>
              <w:rPr>
                <w:sz w:val="9"/>
              </w:rPr>
            </w:pPr>
            <w:r>
              <w:rPr>
                <w:w w:val="105"/>
                <w:sz w:val="9"/>
              </w:rPr>
              <w:t>8110159074</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859182400303790702</w:t>
            </w:r>
          </w:p>
        </w:tc>
        <w:tc>
          <w:tcPr>
            <w:tcW w:w="638" w:type="dxa"/>
          </w:tcPr>
          <w:p>
            <w:pPr>
              <w:pStyle w:val="TableParagraph"/>
              <w:ind w:left="43" w:right="14"/>
              <w:rPr>
                <w:sz w:val="9"/>
              </w:rPr>
            </w:pPr>
            <w:r>
              <w:rPr>
                <w:w w:val="105"/>
                <w:sz w:val="9"/>
              </w:rPr>
              <w:t>8110158529</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859182400303166552</w:t>
            </w:r>
          </w:p>
        </w:tc>
        <w:tc>
          <w:tcPr>
            <w:tcW w:w="638" w:type="dxa"/>
          </w:tcPr>
          <w:p>
            <w:pPr>
              <w:pStyle w:val="TableParagraph"/>
              <w:ind w:left="43" w:right="14"/>
              <w:rPr>
                <w:sz w:val="9"/>
              </w:rPr>
            </w:pPr>
            <w:r>
              <w:rPr>
                <w:w w:val="105"/>
                <w:sz w:val="9"/>
              </w:rPr>
              <w:t>8110652361</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859182400303790825</w:t>
            </w:r>
          </w:p>
        </w:tc>
        <w:tc>
          <w:tcPr>
            <w:tcW w:w="638" w:type="dxa"/>
          </w:tcPr>
          <w:p>
            <w:pPr>
              <w:pStyle w:val="TableParagraph"/>
              <w:ind w:left="43" w:right="14"/>
              <w:rPr>
                <w:sz w:val="9"/>
              </w:rPr>
            </w:pPr>
            <w:r>
              <w:rPr>
                <w:w w:val="105"/>
                <w:sz w:val="9"/>
              </w:rPr>
              <w:t>8110158699</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859182400303790306</w:t>
            </w:r>
          </w:p>
        </w:tc>
        <w:tc>
          <w:tcPr>
            <w:tcW w:w="638" w:type="dxa"/>
          </w:tcPr>
          <w:p>
            <w:pPr>
              <w:pStyle w:val="TableParagraph"/>
              <w:ind w:left="43" w:right="14"/>
              <w:rPr>
                <w:sz w:val="9"/>
              </w:rPr>
            </w:pPr>
            <w:r>
              <w:rPr>
                <w:w w:val="105"/>
                <w:sz w:val="9"/>
              </w:rPr>
              <w:t>8110157932</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859182400303791020</w:t>
            </w:r>
          </w:p>
        </w:tc>
        <w:tc>
          <w:tcPr>
            <w:tcW w:w="638" w:type="dxa"/>
          </w:tcPr>
          <w:p>
            <w:pPr>
              <w:pStyle w:val="TableParagraph"/>
              <w:ind w:left="43" w:right="14"/>
              <w:rPr>
                <w:sz w:val="9"/>
              </w:rPr>
            </w:pPr>
            <w:r>
              <w:rPr>
                <w:w w:val="105"/>
                <w:sz w:val="9"/>
              </w:rPr>
              <w:t>8110158984</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859182400303166767</w:t>
            </w:r>
          </w:p>
        </w:tc>
        <w:tc>
          <w:tcPr>
            <w:tcW w:w="638" w:type="dxa"/>
          </w:tcPr>
          <w:p>
            <w:pPr>
              <w:pStyle w:val="TableParagraph"/>
              <w:ind w:left="43" w:right="14"/>
              <w:rPr>
                <w:sz w:val="9"/>
              </w:rPr>
            </w:pPr>
            <w:r>
              <w:rPr>
                <w:w w:val="105"/>
                <w:sz w:val="9"/>
              </w:rPr>
              <w:t>8110652630</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859182400303070125</w:t>
            </w:r>
          </w:p>
        </w:tc>
        <w:tc>
          <w:tcPr>
            <w:tcW w:w="638" w:type="dxa"/>
          </w:tcPr>
          <w:p>
            <w:pPr>
              <w:pStyle w:val="TableParagraph"/>
              <w:ind w:left="43" w:right="14"/>
              <w:rPr>
                <w:sz w:val="9"/>
              </w:rPr>
            </w:pPr>
            <w:r>
              <w:rPr>
                <w:w w:val="105"/>
                <w:sz w:val="9"/>
              </w:rPr>
              <w:t>8110518905</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859182400303070040</w:t>
            </w:r>
          </w:p>
        </w:tc>
        <w:tc>
          <w:tcPr>
            <w:tcW w:w="638" w:type="dxa"/>
          </w:tcPr>
          <w:p>
            <w:pPr>
              <w:pStyle w:val="TableParagraph"/>
              <w:ind w:left="43" w:right="14"/>
              <w:rPr>
                <w:sz w:val="9"/>
              </w:rPr>
            </w:pPr>
            <w:r>
              <w:rPr>
                <w:w w:val="105"/>
                <w:sz w:val="9"/>
              </w:rPr>
              <w:t>8110518792</w:t>
            </w:r>
          </w:p>
        </w:tc>
        <w:tc>
          <w:tcPr>
            <w:tcW w:w="609" w:type="dxa"/>
          </w:tcPr>
          <w:p>
            <w:pPr>
              <w:pStyle w:val="TableParagraph"/>
              <w:ind w:right="24"/>
              <w:rPr>
                <w:sz w:val="9"/>
              </w:rPr>
            </w:pPr>
            <w:r>
              <w:rPr>
                <w:w w:val="105"/>
                <w:sz w:val="9"/>
              </w:rPr>
              <w:t>Praha 10</w:t>
            </w:r>
          </w:p>
        </w:tc>
        <w:tc>
          <w:tcPr>
            <w:tcW w:w="979" w:type="dxa"/>
          </w:tcPr>
          <w:p>
            <w:pPr>
              <w:pStyle w:val="TableParagraph"/>
              <w:ind w:left="193"/>
              <w:jc w:val="left"/>
              <w:rPr>
                <w:sz w:val="9"/>
              </w:rPr>
            </w:pPr>
            <w:r>
              <w:rPr>
                <w:w w:val="105"/>
                <w:sz w:val="9"/>
              </w:rPr>
              <w:t>Sámova 29b/5</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859182400303790740</w:t>
            </w:r>
          </w:p>
        </w:tc>
        <w:tc>
          <w:tcPr>
            <w:tcW w:w="638" w:type="dxa"/>
          </w:tcPr>
          <w:p>
            <w:pPr>
              <w:pStyle w:val="TableParagraph"/>
              <w:ind w:left="43" w:right="14"/>
              <w:rPr>
                <w:sz w:val="9"/>
              </w:rPr>
            </w:pPr>
            <w:r>
              <w:rPr>
                <w:w w:val="105"/>
                <w:sz w:val="9"/>
              </w:rPr>
              <w:t>8110158586</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859182400303790757</w:t>
            </w:r>
          </w:p>
        </w:tc>
        <w:tc>
          <w:tcPr>
            <w:tcW w:w="638" w:type="dxa"/>
          </w:tcPr>
          <w:p>
            <w:pPr>
              <w:pStyle w:val="TableParagraph"/>
              <w:ind w:left="43" w:right="14"/>
              <w:rPr>
                <w:sz w:val="9"/>
              </w:rPr>
            </w:pPr>
            <w:r>
              <w:rPr>
                <w:w w:val="105"/>
                <w:sz w:val="9"/>
              </w:rPr>
              <w:t>8110158600</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859182400303758023</w:t>
            </w:r>
          </w:p>
        </w:tc>
        <w:tc>
          <w:tcPr>
            <w:tcW w:w="638" w:type="dxa"/>
          </w:tcPr>
          <w:p>
            <w:pPr>
              <w:pStyle w:val="TableParagraph"/>
              <w:ind w:left="43" w:right="14"/>
              <w:rPr>
                <w:sz w:val="9"/>
              </w:rPr>
            </w:pPr>
            <w:r>
              <w:rPr>
                <w:w w:val="105"/>
                <w:sz w:val="9"/>
              </w:rPr>
              <w:t>8110098936</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35"/>
              <w:jc w:val="left"/>
              <w:rPr>
                <w:sz w:val="9"/>
              </w:rPr>
            </w:pPr>
            <w:r>
              <w:rPr>
                <w:w w:val="105"/>
                <w:sz w:val="9"/>
              </w:rPr>
              <w:t>200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3"/>
              <w:jc w:val="right"/>
              <w:rPr>
                <w:sz w:val="9"/>
              </w:rPr>
            </w:pPr>
            <w:r>
              <w:rPr>
                <w:w w:val="104"/>
                <w:sz w:val="9"/>
              </w:rPr>
              <w:t>B</w:t>
            </w:r>
          </w:p>
        </w:tc>
        <w:tc>
          <w:tcPr>
            <w:tcW w:w="609" w:type="dxa"/>
          </w:tcPr>
          <w:p>
            <w:pPr>
              <w:pStyle w:val="TableParagraph"/>
              <w:ind w:left="205"/>
              <w:jc w:val="left"/>
              <w:rPr>
                <w:sz w:val="9"/>
              </w:rPr>
            </w:pPr>
            <w:r>
              <w:rPr>
                <w:w w:val="105"/>
                <w:sz w:val="9"/>
              </w:rPr>
              <w:t>C03d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859182400303070064</w:t>
            </w:r>
          </w:p>
        </w:tc>
        <w:tc>
          <w:tcPr>
            <w:tcW w:w="638" w:type="dxa"/>
          </w:tcPr>
          <w:p>
            <w:pPr>
              <w:pStyle w:val="TableParagraph"/>
              <w:ind w:left="43" w:right="14"/>
              <w:rPr>
                <w:sz w:val="9"/>
              </w:rPr>
            </w:pPr>
            <w:r>
              <w:rPr>
                <w:w w:val="105"/>
                <w:sz w:val="9"/>
              </w:rPr>
              <w:t>8110518819</w:t>
            </w:r>
          </w:p>
        </w:tc>
        <w:tc>
          <w:tcPr>
            <w:tcW w:w="609" w:type="dxa"/>
          </w:tcPr>
          <w:p>
            <w:pPr>
              <w:pStyle w:val="TableParagraph"/>
              <w:ind w:right="24"/>
              <w:rPr>
                <w:sz w:val="9"/>
              </w:rPr>
            </w:pPr>
            <w:r>
              <w:rPr>
                <w:w w:val="105"/>
                <w:sz w:val="9"/>
              </w:rPr>
              <w:t>Praha 10</w:t>
            </w:r>
          </w:p>
        </w:tc>
        <w:tc>
          <w:tcPr>
            <w:tcW w:w="979" w:type="dxa"/>
          </w:tcPr>
          <w:p>
            <w:pPr>
              <w:pStyle w:val="TableParagraph"/>
              <w:ind w:left="193"/>
              <w:jc w:val="left"/>
              <w:rPr>
                <w:sz w:val="9"/>
              </w:rPr>
            </w:pPr>
            <w:r>
              <w:rPr>
                <w:w w:val="105"/>
                <w:sz w:val="9"/>
              </w:rPr>
              <w:t>Sámova 29b/5</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63</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859182400303790696</w:t>
            </w:r>
          </w:p>
        </w:tc>
        <w:tc>
          <w:tcPr>
            <w:tcW w:w="638" w:type="dxa"/>
          </w:tcPr>
          <w:p>
            <w:pPr>
              <w:pStyle w:val="TableParagraph"/>
              <w:ind w:left="43" w:right="14"/>
              <w:rPr>
                <w:sz w:val="9"/>
              </w:rPr>
            </w:pPr>
            <w:r>
              <w:rPr>
                <w:w w:val="105"/>
                <w:sz w:val="9"/>
              </w:rPr>
              <w:t>8110158515</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859182400303166637</w:t>
            </w:r>
          </w:p>
        </w:tc>
        <w:tc>
          <w:tcPr>
            <w:tcW w:w="638" w:type="dxa"/>
          </w:tcPr>
          <w:p>
            <w:pPr>
              <w:pStyle w:val="TableParagraph"/>
              <w:ind w:left="43" w:right="14"/>
              <w:rPr>
                <w:sz w:val="9"/>
              </w:rPr>
            </w:pPr>
            <w:r>
              <w:rPr>
                <w:w w:val="105"/>
                <w:sz w:val="9"/>
              </w:rPr>
              <w:t>8110652465</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859182400303166613</w:t>
            </w:r>
          </w:p>
        </w:tc>
        <w:tc>
          <w:tcPr>
            <w:tcW w:w="638" w:type="dxa"/>
          </w:tcPr>
          <w:p>
            <w:pPr>
              <w:pStyle w:val="TableParagraph"/>
              <w:ind w:left="43" w:right="14"/>
              <w:rPr>
                <w:sz w:val="9"/>
              </w:rPr>
            </w:pPr>
            <w:r>
              <w:rPr>
                <w:w w:val="105"/>
                <w:sz w:val="9"/>
              </w:rPr>
              <w:t>8110652438</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859182400303790689</w:t>
            </w:r>
          </w:p>
        </w:tc>
        <w:tc>
          <w:tcPr>
            <w:tcW w:w="638" w:type="dxa"/>
          </w:tcPr>
          <w:p>
            <w:pPr>
              <w:pStyle w:val="TableParagraph"/>
              <w:ind w:left="43" w:right="14"/>
              <w:rPr>
                <w:sz w:val="9"/>
              </w:rPr>
            </w:pPr>
            <w:r>
              <w:rPr>
                <w:w w:val="105"/>
                <w:sz w:val="9"/>
              </w:rPr>
              <w:t>8110158503</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859182400303791082</w:t>
            </w:r>
          </w:p>
        </w:tc>
        <w:tc>
          <w:tcPr>
            <w:tcW w:w="638" w:type="dxa"/>
          </w:tcPr>
          <w:p>
            <w:pPr>
              <w:pStyle w:val="TableParagraph"/>
              <w:ind w:left="43" w:right="14"/>
              <w:rPr>
                <w:sz w:val="9"/>
              </w:rPr>
            </w:pPr>
            <w:r>
              <w:rPr>
                <w:w w:val="105"/>
                <w:sz w:val="9"/>
              </w:rPr>
              <w:t>8110159062</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859182400303790160</w:t>
            </w:r>
          </w:p>
        </w:tc>
        <w:tc>
          <w:tcPr>
            <w:tcW w:w="638" w:type="dxa"/>
          </w:tcPr>
          <w:p>
            <w:pPr>
              <w:pStyle w:val="TableParagraph"/>
              <w:ind w:left="43" w:right="14"/>
              <w:rPr>
                <w:sz w:val="9"/>
              </w:rPr>
            </w:pPr>
            <w:r>
              <w:rPr>
                <w:w w:val="105"/>
                <w:sz w:val="9"/>
              </w:rPr>
              <w:t>8110157735</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859182400303070163</w:t>
            </w:r>
          </w:p>
        </w:tc>
        <w:tc>
          <w:tcPr>
            <w:tcW w:w="638" w:type="dxa"/>
          </w:tcPr>
          <w:p>
            <w:pPr>
              <w:pStyle w:val="TableParagraph"/>
              <w:ind w:left="43" w:right="14"/>
              <w:rPr>
                <w:sz w:val="9"/>
              </w:rPr>
            </w:pPr>
            <w:r>
              <w:rPr>
                <w:w w:val="105"/>
                <w:sz w:val="9"/>
              </w:rPr>
              <w:t>8110518964</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859182400303070118</w:t>
            </w:r>
          </w:p>
        </w:tc>
        <w:tc>
          <w:tcPr>
            <w:tcW w:w="638" w:type="dxa"/>
          </w:tcPr>
          <w:p>
            <w:pPr>
              <w:pStyle w:val="TableParagraph"/>
              <w:ind w:left="43" w:right="14"/>
              <w:rPr>
                <w:sz w:val="9"/>
              </w:rPr>
            </w:pPr>
            <w:r>
              <w:rPr>
                <w:w w:val="105"/>
                <w:sz w:val="9"/>
              </w:rPr>
              <w:t>8110518891</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30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859182400303791211</w:t>
            </w:r>
          </w:p>
        </w:tc>
        <w:tc>
          <w:tcPr>
            <w:tcW w:w="638" w:type="dxa"/>
          </w:tcPr>
          <w:p>
            <w:pPr>
              <w:pStyle w:val="TableParagraph"/>
              <w:ind w:left="43" w:right="14"/>
              <w:rPr>
                <w:sz w:val="9"/>
              </w:rPr>
            </w:pPr>
            <w:r>
              <w:rPr>
                <w:w w:val="105"/>
                <w:sz w:val="9"/>
              </w:rPr>
              <w:t>8110159246</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859182400303790719</w:t>
            </w:r>
          </w:p>
        </w:tc>
        <w:tc>
          <w:tcPr>
            <w:tcW w:w="638" w:type="dxa"/>
          </w:tcPr>
          <w:p>
            <w:pPr>
              <w:pStyle w:val="TableParagraph"/>
              <w:ind w:left="43" w:right="14"/>
              <w:rPr>
                <w:sz w:val="9"/>
              </w:rPr>
            </w:pPr>
            <w:r>
              <w:rPr>
                <w:w w:val="105"/>
                <w:sz w:val="9"/>
              </w:rPr>
              <w:t>8110158540</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859182400303166330</w:t>
            </w:r>
          </w:p>
        </w:tc>
        <w:tc>
          <w:tcPr>
            <w:tcW w:w="638" w:type="dxa"/>
          </w:tcPr>
          <w:p>
            <w:pPr>
              <w:pStyle w:val="TableParagraph"/>
              <w:ind w:left="43" w:right="14"/>
              <w:rPr>
                <w:sz w:val="9"/>
              </w:rPr>
            </w:pPr>
            <w:r>
              <w:rPr>
                <w:w w:val="105"/>
                <w:sz w:val="9"/>
              </w:rPr>
              <w:t>8110652062</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spacing w:before="25"/>
              <w:ind w:left="154" w:right="128"/>
              <w:rPr>
                <w:sz w:val="9"/>
              </w:rPr>
            </w:pPr>
            <w:r>
              <w:rPr>
                <w:w w:val="105"/>
                <w:sz w:val="9"/>
              </w:rPr>
              <w:t>859182400306868330</w:t>
            </w:r>
          </w:p>
        </w:tc>
        <w:tc>
          <w:tcPr>
            <w:tcW w:w="638" w:type="dxa"/>
          </w:tcPr>
          <w:p>
            <w:pPr>
              <w:pStyle w:val="TableParagraph"/>
              <w:spacing w:before="25"/>
              <w:ind w:left="43" w:right="14"/>
              <w:rPr>
                <w:sz w:val="9"/>
              </w:rPr>
            </w:pPr>
            <w:r>
              <w:rPr>
                <w:w w:val="105"/>
                <w:sz w:val="9"/>
              </w:rPr>
              <w:t>8110284613</w:t>
            </w:r>
          </w:p>
        </w:tc>
        <w:tc>
          <w:tcPr>
            <w:tcW w:w="609" w:type="dxa"/>
          </w:tcPr>
          <w:p>
            <w:pPr>
              <w:pStyle w:val="TableParagraph"/>
              <w:spacing w:before="25"/>
              <w:ind w:right="24"/>
              <w:rPr>
                <w:sz w:val="9"/>
              </w:rPr>
            </w:pPr>
            <w:r>
              <w:rPr>
                <w:w w:val="105"/>
                <w:sz w:val="9"/>
              </w:rPr>
              <w:t>Praha 10</w:t>
            </w:r>
          </w:p>
        </w:tc>
        <w:tc>
          <w:tcPr>
            <w:tcW w:w="979" w:type="dxa"/>
          </w:tcPr>
          <w:p>
            <w:pPr>
              <w:pStyle w:val="TableParagraph"/>
              <w:spacing w:before="25"/>
              <w:ind w:left="219"/>
              <w:jc w:val="left"/>
              <w:rPr>
                <w:sz w:val="9"/>
              </w:rPr>
            </w:pPr>
            <w:r>
              <w:rPr>
                <w:w w:val="105"/>
                <w:sz w:val="9"/>
              </w:rPr>
              <w:t>Sámova 29/7</w:t>
            </w:r>
          </w:p>
        </w:tc>
        <w:tc>
          <w:tcPr>
            <w:tcW w:w="609" w:type="dxa"/>
          </w:tcPr>
          <w:p>
            <w:pPr>
              <w:pStyle w:val="TableParagraph"/>
              <w:spacing w:before="25"/>
              <w:ind w:right="23"/>
              <w:rPr>
                <w:sz w:val="9"/>
              </w:rPr>
            </w:pPr>
            <w:r>
              <w:rPr>
                <w:w w:val="105"/>
                <w:sz w:val="9"/>
              </w:rPr>
              <w:t>101 00</w:t>
            </w:r>
          </w:p>
        </w:tc>
        <w:tc>
          <w:tcPr>
            <w:tcW w:w="609" w:type="dxa"/>
          </w:tcPr>
          <w:p>
            <w:pPr>
              <w:pStyle w:val="TableParagraph"/>
              <w:spacing w:before="25"/>
              <w:ind w:right="22"/>
              <w:rPr>
                <w:sz w:val="9"/>
              </w:rPr>
            </w:pPr>
            <w:r>
              <w:rPr>
                <w:w w:val="105"/>
                <w:sz w:val="9"/>
              </w:rPr>
              <w:t>PREdi</w:t>
            </w:r>
          </w:p>
        </w:tc>
        <w:tc>
          <w:tcPr>
            <w:tcW w:w="609" w:type="dxa"/>
          </w:tcPr>
          <w:p>
            <w:pPr>
              <w:pStyle w:val="TableParagraph"/>
              <w:spacing w:before="25"/>
              <w:ind w:left="262"/>
              <w:jc w:val="left"/>
              <w:rPr>
                <w:sz w:val="9"/>
              </w:rPr>
            </w:pPr>
            <w:r>
              <w:rPr>
                <w:w w:val="105"/>
                <w:sz w:val="9"/>
              </w:rPr>
              <w:t>25</w:t>
            </w:r>
          </w:p>
        </w:tc>
        <w:tc>
          <w:tcPr>
            <w:tcW w:w="609" w:type="dxa"/>
          </w:tcPr>
          <w:p>
            <w:pPr>
              <w:pStyle w:val="TableParagraph"/>
              <w:spacing w:before="25"/>
              <w:ind w:right="15"/>
              <w:rPr>
                <w:sz w:val="9"/>
              </w:rPr>
            </w:pPr>
            <w:r>
              <w:rPr>
                <w:w w:val="105"/>
                <w:sz w:val="9"/>
              </w:rPr>
              <w:t>1F</w:t>
            </w:r>
          </w:p>
        </w:tc>
        <w:tc>
          <w:tcPr>
            <w:tcW w:w="609" w:type="dxa"/>
          </w:tcPr>
          <w:p>
            <w:pPr>
              <w:pStyle w:val="TableParagraph"/>
              <w:spacing w:before="25"/>
              <w:ind w:left="38"/>
              <w:rPr>
                <w:sz w:val="9"/>
              </w:rPr>
            </w:pPr>
            <w:r>
              <w:rPr>
                <w:w w:val="103"/>
                <w:sz w:val="9"/>
              </w:rPr>
              <w:t>1</w:t>
            </w:r>
          </w:p>
        </w:tc>
        <w:tc>
          <w:tcPr>
            <w:tcW w:w="609" w:type="dxa"/>
          </w:tcPr>
          <w:p>
            <w:pPr>
              <w:pStyle w:val="TableParagraph"/>
              <w:spacing w:before="25"/>
              <w:ind w:right="13"/>
              <w:rPr>
                <w:sz w:val="9"/>
              </w:rPr>
            </w:pPr>
            <w:r>
              <w:rPr>
                <w:w w:val="105"/>
                <w:sz w:val="9"/>
              </w:rPr>
              <w:t>nn</w:t>
            </w:r>
          </w:p>
        </w:tc>
        <w:tc>
          <w:tcPr>
            <w:tcW w:w="610" w:type="dxa"/>
          </w:tcPr>
          <w:p>
            <w:pPr>
              <w:pStyle w:val="TableParagraph"/>
              <w:spacing w:before="25"/>
              <w:ind w:left="0" w:right="241"/>
              <w:jc w:val="right"/>
              <w:rPr>
                <w:sz w:val="9"/>
              </w:rPr>
            </w:pPr>
            <w:r>
              <w:rPr>
                <w:w w:val="103"/>
                <w:sz w:val="9"/>
              </w:rPr>
              <w:t>C</w:t>
            </w:r>
          </w:p>
        </w:tc>
        <w:tc>
          <w:tcPr>
            <w:tcW w:w="609" w:type="dxa"/>
          </w:tcPr>
          <w:p>
            <w:pPr>
              <w:pStyle w:val="TableParagraph"/>
              <w:spacing w:before="25"/>
              <w:ind w:left="205"/>
              <w:jc w:val="left"/>
              <w:rPr>
                <w:sz w:val="9"/>
              </w:rPr>
            </w:pPr>
            <w:r>
              <w:rPr>
                <w:w w:val="105"/>
                <w:sz w:val="9"/>
              </w:rPr>
              <w:t>C02d</w:t>
            </w:r>
          </w:p>
        </w:tc>
        <w:tc>
          <w:tcPr>
            <w:tcW w:w="609" w:type="dxa"/>
          </w:tcPr>
          <w:p>
            <w:pPr>
              <w:pStyle w:val="TableParagraph"/>
              <w:spacing w:before="25"/>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859182400303166675</w:t>
            </w:r>
          </w:p>
        </w:tc>
        <w:tc>
          <w:tcPr>
            <w:tcW w:w="638" w:type="dxa"/>
          </w:tcPr>
          <w:p>
            <w:pPr>
              <w:pStyle w:val="TableParagraph"/>
              <w:ind w:left="43" w:right="14"/>
              <w:rPr>
                <w:sz w:val="9"/>
              </w:rPr>
            </w:pPr>
            <w:r>
              <w:rPr>
                <w:w w:val="105"/>
                <w:sz w:val="9"/>
              </w:rPr>
              <w:t>8110652512</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859182400303790436</w:t>
            </w:r>
          </w:p>
        </w:tc>
        <w:tc>
          <w:tcPr>
            <w:tcW w:w="638" w:type="dxa"/>
          </w:tcPr>
          <w:p>
            <w:pPr>
              <w:pStyle w:val="TableParagraph"/>
              <w:ind w:left="43" w:right="14"/>
              <w:rPr>
                <w:sz w:val="9"/>
              </w:rPr>
            </w:pPr>
            <w:r>
              <w:rPr>
                <w:w w:val="105"/>
                <w:sz w:val="9"/>
              </w:rPr>
              <w:t>8110158124</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859182400303790399</w:t>
            </w:r>
          </w:p>
        </w:tc>
        <w:tc>
          <w:tcPr>
            <w:tcW w:w="638" w:type="dxa"/>
          </w:tcPr>
          <w:p>
            <w:pPr>
              <w:pStyle w:val="TableParagraph"/>
              <w:ind w:left="43" w:right="14"/>
              <w:rPr>
                <w:sz w:val="9"/>
              </w:rPr>
            </w:pPr>
            <w:r>
              <w:rPr>
                <w:w w:val="105"/>
                <w:sz w:val="9"/>
              </w:rPr>
              <w:t>8110158054</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859182400303790351</w:t>
            </w:r>
          </w:p>
        </w:tc>
        <w:tc>
          <w:tcPr>
            <w:tcW w:w="638" w:type="dxa"/>
          </w:tcPr>
          <w:p>
            <w:pPr>
              <w:pStyle w:val="TableParagraph"/>
              <w:ind w:left="43" w:right="14"/>
              <w:rPr>
                <w:sz w:val="9"/>
              </w:rPr>
            </w:pPr>
            <w:r>
              <w:rPr>
                <w:w w:val="105"/>
                <w:sz w:val="9"/>
              </w:rPr>
              <w:t>8110157997</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859182400303790337</w:t>
            </w:r>
          </w:p>
        </w:tc>
        <w:tc>
          <w:tcPr>
            <w:tcW w:w="638" w:type="dxa"/>
          </w:tcPr>
          <w:p>
            <w:pPr>
              <w:pStyle w:val="TableParagraph"/>
              <w:ind w:left="43" w:right="14"/>
              <w:rPr>
                <w:sz w:val="9"/>
              </w:rPr>
            </w:pPr>
            <w:r>
              <w:rPr>
                <w:w w:val="105"/>
                <w:sz w:val="9"/>
              </w:rPr>
              <w:t>8110157973</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859182400303791198</w:t>
            </w:r>
          </w:p>
        </w:tc>
        <w:tc>
          <w:tcPr>
            <w:tcW w:w="638" w:type="dxa"/>
          </w:tcPr>
          <w:p>
            <w:pPr>
              <w:pStyle w:val="TableParagraph"/>
              <w:ind w:left="43" w:right="14"/>
              <w:rPr>
                <w:sz w:val="9"/>
              </w:rPr>
            </w:pPr>
            <w:r>
              <w:rPr>
                <w:w w:val="105"/>
                <w:sz w:val="9"/>
              </w:rPr>
              <w:t>8110159222</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859182400311076065</w:t>
            </w:r>
          </w:p>
        </w:tc>
        <w:tc>
          <w:tcPr>
            <w:tcW w:w="638" w:type="dxa"/>
          </w:tcPr>
          <w:p>
            <w:pPr>
              <w:pStyle w:val="TableParagraph"/>
              <w:ind w:left="43" w:right="14"/>
              <w:rPr>
                <w:sz w:val="9"/>
              </w:rPr>
            </w:pPr>
            <w:r>
              <w:rPr>
                <w:w w:val="105"/>
                <w:sz w:val="9"/>
              </w:rPr>
              <w:t>8110843800</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35"/>
              <w:jc w:val="left"/>
              <w:rPr>
                <w:sz w:val="9"/>
              </w:rPr>
            </w:pPr>
            <w:r>
              <w:rPr>
                <w:w w:val="105"/>
                <w:sz w:val="9"/>
              </w:rPr>
              <w:t>250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3"/>
              <w:jc w:val="right"/>
              <w:rPr>
                <w:sz w:val="9"/>
              </w:rPr>
            </w:pPr>
            <w:r>
              <w:rPr>
                <w:w w:val="104"/>
                <w:sz w:val="9"/>
              </w:rPr>
              <w:t>B</w:t>
            </w:r>
          </w:p>
        </w:tc>
        <w:tc>
          <w:tcPr>
            <w:tcW w:w="609" w:type="dxa"/>
          </w:tcPr>
          <w:p>
            <w:pPr>
              <w:pStyle w:val="TableParagraph"/>
              <w:ind w:left="205"/>
              <w:jc w:val="left"/>
              <w:rPr>
                <w:sz w:val="9"/>
              </w:rPr>
            </w:pPr>
            <w:r>
              <w:rPr>
                <w:w w:val="105"/>
                <w:sz w:val="9"/>
              </w:rPr>
              <w:t>C02d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859182400303166477</w:t>
            </w:r>
          </w:p>
        </w:tc>
        <w:tc>
          <w:tcPr>
            <w:tcW w:w="638" w:type="dxa"/>
          </w:tcPr>
          <w:p>
            <w:pPr>
              <w:pStyle w:val="TableParagraph"/>
              <w:ind w:left="43" w:right="14"/>
              <w:rPr>
                <w:sz w:val="9"/>
              </w:rPr>
            </w:pPr>
            <w:r>
              <w:rPr>
                <w:w w:val="105"/>
                <w:sz w:val="9"/>
              </w:rPr>
              <w:t>8110652251</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859182400303791235</w:t>
            </w:r>
          </w:p>
        </w:tc>
        <w:tc>
          <w:tcPr>
            <w:tcW w:w="638" w:type="dxa"/>
          </w:tcPr>
          <w:p>
            <w:pPr>
              <w:pStyle w:val="TableParagraph"/>
              <w:ind w:left="43" w:right="14"/>
              <w:rPr>
                <w:sz w:val="9"/>
              </w:rPr>
            </w:pPr>
            <w:r>
              <w:rPr>
                <w:w w:val="105"/>
                <w:sz w:val="9"/>
              </w:rPr>
              <w:t>8110159268</w:t>
            </w:r>
          </w:p>
        </w:tc>
        <w:tc>
          <w:tcPr>
            <w:tcW w:w="609" w:type="dxa"/>
          </w:tcPr>
          <w:p>
            <w:pPr>
              <w:pStyle w:val="TableParagraph"/>
              <w:ind w:right="24"/>
              <w:rPr>
                <w:sz w:val="9"/>
              </w:rPr>
            </w:pPr>
            <w:r>
              <w:rPr>
                <w:w w:val="105"/>
                <w:sz w:val="9"/>
              </w:rPr>
              <w:t>Praha 10</w:t>
            </w:r>
          </w:p>
        </w:tc>
        <w:tc>
          <w:tcPr>
            <w:tcW w:w="979" w:type="dxa"/>
          </w:tcPr>
          <w:p>
            <w:pPr>
              <w:pStyle w:val="TableParagraph"/>
              <w:ind w:left="0" w:right="103"/>
              <w:jc w:val="right"/>
              <w:rPr>
                <w:sz w:val="9"/>
              </w:rPr>
            </w:pPr>
            <w:r>
              <w:rPr>
                <w:w w:val="105"/>
                <w:sz w:val="9"/>
              </w:rPr>
              <w:t>Zvonková 2902/6</w:t>
            </w:r>
          </w:p>
        </w:tc>
        <w:tc>
          <w:tcPr>
            <w:tcW w:w="609" w:type="dxa"/>
          </w:tcPr>
          <w:p>
            <w:pPr>
              <w:pStyle w:val="TableParagraph"/>
              <w:ind w:right="23"/>
              <w:rPr>
                <w:sz w:val="9"/>
              </w:rPr>
            </w:pPr>
            <w:r>
              <w:rPr>
                <w:w w:val="105"/>
                <w:sz w:val="9"/>
              </w:rPr>
              <w:t>106 00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16</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4</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D02d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859182400303042153</w:t>
            </w:r>
          </w:p>
        </w:tc>
        <w:tc>
          <w:tcPr>
            <w:tcW w:w="638" w:type="dxa"/>
          </w:tcPr>
          <w:p>
            <w:pPr>
              <w:pStyle w:val="TableParagraph"/>
              <w:ind w:left="43" w:right="14"/>
              <w:rPr>
                <w:sz w:val="9"/>
              </w:rPr>
            </w:pPr>
            <w:r>
              <w:rPr>
                <w:w w:val="105"/>
                <w:sz w:val="9"/>
              </w:rPr>
              <w:t>8110477831</w:t>
            </w:r>
          </w:p>
        </w:tc>
        <w:tc>
          <w:tcPr>
            <w:tcW w:w="609" w:type="dxa"/>
          </w:tcPr>
          <w:p>
            <w:pPr>
              <w:pStyle w:val="TableParagraph"/>
              <w:ind w:right="24"/>
              <w:rPr>
                <w:sz w:val="9"/>
              </w:rPr>
            </w:pPr>
            <w:r>
              <w:rPr>
                <w:w w:val="105"/>
                <w:sz w:val="9"/>
              </w:rPr>
              <w:t>Praha 10</w:t>
            </w:r>
          </w:p>
        </w:tc>
        <w:tc>
          <w:tcPr>
            <w:tcW w:w="979" w:type="dxa"/>
          </w:tcPr>
          <w:p>
            <w:pPr>
              <w:pStyle w:val="TableParagraph"/>
              <w:ind w:left="0" w:right="53"/>
              <w:jc w:val="right"/>
              <w:rPr>
                <w:sz w:val="9"/>
              </w:rPr>
            </w:pPr>
            <w:r>
              <w:rPr>
                <w:w w:val="105"/>
                <w:sz w:val="9"/>
              </w:rPr>
              <w:t>U nových vil 943/28</w:t>
            </w:r>
          </w:p>
        </w:tc>
        <w:tc>
          <w:tcPr>
            <w:tcW w:w="609" w:type="dxa"/>
          </w:tcPr>
          <w:p>
            <w:pPr>
              <w:pStyle w:val="TableParagraph"/>
              <w:ind w:right="23"/>
              <w:rPr>
                <w:sz w:val="9"/>
              </w:rPr>
            </w:pPr>
            <w:r>
              <w:rPr>
                <w:w w:val="105"/>
                <w:sz w:val="9"/>
              </w:rPr>
              <w:t>100 00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3</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C45d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859182400303165739</w:t>
            </w:r>
          </w:p>
        </w:tc>
        <w:tc>
          <w:tcPr>
            <w:tcW w:w="638" w:type="dxa"/>
          </w:tcPr>
          <w:p>
            <w:pPr>
              <w:pStyle w:val="TableParagraph"/>
              <w:ind w:left="43" w:right="14"/>
              <w:rPr>
                <w:sz w:val="9"/>
              </w:rPr>
            </w:pPr>
            <w:r>
              <w:rPr>
                <w:w w:val="105"/>
                <w:sz w:val="9"/>
              </w:rPr>
              <w:t>8110651255</w:t>
            </w:r>
          </w:p>
        </w:tc>
        <w:tc>
          <w:tcPr>
            <w:tcW w:w="609" w:type="dxa"/>
          </w:tcPr>
          <w:p>
            <w:pPr>
              <w:pStyle w:val="TableParagraph"/>
              <w:ind w:right="24"/>
              <w:rPr>
                <w:sz w:val="9"/>
              </w:rPr>
            </w:pPr>
            <w:r>
              <w:rPr>
                <w:w w:val="105"/>
                <w:sz w:val="9"/>
              </w:rPr>
              <w:t>Praha 10</w:t>
            </w:r>
          </w:p>
        </w:tc>
        <w:tc>
          <w:tcPr>
            <w:tcW w:w="979" w:type="dxa"/>
          </w:tcPr>
          <w:p>
            <w:pPr>
              <w:pStyle w:val="TableParagraph"/>
              <w:ind w:left="193"/>
              <w:jc w:val="left"/>
              <w:rPr>
                <w:sz w:val="9"/>
              </w:rPr>
            </w:pPr>
            <w:r>
              <w:rPr>
                <w:w w:val="105"/>
                <w:sz w:val="9"/>
              </w:rPr>
              <w:t>Sámova 29b/5</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859182400303166231</w:t>
            </w:r>
          </w:p>
        </w:tc>
        <w:tc>
          <w:tcPr>
            <w:tcW w:w="638" w:type="dxa"/>
          </w:tcPr>
          <w:p>
            <w:pPr>
              <w:pStyle w:val="TableParagraph"/>
              <w:ind w:left="43" w:right="14"/>
              <w:rPr>
                <w:sz w:val="9"/>
              </w:rPr>
            </w:pPr>
            <w:r>
              <w:rPr>
                <w:w w:val="105"/>
                <w:sz w:val="9"/>
              </w:rPr>
              <w:t>8110651943</w:t>
            </w:r>
          </w:p>
        </w:tc>
        <w:tc>
          <w:tcPr>
            <w:tcW w:w="609" w:type="dxa"/>
          </w:tcPr>
          <w:p>
            <w:pPr>
              <w:pStyle w:val="TableParagraph"/>
              <w:ind w:right="24"/>
              <w:rPr>
                <w:sz w:val="9"/>
              </w:rPr>
            </w:pPr>
            <w:r>
              <w:rPr>
                <w:w w:val="105"/>
                <w:sz w:val="9"/>
              </w:rPr>
              <w:t>Praha 10</w:t>
            </w:r>
          </w:p>
        </w:tc>
        <w:tc>
          <w:tcPr>
            <w:tcW w:w="979" w:type="dxa"/>
          </w:tcPr>
          <w:p>
            <w:pPr>
              <w:pStyle w:val="TableParagraph"/>
              <w:ind w:left="219"/>
              <w:jc w:val="left"/>
              <w:rPr>
                <w:sz w:val="9"/>
              </w:rPr>
            </w:pPr>
            <w:r>
              <w:rPr>
                <w:w w:val="105"/>
                <w:sz w:val="9"/>
              </w:rPr>
              <w:t>Sámova 29/7</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1F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859182400303535174</w:t>
            </w:r>
          </w:p>
        </w:tc>
        <w:tc>
          <w:tcPr>
            <w:tcW w:w="638" w:type="dxa"/>
          </w:tcPr>
          <w:p>
            <w:pPr>
              <w:pStyle w:val="TableParagraph"/>
              <w:ind w:left="43" w:right="14"/>
              <w:rPr>
                <w:sz w:val="9"/>
              </w:rPr>
            </w:pPr>
            <w:r>
              <w:rPr>
                <w:w w:val="105"/>
                <w:sz w:val="9"/>
              </w:rPr>
              <w:t>8110482848</w:t>
            </w:r>
          </w:p>
        </w:tc>
        <w:tc>
          <w:tcPr>
            <w:tcW w:w="609" w:type="dxa"/>
          </w:tcPr>
          <w:p>
            <w:pPr>
              <w:pStyle w:val="TableParagraph"/>
              <w:ind w:right="24"/>
              <w:rPr>
                <w:sz w:val="9"/>
              </w:rPr>
            </w:pPr>
            <w:r>
              <w:rPr>
                <w:w w:val="105"/>
                <w:sz w:val="9"/>
              </w:rPr>
              <w:t>Praha 10</w:t>
            </w:r>
          </w:p>
        </w:tc>
        <w:tc>
          <w:tcPr>
            <w:tcW w:w="979" w:type="dxa"/>
          </w:tcPr>
          <w:p>
            <w:pPr>
              <w:pStyle w:val="TableParagraph"/>
              <w:ind w:left="0" w:right="72"/>
              <w:jc w:val="right"/>
              <w:rPr>
                <w:sz w:val="9"/>
              </w:rPr>
            </w:pPr>
            <w:r>
              <w:rPr>
                <w:w w:val="105"/>
                <w:sz w:val="9"/>
              </w:rPr>
              <w:t>Počernická 524/64</w:t>
            </w:r>
          </w:p>
        </w:tc>
        <w:tc>
          <w:tcPr>
            <w:tcW w:w="609" w:type="dxa"/>
          </w:tcPr>
          <w:p>
            <w:pPr>
              <w:pStyle w:val="TableParagraph"/>
              <w:ind w:right="23"/>
              <w:rPr>
                <w:sz w:val="9"/>
              </w:rPr>
            </w:pPr>
            <w:r>
              <w:rPr>
                <w:w w:val="105"/>
                <w:sz w:val="9"/>
              </w:rPr>
              <w:t>108 00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25</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r>
        <w:trPr>
          <w:trHeight w:val="155" w:hRule="atLeast"/>
        </w:trPr>
        <w:tc>
          <w:tcPr>
            <w:tcW w:w="1284" w:type="dxa"/>
          </w:tcPr>
          <w:p>
            <w:pPr>
              <w:pStyle w:val="TableParagraph"/>
              <w:ind w:left="154" w:right="128"/>
              <w:rPr>
                <w:sz w:val="9"/>
              </w:rPr>
            </w:pPr>
            <w:r>
              <w:rPr>
                <w:w w:val="105"/>
                <w:sz w:val="9"/>
              </w:rPr>
              <w:t>859182400303070026</w:t>
            </w:r>
          </w:p>
        </w:tc>
        <w:tc>
          <w:tcPr>
            <w:tcW w:w="638" w:type="dxa"/>
          </w:tcPr>
          <w:p>
            <w:pPr>
              <w:pStyle w:val="TableParagraph"/>
              <w:ind w:left="43" w:right="14"/>
              <w:rPr>
                <w:sz w:val="9"/>
              </w:rPr>
            </w:pPr>
            <w:r>
              <w:rPr>
                <w:w w:val="105"/>
                <w:sz w:val="9"/>
              </w:rPr>
              <w:t>8110518764</w:t>
            </w:r>
          </w:p>
        </w:tc>
        <w:tc>
          <w:tcPr>
            <w:tcW w:w="609" w:type="dxa"/>
          </w:tcPr>
          <w:p>
            <w:pPr>
              <w:pStyle w:val="TableParagraph"/>
              <w:ind w:right="24"/>
              <w:rPr>
                <w:sz w:val="9"/>
              </w:rPr>
            </w:pPr>
            <w:r>
              <w:rPr>
                <w:w w:val="105"/>
                <w:sz w:val="9"/>
              </w:rPr>
              <w:t>Praha 10</w:t>
            </w:r>
          </w:p>
        </w:tc>
        <w:tc>
          <w:tcPr>
            <w:tcW w:w="979" w:type="dxa"/>
          </w:tcPr>
          <w:p>
            <w:pPr>
              <w:pStyle w:val="TableParagraph"/>
              <w:ind w:left="193"/>
              <w:jc w:val="left"/>
              <w:rPr>
                <w:sz w:val="9"/>
              </w:rPr>
            </w:pPr>
            <w:r>
              <w:rPr>
                <w:w w:val="105"/>
                <w:sz w:val="9"/>
              </w:rPr>
              <w:t>Sámova 29b/5</w:t>
            </w:r>
          </w:p>
        </w:tc>
        <w:tc>
          <w:tcPr>
            <w:tcW w:w="609" w:type="dxa"/>
          </w:tcPr>
          <w:p>
            <w:pPr>
              <w:pStyle w:val="TableParagraph"/>
              <w:ind w:right="23"/>
              <w:rPr>
                <w:sz w:val="9"/>
              </w:rPr>
            </w:pPr>
            <w:r>
              <w:rPr>
                <w:w w:val="105"/>
                <w:sz w:val="9"/>
              </w:rPr>
              <w:t>101 00</w:t>
            </w:r>
          </w:p>
        </w:tc>
        <w:tc>
          <w:tcPr>
            <w:tcW w:w="609" w:type="dxa"/>
          </w:tcPr>
          <w:p>
            <w:pPr>
              <w:pStyle w:val="TableParagraph"/>
              <w:ind w:right="22"/>
              <w:rPr>
                <w:sz w:val="9"/>
              </w:rPr>
            </w:pPr>
            <w:r>
              <w:rPr>
                <w:w w:val="105"/>
                <w:sz w:val="9"/>
              </w:rPr>
              <w:t>PREdi</w:t>
            </w:r>
          </w:p>
        </w:tc>
        <w:tc>
          <w:tcPr>
            <w:tcW w:w="609" w:type="dxa"/>
          </w:tcPr>
          <w:p>
            <w:pPr>
              <w:pStyle w:val="TableParagraph"/>
              <w:ind w:left="262"/>
              <w:jc w:val="left"/>
              <w:rPr>
                <w:sz w:val="9"/>
              </w:rPr>
            </w:pPr>
            <w:r>
              <w:rPr>
                <w:w w:val="105"/>
                <w:sz w:val="9"/>
              </w:rPr>
              <w:t>40</w:t>
            </w:r>
          </w:p>
        </w:tc>
        <w:tc>
          <w:tcPr>
            <w:tcW w:w="609" w:type="dxa"/>
          </w:tcPr>
          <w:p>
            <w:pPr>
              <w:pStyle w:val="TableParagraph"/>
              <w:ind w:right="15"/>
              <w:rPr>
                <w:sz w:val="9"/>
              </w:rPr>
            </w:pPr>
            <w:r>
              <w:rPr>
                <w:w w:val="105"/>
                <w:sz w:val="9"/>
              </w:rPr>
              <w:t>3F</w:t>
            </w:r>
          </w:p>
        </w:tc>
        <w:tc>
          <w:tcPr>
            <w:tcW w:w="609" w:type="dxa"/>
          </w:tcPr>
          <w:p>
            <w:pPr>
              <w:pStyle w:val="TableParagraph"/>
              <w:ind w:left="38"/>
              <w:rPr>
                <w:sz w:val="9"/>
              </w:rPr>
            </w:pPr>
            <w:r>
              <w:rPr>
                <w:w w:val="103"/>
                <w:sz w:val="9"/>
              </w:rPr>
              <w:t>1</w:t>
            </w:r>
          </w:p>
        </w:tc>
        <w:tc>
          <w:tcPr>
            <w:tcW w:w="609" w:type="dxa"/>
          </w:tcPr>
          <w:p>
            <w:pPr>
              <w:pStyle w:val="TableParagraph"/>
              <w:ind w:right="13"/>
              <w:rPr>
                <w:sz w:val="9"/>
              </w:rPr>
            </w:pPr>
            <w:r>
              <w:rPr>
                <w:w w:val="105"/>
                <w:sz w:val="9"/>
              </w:rPr>
              <w:t>nn</w:t>
            </w:r>
          </w:p>
        </w:tc>
        <w:tc>
          <w:tcPr>
            <w:tcW w:w="610" w:type="dxa"/>
          </w:tcPr>
          <w:p>
            <w:pPr>
              <w:pStyle w:val="TableParagraph"/>
              <w:ind w:left="0" w:right="241"/>
              <w:jc w:val="right"/>
              <w:rPr>
                <w:sz w:val="9"/>
              </w:rPr>
            </w:pPr>
            <w:r>
              <w:rPr>
                <w:w w:val="103"/>
                <w:sz w:val="9"/>
              </w:rPr>
              <w:t>C</w:t>
            </w:r>
          </w:p>
        </w:tc>
        <w:tc>
          <w:tcPr>
            <w:tcW w:w="609" w:type="dxa"/>
          </w:tcPr>
          <w:p>
            <w:pPr>
              <w:pStyle w:val="TableParagraph"/>
              <w:ind w:left="205"/>
              <w:jc w:val="left"/>
              <w:rPr>
                <w:sz w:val="9"/>
              </w:rPr>
            </w:pPr>
            <w:r>
              <w:rPr>
                <w:w w:val="105"/>
                <w:sz w:val="9"/>
              </w:rPr>
              <w:t>C01d</w:t>
            </w:r>
          </w:p>
        </w:tc>
        <w:tc>
          <w:tcPr>
            <w:tcW w:w="609" w:type="dxa"/>
          </w:tcPr>
          <w:p>
            <w:pPr>
              <w:pStyle w:val="TableParagraph"/>
              <w:ind w:right="12"/>
              <w:rPr>
                <w:sz w:val="9"/>
              </w:rPr>
            </w:pPr>
            <w:r>
              <w:rPr>
                <w:w w:val="105"/>
                <w:sz w:val="9"/>
              </w:rPr>
              <w:t>1.1.2016</w:t>
            </w:r>
          </w:p>
        </w:tc>
        <w:tc>
          <w:tcPr>
            <w:tcW w:w="609" w:type="dxa"/>
          </w:tcPr>
          <w:p>
            <w:pPr>
              <w:pStyle w:val="TableParagraph"/>
              <w:spacing w:before="0"/>
              <w:ind w:left="0"/>
              <w:jc w:val="left"/>
              <w:rPr>
                <w:rFonts w:ascii="Times New Roman"/>
                <w:sz w:val="8"/>
              </w:rPr>
            </w:pPr>
          </w:p>
        </w:tc>
      </w:tr>
    </w:tbl>
    <w:p>
      <w:pPr>
        <w:spacing w:before="196"/>
        <w:ind w:left="386" w:right="0" w:firstLine="0"/>
        <w:jc w:val="left"/>
        <w:rPr>
          <w:rFonts w:ascii="Arial"/>
          <w:sz w:val="9"/>
        </w:rPr>
      </w:pPr>
      <w:r>
        <w:rPr>
          <w:rFonts w:ascii="Arial"/>
          <w:w w:val="105"/>
          <w:sz w:val="9"/>
        </w:rPr>
        <w:t>Stav k 16.12.2015</w:t>
      </w:r>
    </w:p>
    <w:sectPr>
      <w:pgSz w:w="11910" w:h="16840"/>
      <w:pgMar w:top="1060" w:bottom="280" w:left="900" w:right="1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9"/>
      <w:numFmt w:val="lowerLetter"/>
      <w:lvlText w:val="%1)"/>
      <w:lvlJc w:val="left"/>
      <w:pPr>
        <w:ind w:left="2642" w:hanging="327"/>
        <w:jc w:val="left"/>
      </w:pPr>
      <w:rPr>
        <w:rFonts w:hint="default" w:ascii="Times New Roman" w:hAnsi="Times New Roman" w:eastAsia="Times New Roman" w:cs="Times New Roman"/>
        <w:spacing w:val="0"/>
        <w:w w:val="100"/>
        <w:sz w:val="22"/>
        <w:szCs w:val="22"/>
      </w:rPr>
    </w:lvl>
    <w:lvl w:ilvl="1">
      <w:start w:val="0"/>
      <w:numFmt w:val="bullet"/>
      <w:lvlText w:val="•"/>
      <w:lvlJc w:val="left"/>
      <w:pPr>
        <w:ind w:left="3360" w:hanging="327"/>
      </w:pPr>
      <w:rPr>
        <w:rFonts w:hint="default"/>
      </w:rPr>
    </w:lvl>
    <w:lvl w:ilvl="2">
      <w:start w:val="0"/>
      <w:numFmt w:val="bullet"/>
      <w:lvlText w:val="•"/>
      <w:lvlJc w:val="left"/>
      <w:pPr>
        <w:ind w:left="4080" w:hanging="327"/>
      </w:pPr>
      <w:rPr>
        <w:rFonts w:hint="default"/>
      </w:rPr>
    </w:lvl>
    <w:lvl w:ilvl="3">
      <w:start w:val="0"/>
      <w:numFmt w:val="bullet"/>
      <w:lvlText w:val="•"/>
      <w:lvlJc w:val="left"/>
      <w:pPr>
        <w:ind w:left="4801" w:hanging="327"/>
      </w:pPr>
      <w:rPr>
        <w:rFonts w:hint="default"/>
      </w:rPr>
    </w:lvl>
    <w:lvl w:ilvl="4">
      <w:start w:val="0"/>
      <w:numFmt w:val="bullet"/>
      <w:lvlText w:val="•"/>
      <w:lvlJc w:val="left"/>
      <w:pPr>
        <w:ind w:left="5521" w:hanging="327"/>
      </w:pPr>
      <w:rPr>
        <w:rFonts w:hint="default"/>
      </w:rPr>
    </w:lvl>
    <w:lvl w:ilvl="5">
      <w:start w:val="0"/>
      <w:numFmt w:val="bullet"/>
      <w:lvlText w:val="•"/>
      <w:lvlJc w:val="left"/>
      <w:pPr>
        <w:ind w:left="6242" w:hanging="327"/>
      </w:pPr>
      <w:rPr>
        <w:rFonts w:hint="default"/>
      </w:rPr>
    </w:lvl>
    <w:lvl w:ilvl="6">
      <w:start w:val="0"/>
      <w:numFmt w:val="bullet"/>
      <w:lvlText w:val="•"/>
      <w:lvlJc w:val="left"/>
      <w:pPr>
        <w:ind w:left="6962" w:hanging="327"/>
      </w:pPr>
      <w:rPr>
        <w:rFonts w:hint="default"/>
      </w:rPr>
    </w:lvl>
    <w:lvl w:ilvl="7">
      <w:start w:val="0"/>
      <w:numFmt w:val="bullet"/>
      <w:lvlText w:val="•"/>
      <w:lvlJc w:val="left"/>
      <w:pPr>
        <w:ind w:left="7682" w:hanging="327"/>
      </w:pPr>
      <w:rPr>
        <w:rFonts w:hint="default"/>
      </w:rPr>
    </w:lvl>
    <w:lvl w:ilvl="8">
      <w:start w:val="0"/>
      <w:numFmt w:val="bullet"/>
      <w:lvlText w:val="•"/>
      <w:lvlJc w:val="left"/>
      <w:pPr>
        <w:ind w:left="8403" w:hanging="327"/>
      </w:pPr>
      <w:rPr>
        <w:rFonts w:hint="default"/>
      </w:rPr>
    </w:lvl>
  </w:abstractNum>
  <w:abstractNum w:abstractNumId="15">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1"/>
      <w:numFmt w:val="decimal"/>
      <w:lvlText w:val="(%2)"/>
      <w:lvlJc w:val="left"/>
      <w:pPr>
        <w:ind w:left="2131" w:hanging="312"/>
        <w:jc w:val="left"/>
      </w:pPr>
      <w:rPr>
        <w:rFonts w:hint="default" w:ascii="Times New Roman" w:hAnsi="Times New Roman" w:eastAsia="Times New Roman" w:cs="Times New Roman"/>
        <w:w w:val="100"/>
        <w:sz w:val="22"/>
        <w:szCs w:val="22"/>
      </w:rPr>
    </w:lvl>
    <w:lvl w:ilvl="2">
      <w:start w:val="0"/>
      <w:numFmt w:val="bullet"/>
      <w:lvlText w:val="•"/>
      <w:lvlJc w:val="left"/>
      <w:pPr>
        <w:ind w:left="2996" w:hanging="312"/>
      </w:pPr>
      <w:rPr>
        <w:rFonts w:hint="default"/>
      </w:rPr>
    </w:lvl>
    <w:lvl w:ilvl="3">
      <w:start w:val="0"/>
      <w:numFmt w:val="bullet"/>
      <w:lvlText w:val="•"/>
      <w:lvlJc w:val="left"/>
      <w:pPr>
        <w:ind w:left="3852" w:hanging="312"/>
      </w:pPr>
      <w:rPr>
        <w:rFonts w:hint="default"/>
      </w:rPr>
    </w:lvl>
    <w:lvl w:ilvl="4">
      <w:start w:val="0"/>
      <w:numFmt w:val="bullet"/>
      <w:lvlText w:val="•"/>
      <w:lvlJc w:val="left"/>
      <w:pPr>
        <w:ind w:left="4708" w:hanging="312"/>
      </w:pPr>
      <w:rPr>
        <w:rFonts w:hint="default"/>
      </w:rPr>
    </w:lvl>
    <w:lvl w:ilvl="5">
      <w:start w:val="0"/>
      <w:numFmt w:val="bullet"/>
      <w:lvlText w:val="•"/>
      <w:lvlJc w:val="left"/>
      <w:pPr>
        <w:ind w:left="5564" w:hanging="312"/>
      </w:pPr>
      <w:rPr>
        <w:rFonts w:hint="default"/>
      </w:rPr>
    </w:lvl>
    <w:lvl w:ilvl="6">
      <w:start w:val="0"/>
      <w:numFmt w:val="bullet"/>
      <w:lvlText w:val="•"/>
      <w:lvlJc w:val="left"/>
      <w:pPr>
        <w:ind w:left="6420" w:hanging="312"/>
      </w:pPr>
      <w:rPr>
        <w:rFonts w:hint="default"/>
      </w:rPr>
    </w:lvl>
    <w:lvl w:ilvl="7">
      <w:start w:val="0"/>
      <w:numFmt w:val="bullet"/>
      <w:lvlText w:val="•"/>
      <w:lvlJc w:val="left"/>
      <w:pPr>
        <w:ind w:left="7276" w:hanging="312"/>
      </w:pPr>
      <w:rPr>
        <w:rFonts w:hint="default"/>
      </w:rPr>
    </w:lvl>
    <w:lvl w:ilvl="8">
      <w:start w:val="0"/>
      <w:numFmt w:val="bullet"/>
      <w:lvlText w:val="•"/>
      <w:lvlJc w:val="left"/>
      <w:pPr>
        <w:ind w:left="8132" w:hanging="312"/>
      </w:pPr>
      <w:rPr>
        <w:rFonts w:hint="default"/>
      </w:rPr>
    </w:lvl>
  </w:abstractNum>
  <w:abstractNum w:abstractNumId="14">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13">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1"/>
      <w:numFmt w:val="decimal"/>
      <w:lvlText w:val="%2)"/>
      <w:lvlJc w:val="left"/>
      <w:pPr>
        <w:ind w:left="2671" w:hanging="716"/>
        <w:jc w:val="left"/>
      </w:pPr>
      <w:rPr>
        <w:rFonts w:hint="default" w:ascii="Times New Roman" w:hAnsi="Times New Roman" w:eastAsia="Times New Roman" w:cs="Times New Roman"/>
        <w:w w:val="100"/>
        <w:sz w:val="22"/>
        <w:szCs w:val="22"/>
      </w:rPr>
    </w:lvl>
    <w:lvl w:ilvl="2">
      <w:start w:val="0"/>
      <w:numFmt w:val="bullet"/>
      <w:lvlText w:val="•"/>
      <w:lvlJc w:val="left"/>
      <w:pPr>
        <w:ind w:left="3476" w:hanging="716"/>
      </w:pPr>
      <w:rPr>
        <w:rFonts w:hint="default"/>
      </w:rPr>
    </w:lvl>
    <w:lvl w:ilvl="3">
      <w:start w:val="0"/>
      <w:numFmt w:val="bullet"/>
      <w:lvlText w:val="•"/>
      <w:lvlJc w:val="left"/>
      <w:pPr>
        <w:ind w:left="4272" w:hanging="716"/>
      </w:pPr>
      <w:rPr>
        <w:rFonts w:hint="default"/>
      </w:rPr>
    </w:lvl>
    <w:lvl w:ilvl="4">
      <w:start w:val="0"/>
      <w:numFmt w:val="bullet"/>
      <w:lvlText w:val="•"/>
      <w:lvlJc w:val="left"/>
      <w:pPr>
        <w:ind w:left="5068" w:hanging="716"/>
      </w:pPr>
      <w:rPr>
        <w:rFonts w:hint="default"/>
      </w:rPr>
    </w:lvl>
    <w:lvl w:ilvl="5">
      <w:start w:val="0"/>
      <w:numFmt w:val="bullet"/>
      <w:lvlText w:val="•"/>
      <w:lvlJc w:val="left"/>
      <w:pPr>
        <w:ind w:left="5864" w:hanging="716"/>
      </w:pPr>
      <w:rPr>
        <w:rFonts w:hint="default"/>
      </w:rPr>
    </w:lvl>
    <w:lvl w:ilvl="6">
      <w:start w:val="0"/>
      <w:numFmt w:val="bullet"/>
      <w:lvlText w:val="•"/>
      <w:lvlJc w:val="left"/>
      <w:pPr>
        <w:ind w:left="6660" w:hanging="716"/>
      </w:pPr>
      <w:rPr>
        <w:rFonts w:hint="default"/>
      </w:rPr>
    </w:lvl>
    <w:lvl w:ilvl="7">
      <w:start w:val="0"/>
      <w:numFmt w:val="bullet"/>
      <w:lvlText w:val="•"/>
      <w:lvlJc w:val="left"/>
      <w:pPr>
        <w:ind w:left="7456" w:hanging="716"/>
      </w:pPr>
      <w:rPr>
        <w:rFonts w:hint="default"/>
      </w:rPr>
    </w:lvl>
    <w:lvl w:ilvl="8">
      <w:start w:val="0"/>
      <w:numFmt w:val="bullet"/>
      <w:lvlText w:val="•"/>
      <w:lvlJc w:val="left"/>
      <w:pPr>
        <w:ind w:left="8252" w:hanging="716"/>
      </w:pPr>
      <w:rPr>
        <w:rFonts w:hint="default"/>
      </w:rPr>
    </w:lvl>
  </w:abstractNum>
  <w:abstractNum w:abstractNumId="12">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11">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10">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9">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8">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1"/>
      <w:numFmt w:val="decimal"/>
      <w:lvlText w:val="%2)"/>
      <w:lvlJc w:val="left"/>
      <w:pPr>
        <w:ind w:left="2791" w:hanging="716"/>
        <w:jc w:val="left"/>
      </w:pPr>
      <w:rPr>
        <w:rFonts w:hint="default" w:ascii="Times New Roman" w:hAnsi="Times New Roman" w:eastAsia="Times New Roman" w:cs="Times New Roman"/>
        <w:w w:val="100"/>
        <w:sz w:val="22"/>
        <w:szCs w:val="22"/>
      </w:rPr>
    </w:lvl>
    <w:lvl w:ilvl="2">
      <w:start w:val="1"/>
      <w:numFmt w:val="lowerRoman"/>
      <w:lvlText w:val="%3)"/>
      <w:lvlJc w:val="left"/>
      <w:pPr>
        <w:ind w:left="3351" w:hanging="426"/>
        <w:jc w:val="left"/>
      </w:pPr>
      <w:rPr>
        <w:rFonts w:hint="default" w:ascii="Times New Roman" w:hAnsi="Times New Roman" w:eastAsia="Times New Roman" w:cs="Times New Roman"/>
        <w:spacing w:val="0"/>
        <w:w w:val="100"/>
        <w:sz w:val="22"/>
        <w:szCs w:val="22"/>
      </w:rPr>
    </w:lvl>
    <w:lvl w:ilvl="3">
      <w:start w:val="0"/>
      <w:numFmt w:val="bullet"/>
      <w:lvlText w:val="•"/>
      <w:lvlJc w:val="left"/>
      <w:pPr>
        <w:ind w:left="4170" w:hanging="426"/>
      </w:pPr>
      <w:rPr>
        <w:rFonts w:hint="default"/>
      </w:rPr>
    </w:lvl>
    <w:lvl w:ilvl="4">
      <w:start w:val="0"/>
      <w:numFmt w:val="bullet"/>
      <w:lvlText w:val="•"/>
      <w:lvlJc w:val="left"/>
      <w:pPr>
        <w:ind w:left="4981" w:hanging="426"/>
      </w:pPr>
      <w:rPr>
        <w:rFonts w:hint="default"/>
      </w:rPr>
    </w:lvl>
    <w:lvl w:ilvl="5">
      <w:start w:val="0"/>
      <w:numFmt w:val="bullet"/>
      <w:lvlText w:val="•"/>
      <w:lvlJc w:val="left"/>
      <w:pPr>
        <w:ind w:left="5791" w:hanging="426"/>
      </w:pPr>
      <w:rPr>
        <w:rFonts w:hint="default"/>
      </w:rPr>
    </w:lvl>
    <w:lvl w:ilvl="6">
      <w:start w:val="0"/>
      <w:numFmt w:val="bullet"/>
      <w:lvlText w:val="•"/>
      <w:lvlJc w:val="left"/>
      <w:pPr>
        <w:ind w:left="6602" w:hanging="426"/>
      </w:pPr>
      <w:rPr>
        <w:rFonts w:hint="default"/>
      </w:rPr>
    </w:lvl>
    <w:lvl w:ilvl="7">
      <w:start w:val="0"/>
      <w:numFmt w:val="bullet"/>
      <w:lvlText w:val="•"/>
      <w:lvlJc w:val="left"/>
      <w:pPr>
        <w:ind w:left="7412" w:hanging="426"/>
      </w:pPr>
      <w:rPr>
        <w:rFonts w:hint="default"/>
      </w:rPr>
    </w:lvl>
    <w:lvl w:ilvl="8">
      <w:start w:val="0"/>
      <w:numFmt w:val="bullet"/>
      <w:lvlText w:val="•"/>
      <w:lvlJc w:val="left"/>
      <w:pPr>
        <w:ind w:left="8223" w:hanging="426"/>
      </w:pPr>
      <w:rPr>
        <w:rFonts w:hint="default"/>
      </w:rPr>
    </w:lvl>
  </w:abstractNum>
  <w:abstractNum w:abstractNumId="7">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6">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5">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4">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3">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1"/>
      <w:numFmt w:val="decimal"/>
      <w:lvlText w:val="%2)"/>
      <w:lvlJc w:val="left"/>
      <w:pPr>
        <w:ind w:left="2671" w:hanging="716"/>
        <w:jc w:val="left"/>
      </w:pPr>
      <w:rPr>
        <w:rFonts w:hint="default" w:ascii="Times New Roman" w:hAnsi="Times New Roman" w:eastAsia="Times New Roman" w:cs="Times New Roman"/>
        <w:w w:val="100"/>
        <w:sz w:val="22"/>
        <w:szCs w:val="22"/>
      </w:rPr>
    </w:lvl>
    <w:lvl w:ilvl="2">
      <w:start w:val="0"/>
      <w:numFmt w:val="bullet"/>
      <w:lvlText w:val="•"/>
      <w:lvlJc w:val="left"/>
      <w:pPr>
        <w:ind w:left="3476" w:hanging="716"/>
      </w:pPr>
      <w:rPr>
        <w:rFonts w:hint="default"/>
      </w:rPr>
    </w:lvl>
    <w:lvl w:ilvl="3">
      <w:start w:val="0"/>
      <w:numFmt w:val="bullet"/>
      <w:lvlText w:val="•"/>
      <w:lvlJc w:val="left"/>
      <w:pPr>
        <w:ind w:left="4272" w:hanging="716"/>
      </w:pPr>
      <w:rPr>
        <w:rFonts w:hint="default"/>
      </w:rPr>
    </w:lvl>
    <w:lvl w:ilvl="4">
      <w:start w:val="0"/>
      <w:numFmt w:val="bullet"/>
      <w:lvlText w:val="•"/>
      <w:lvlJc w:val="left"/>
      <w:pPr>
        <w:ind w:left="5068" w:hanging="716"/>
      </w:pPr>
      <w:rPr>
        <w:rFonts w:hint="default"/>
      </w:rPr>
    </w:lvl>
    <w:lvl w:ilvl="5">
      <w:start w:val="0"/>
      <w:numFmt w:val="bullet"/>
      <w:lvlText w:val="•"/>
      <w:lvlJc w:val="left"/>
      <w:pPr>
        <w:ind w:left="5864" w:hanging="716"/>
      </w:pPr>
      <w:rPr>
        <w:rFonts w:hint="default"/>
      </w:rPr>
    </w:lvl>
    <w:lvl w:ilvl="6">
      <w:start w:val="0"/>
      <w:numFmt w:val="bullet"/>
      <w:lvlText w:val="•"/>
      <w:lvlJc w:val="left"/>
      <w:pPr>
        <w:ind w:left="6660" w:hanging="716"/>
      </w:pPr>
      <w:rPr>
        <w:rFonts w:hint="default"/>
      </w:rPr>
    </w:lvl>
    <w:lvl w:ilvl="7">
      <w:start w:val="0"/>
      <w:numFmt w:val="bullet"/>
      <w:lvlText w:val="•"/>
      <w:lvlJc w:val="left"/>
      <w:pPr>
        <w:ind w:left="7456" w:hanging="716"/>
      </w:pPr>
      <w:rPr>
        <w:rFonts w:hint="default"/>
      </w:rPr>
    </w:lvl>
    <w:lvl w:ilvl="8">
      <w:start w:val="0"/>
      <w:numFmt w:val="bullet"/>
      <w:lvlText w:val="•"/>
      <w:lvlJc w:val="left"/>
      <w:pPr>
        <w:ind w:left="8252" w:hanging="716"/>
      </w:pPr>
      <w:rPr>
        <w:rFonts w:hint="default"/>
      </w:rPr>
    </w:lvl>
  </w:abstractNum>
  <w:abstractNum w:abstractNumId="2">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1">
    <w:multiLevelType w:val="hybridMultilevel"/>
    <w:lvl w:ilvl="0">
      <w:start w:val="1"/>
      <w:numFmt w:val="lowerLetter"/>
      <w:lvlText w:val="%1)"/>
      <w:lvlJc w:val="left"/>
      <w:pPr>
        <w:ind w:left="1819" w:hanging="584"/>
        <w:jc w:val="left"/>
      </w:pPr>
      <w:rPr>
        <w:rFonts w:hint="default" w:ascii="Times New Roman" w:hAnsi="Times New Roman" w:eastAsia="Times New Roman" w:cs="Times New Roman"/>
        <w:w w:val="100"/>
        <w:sz w:val="22"/>
        <w:szCs w:val="22"/>
      </w:rPr>
    </w:lvl>
    <w:lvl w:ilvl="1">
      <w:start w:val="0"/>
      <w:numFmt w:val="bullet"/>
      <w:lvlText w:val="•"/>
      <w:lvlJc w:val="left"/>
      <w:pPr>
        <w:ind w:left="2622" w:hanging="584"/>
      </w:pPr>
      <w:rPr>
        <w:rFonts w:hint="default"/>
      </w:rPr>
    </w:lvl>
    <w:lvl w:ilvl="2">
      <w:start w:val="0"/>
      <w:numFmt w:val="bullet"/>
      <w:lvlText w:val="•"/>
      <w:lvlJc w:val="left"/>
      <w:pPr>
        <w:ind w:left="3424" w:hanging="584"/>
      </w:pPr>
      <w:rPr>
        <w:rFonts w:hint="default"/>
      </w:rPr>
    </w:lvl>
    <w:lvl w:ilvl="3">
      <w:start w:val="0"/>
      <w:numFmt w:val="bullet"/>
      <w:lvlText w:val="•"/>
      <w:lvlJc w:val="left"/>
      <w:pPr>
        <w:ind w:left="4227" w:hanging="584"/>
      </w:pPr>
      <w:rPr>
        <w:rFonts w:hint="default"/>
      </w:rPr>
    </w:lvl>
    <w:lvl w:ilvl="4">
      <w:start w:val="0"/>
      <w:numFmt w:val="bullet"/>
      <w:lvlText w:val="•"/>
      <w:lvlJc w:val="left"/>
      <w:pPr>
        <w:ind w:left="5029" w:hanging="584"/>
      </w:pPr>
      <w:rPr>
        <w:rFonts w:hint="default"/>
      </w:rPr>
    </w:lvl>
    <w:lvl w:ilvl="5">
      <w:start w:val="0"/>
      <w:numFmt w:val="bullet"/>
      <w:lvlText w:val="•"/>
      <w:lvlJc w:val="left"/>
      <w:pPr>
        <w:ind w:left="5832" w:hanging="584"/>
      </w:pPr>
      <w:rPr>
        <w:rFonts w:hint="default"/>
      </w:rPr>
    </w:lvl>
    <w:lvl w:ilvl="6">
      <w:start w:val="0"/>
      <w:numFmt w:val="bullet"/>
      <w:lvlText w:val="•"/>
      <w:lvlJc w:val="left"/>
      <w:pPr>
        <w:ind w:left="6634" w:hanging="584"/>
      </w:pPr>
      <w:rPr>
        <w:rFonts w:hint="default"/>
      </w:rPr>
    </w:lvl>
    <w:lvl w:ilvl="7">
      <w:start w:val="0"/>
      <w:numFmt w:val="bullet"/>
      <w:lvlText w:val="•"/>
      <w:lvlJc w:val="left"/>
      <w:pPr>
        <w:ind w:left="7436" w:hanging="584"/>
      </w:pPr>
      <w:rPr>
        <w:rFonts w:hint="default"/>
      </w:rPr>
    </w:lvl>
    <w:lvl w:ilvl="8">
      <w:start w:val="0"/>
      <w:numFmt w:val="bullet"/>
      <w:lvlText w:val="•"/>
      <w:lvlJc w:val="left"/>
      <w:pPr>
        <w:ind w:left="8239" w:hanging="584"/>
      </w:pPr>
      <w:rPr>
        <w:rFonts w:hint="default"/>
      </w:rPr>
    </w:lvl>
  </w:abstractNum>
  <w:abstractNum w:abstractNumId="0">
    <w:multiLevelType w:val="hybridMultilevel"/>
    <w:lvl w:ilvl="0">
      <w:start w:val="1"/>
      <w:numFmt w:val="upperRoman"/>
      <w:lvlText w:val="%1."/>
      <w:lvlJc w:val="left"/>
      <w:pPr>
        <w:ind w:left="4179" w:hanging="360"/>
        <w:jc w:val="right"/>
      </w:pPr>
      <w:rPr>
        <w:rFonts w:hint="default" w:ascii="Arial" w:hAnsi="Arial" w:eastAsia="Arial" w:cs="Arial"/>
        <w:b/>
        <w:bCs/>
        <w:spacing w:val="-14"/>
        <w:w w:val="100"/>
        <w:sz w:val="24"/>
        <w:szCs w:val="24"/>
      </w:rPr>
    </w:lvl>
    <w:lvl w:ilvl="1">
      <w:start w:val="1"/>
      <w:numFmt w:val="lowerLetter"/>
      <w:lvlText w:val="%2)"/>
      <w:lvlJc w:val="left"/>
      <w:pPr>
        <w:ind w:left="1819" w:hanging="584"/>
        <w:jc w:val="left"/>
      </w:pPr>
      <w:rPr>
        <w:rFonts w:hint="default" w:ascii="Times New Roman" w:hAnsi="Times New Roman" w:eastAsia="Times New Roman" w:cs="Times New Roman"/>
        <w:w w:val="100"/>
        <w:sz w:val="22"/>
        <w:szCs w:val="22"/>
      </w:rPr>
    </w:lvl>
    <w:lvl w:ilvl="2">
      <w:start w:val="1"/>
      <w:numFmt w:val="decimal"/>
      <w:lvlText w:val="%3)"/>
      <w:lvlJc w:val="left"/>
      <w:pPr>
        <w:ind w:left="2671" w:hanging="716"/>
        <w:jc w:val="left"/>
      </w:pPr>
      <w:rPr>
        <w:rFonts w:hint="default" w:ascii="Times New Roman" w:hAnsi="Times New Roman" w:eastAsia="Times New Roman" w:cs="Times New Roman"/>
        <w:w w:val="100"/>
        <w:sz w:val="22"/>
        <w:szCs w:val="22"/>
      </w:rPr>
    </w:lvl>
    <w:lvl w:ilvl="3">
      <w:start w:val="0"/>
      <w:numFmt w:val="bullet"/>
      <w:lvlText w:val="•"/>
      <w:lvlJc w:val="left"/>
      <w:pPr>
        <w:ind w:left="4888" w:hanging="716"/>
      </w:pPr>
      <w:rPr>
        <w:rFonts w:hint="default"/>
      </w:rPr>
    </w:lvl>
    <w:lvl w:ilvl="4">
      <w:start w:val="0"/>
      <w:numFmt w:val="bullet"/>
      <w:lvlText w:val="•"/>
      <w:lvlJc w:val="left"/>
      <w:pPr>
        <w:ind w:left="5596" w:hanging="716"/>
      </w:pPr>
      <w:rPr>
        <w:rFonts w:hint="default"/>
      </w:rPr>
    </w:lvl>
    <w:lvl w:ilvl="5">
      <w:start w:val="0"/>
      <w:numFmt w:val="bullet"/>
      <w:lvlText w:val="•"/>
      <w:lvlJc w:val="left"/>
      <w:pPr>
        <w:ind w:left="6304" w:hanging="716"/>
      </w:pPr>
      <w:rPr>
        <w:rFonts w:hint="default"/>
      </w:rPr>
    </w:lvl>
    <w:lvl w:ilvl="6">
      <w:start w:val="0"/>
      <w:numFmt w:val="bullet"/>
      <w:lvlText w:val="•"/>
      <w:lvlJc w:val="left"/>
      <w:pPr>
        <w:ind w:left="7012" w:hanging="716"/>
      </w:pPr>
      <w:rPr>
        <w:rFonts w:hint="default"/>
      </w:rPr>
    </w:lvl>
    <w:lvl w:ilvl="7">
      <w:start w:val="0"/>
      <w:numFmt w:val="bullet"/>
      <w:lvlText w:val="•"/>
      <w:lvlJc w:val="left"/>
      <w:pPr>
        <w:ind w:left="7720" w:hanging="716"/>
      </w:pPr>
      <w:rPr>
        <w:rFonts w:hint="default"/>
      </w:rPr>
    </w:lvl>
    <w:lvl w:ilvl="8">
      <w:start w:val="0"/>
      <w:numFmt w:val="bullet"/>
      <w:lvlText w:val="•"/>
      <w:lvlJc w:val="left"/>
      <w:pPr>
        <w:ind w:left="8428" w:hanging="716"/>
      </w:pPr>
      <w:rPr>
        <w:rFonts w:hint="default"/>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516" w:hanging="360"/>
      <w:outlineLvl w:val="1"/>
    </w:pPr>
    <w:rPr>
      <w:rFonts w:ascii="Arial" w:hAnsi="Arial" w:eastAsia="Arial" w:cs="Arial"/>
      <w:b/>
      <w:bCs/>
      <w:sz w:val="24"/>
      <w:szCs w:val="24"/>
    </w:rPr>
  </w:style>
  <w:style w:styleId="ListParagraph" w:type="paragraph">
    <w:name w:val="List Paragraph"/>
    <w:basedOn w:val="Normal"/>
    <w:uiPriority w:val="1"/>
    <w:qFormat/>
    <w:pPr>
      <w:spacing w:before="61"/>
      <w:ind w:left="1819" w:hanging="583"/>
      <w:jc w:val="both"/>
    </w:pPr>
    <w:rPr>
      <w:rFonts w:ascii="Times New Roman" w:hAnsi="Times New Roman" w:eastAsia="Times New Roman" w:cs="Times New Roman"/>
    </w:rPr>
  </w:style>
  <w:style w:styleId="TableParagraph" w:type="paragraph">
    <w:name w:val="Table Paragraph"/>
    <w:basedOn w:val="Normal"/>
    <w:uiPriority w:val="1"/>
    <w:qFormat/>
    <w:pPr>
      <w:spacing w:before="24"/>
      <w:ind w:left="53"/>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2018-03-28T12:58:21Z</dcterms:created>
  <dcterms:modified xsi:type="dcterms:W3CDTF">2018-03-28T12:58:21Z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2018-03-16T00:00:00Z</vt:filetime>
  </property>
  <property fmtid="{D5CDD505-2E9C-101B-9397-08002B2CF9AE}" pid="3" name="Creator">
    <vt:lpwstr>pdfsam-console (Ver. 2.2.0e)</vt:lpwstr>
  </property>
  <property fmtid="{D5CDD505-2E9C-101B-9397-08002B2CF9AE}" pid="4" name="LastSaved">
    <vt:filetime>2018-03-28T00:00:00Z</vt:filetime>
  </property>
</Properties>
</file>