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36DAD">
        <w:rPr>
          <w:b/>
        </w:rPr>
        <w:t>KONZUM, obchodní družstvo v Ústí nad Orlicí</w:t>
      </w:r>
      <w:r w:rsidR="00AF2B11"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0A1012" w:rsidP="00284FC9">
      <w:pPr>
        <w:pStyle w:val="Zkladntext2"/>
        <w:numPr>
          <w:ilvl w:val="3"/>
          <w:numId w:val="30"/>
        </w:numPr>
        <w:spacing w:after="120" w:line="260" w:lineRule="exact"/>
        <w:ind w:left="1418" w:hanging="284"/>
        <w:rPr>
          <w:szCs w:val="22"/>
          <w:highlight w:val="lightGray"/>
        </w:rPr>
      </w:pPr>
      <w:r>
        <w:rPr>
          <w:szCs w:val="22"/>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w:t>
      </w:r>
      <w:proofErr w:type="spellStart"/>
      <w:proofErr w:type="gramStart"/>
      <w:r w:rsidRPr="002D0D37">
        <w:rPr>
          <w:szCs w:val="22"/>
        </w:rPr>
        <w:t>Partner.</w:t>
      </w:r>
      <w:r w:rsidR="000A1012">
        <w:rPr>
          <w:szCs w:val="22"/>
        </w:rPr>
        <w:t>XXX</w:t>
      </w:r>
      <w:proofErr w:type="spellEnd"/>
      <w:proofErr w:type="gramEnd"/>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0A1012" w:rsidP="00284FC9">
      <w:pPr>
        <w:pStyle w:val="Zkladntext2"/>
        <w:numPr>
          <w:ilvl w:val="1"/>
          <w:numId w:val="36"/>
        </w:numPr>
        <w:spacing w:after="120" w:line="260" w:lineRule="exact"/>
        <w:ind w:left="624" w:hanging="624"/>
        <w:rPr>
          <w:szCs w:val="22"/>
          <w:highlight w:val="lightGray"/>
        </w:rPr>
      </w:pPr>
      <w:r>
        <w:rPr>
          <w:szCs w:val="22"/>
        </w:rPr>
        <w:t>XXX</w:t>
      </w:r>
    </w:p>
    <w:p w:rsidR="00A42E0C" w:rsidRPr="002F6B14" w:rsidRDefault="000A1012" w:rsidP="00284FC9">
      <w:pPr>
        <w:pStyle w:val="Zkladntext2"/>
        <w:numPr>
          <w:ilvl w:val="1"/>
          <w:numId w:val="36"/>
        </w:numPr>
        <w:spacing w:after="120" w:line="260" w:lineRule="exact"/>
        <w:ind w:left="624" w:hanging="624"/>
        <w:rPr>
          <w:szCs w:val="22"/>
          <w:highlight w:val="lightGray"/>
        </w:rPr>
      </w:pPr>
      <w:r>
        <w:rPr>
          <w:szCs w:val="22"/>
        </w:rPr>
        <w:t>XXX</w:t>
      </w:r>
    </w:p>
    <w:p w:rsidR="007522C2" w:rsidRPr="002F6B14" w:rsidRDefault="000A1012" w:rsidP="00C840C7">
      <w:pPr>
        <w:pStyle w:val="Zkladntext2"/>
        <w:numPr>
          <w:ilvl w:val="1"/>
          <w:numId w:val="36"/>
        </w:numPr>
        <w:spacing w:after="120" w:line="260" w:lineRule="exact"/>
        <w:ind w:left="624" w:hanging="624"/>
        <w:rPr>
          <w:szCs w:val="22"/>
          <w:highlight w:val="lightGray"/>
        </w:rPr>
      </w:pPr>
      <w:r>
        <w:rPr>
          <w:szCs w:val="22"/>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0A1012" w:rsidP="002D61D4">
      <w:pPr>
        <w:pStyle w:val="Zkladntext2"/>
        <w:numPr>
          <w:ilvl w:val="1"/>
          <w:numId w:val="36"/>
        </w:numPr>
        <w:spacing w:after="120" w:line="260" w:lineRule="exact"/>
        <w:ind w:left="624" w:hanging="624"/>
        <w:rPr>
          <w:highlight w:val="lightGray"/>
        </w:rPr>
      </w:pPr>
      <w:r>
        <w:rPr>
          <w:szCs w:val="22"/>
        </w:rPr>
        <w:t>XXX</w:t>
      </w:r>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0A1012">
        <w:rPr>
          <w:szCs w:val="22"/>
        </w:rPr>
        <w:t>XXX</w:t>
      </w:r>
      <w:r w:rsidR="000A1012">
        <w:rPr>
          <w:szCs w:val="22"/>
        </w:rPr>
        <w:t>,</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F6B14" w:rsidRDefault="000A1012" w:rsidP="002D61D4">
      <w:pPr>
        <w:pStyle w:val="Zkladntext2"/>
        <w:numPr>
          <w:ilvl w:val="1"/>
          <w:numId w:val="31"/>
        </w:numPr>
        <w:spacing w:after="120" w:line="260" w:lineRule="exact"/>
        <w:ind w:left="624" w:hanging="624"/>
        <w:rPr>
          <w:szCs w:val="22"/>
          <w:highlight w:val="lightGray"/>
        </w:rPr>
      </w:pPr>
      <w:r>
        <w:rPr>
          <w:szCs w:val="22"/>
        </w:rPr>
        <w:t>XXX</w:t>
      </w:r>
      <w:bookmarkStart w:id="1" w:name="_GoBack"/>
      <w:bookmarkEnd w:id="1"/>
    </w:p>
    <w:p w:rsidR="002D61D4"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w:t>
      </w:r>
      <w:r w:rsidRPr="00173B2F">
        <w:rPr>
          <w:szCs w:val="22"/>
        </w:rPr>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173B2F">
        <w:rPr>
          <w:szCs w:val="22"/>
        </w:rPr>
        <w:lastRenderedPageBreak/>
        <w:t>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2F6B14" w:rsidRDefault="002F6B14" w:rsidP="002D61D4">
      <w:pPr>
        <w:pStyle w:val="Zkladntext2"/>
        <w:spacing w:after="120" w:line="260" w:lineRule="exact"/>
        <w:ind w:left="624"/>
        <w:rPr>
          <w:szCs w:val="22"/>
        </w:rPr>
      </w:pPr>
    </w:p>
    <w:p w:rsidR="002F6B14" w:rsidRPr="002D0D37" w:rsidRDefault="002F6B1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A1012">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A1012">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58B0"/>
    <w:rsid w:val="00096033"/>
    <w:rsid w:val="000A0541"/>
    <w:rsid w:val="000A1012"/>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A04F8"/>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66E9"/>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36DAD"/>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62511"/>
    <w:rsid w:val="00A64BC9"/>
    <w:rsid w:val="00A66C1A"/>
    <w:rsid w:val="00A805F6"/>
    <w:rsid w:val="00A837AE"/>
    <w:rsid w:val="00A92FC3"/>
    <w:rsid w:val="00A95E77"/>
    <w:rsid w:val="00AA1110"/>
    <w:rsid w:val="00AA15E2"/>
    <w:rsid w:val="00AA50FB"/>
    <w:rsid w:val="00AB164A"/>
    <w:rsid w:val="00AC7B22"/>
    <w:rsid w:val="00AD7B68"/>
    <w:rsid w:val="00AE2D0A"/>
    <w:rsid w:val="00AE66E7"/>
    <w:rsid w:val="00AF2B11"/>
    <w:rsid w:val="00AF451F"/>
    <w:rsid w:val="00AF533F"/>
    <w:rsid w:val="00B011B3"/>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2E7"/>
    <w:rsid w:val="00F44E30"/>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424110335">
      <w:bodyDiv w:val="1"/>
      <w:marLeft w:val="0"/>
      <w:marRight w:val="0"/>
      <w:marTop w:val="0"/>
      <w:marBottom w:val="0"/>
      <w:divBdr>
        <w:top w:val="none" w:sz="0" w:space="0" w:color="auto"/>
        <w:left w:val="none" w:sz="0" w:space="0" w:color="auto"/>
        <w:bottom w:val="none" w:sz="0" w:space="0" w:color="auto"/>
        <w:right w:val="none" w:sz="0" w:space="0" w:color="auto"/>
      </w:divBdr>
    </w:div>
    <w:div w:id="14849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32</TotalTime>
  <Pages>11</Pages>
  <Words>5206</Words>
  <Characters>30720</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23</cp:revision>
  <cp:lastPrinted>2018-03-21T06:46:00Z</cp:lastPrinted>
  <dcterms:created xsi:type="dcterms:W3CDTF">2017-12-12T12:25:00Z</dcterms:created>
  <dcterms:modified xsi:type="dcterms:W3CDTF">2018-03-28T11:00:00Z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