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55E" w:rsidRDefault="004E3936">
      <w:pPr>
        <w:widowControl w:val="0"/>
        <w:outlineLvl w:val="0"/>
        <w:rPr>
          <w:b/>
        </w:rPr>
      </w:pPr>
      <w:bookmarkStart w:id="0" w:name="_GoBack"/>
      <w:bookmarkEnd w:id="0"/>
      <w:r>
        <w:rPr>
          <w:b/>
        </w:rPr>
        <w:t>Československá obchodní banka, a. s.</w:t>
      </w:r>
    </w:p>
    <w:p w:rsidR="00EB255E" w:rsidRDefault="004E3936">
      <w:pPr>
        <w:widowControl w:val="0"/>
        <w:tabs>
          <w:tab w:val="left" w:pos="2268"/>
        </w:tabs>
        <w:ind w:firstLine="426"/>
        <w:rPr>
          <w:color w:val="000000"/>
        </w:rPr>
      </w:pPr>
      <w:r>
        <w:t>se sídlem:</w:t>
      </w:r>
      <w:r>
        <w:tab/>
      </w:r>
      <w:r>
        <w:rPr>
          <w:color w:val="000000"/>
          <w:szCs w:val="22"/>
        </w:rPr>
        <w:t>Radlická 333/150, 150 57 Praha 5</w:t>
      </w:r>
    </w:p>
    <w:p w:rsidR="00EB255E" w:rsidRDefault="00385E21">
      <w:pPr>
        <w:widowControl w:val="0"/>
        <w:tabs>
          <w:tab w:val="left" w:pos="2268"/>
        </w:tabs>
        <w:ind w:left="426"/>
        <w:outlineLvl w:val="0"/>
      </w:pPr>
      <w:r>
        <w:t>IČO:</w:t>
      </w:r>
      <w:r w:rsidR="004E3936">
        <w:tab/>
        <w:t>00001350</w:t>
      </w:r>
    </w:p>
    <w:p w:rsidR="00EB255E" w:rsidRDefault="004E3936">
      <w:pPr>
        <w:widowControl w:val="0"/>
        <w:tabs>
          <w:tab w:val="left" w:pos="1701"/>
        </w:tabs>
        <w:ind w:left="426"/>
      </w:pPr>
      <w:r>
        <w:t>zapsaná v obchodním rejstříku vedeném Městským soudem v Praze, oddíl B: XXXVI, vložka 46</w:t>
      </w:r>
    </w:p>
    <w:p w:rsidR="00EB255E" w:rsidRDefault="004E3936">
      <w:pPr>
        <w:widowControl w:val="0"/>
      </w:pPr>
      <w:r>
        <w:t>(dále jen "Banka")</w:t>
      </w:r>
    </w:p>
    <w:p w:rsidR="00EB255E" w:rsidRDefault="004E3936">
      <w:pPr>
        <w:tabs>
          <w:tab w:val="left" w:pos="2268"/>
        </w:tabs>
        <w:ind w:left="426"/>
      </w:pPr>
      <w:r>
        <w:t>za Banku:</w:t>
      </w:r>
      <w:r>
        <w:tab/>
      </w:r>
      <w:r w:rsidR="00682BD8">
        <w:rPr>
          <w:szCs w:val="22"/>
        </w:rPr>
        <w:t>XXXXXXXXXXXX</w:t>
      </w:r>
    </w:p>
    <w:p w:rsidR="00EB255E" w:rsidRDefault="004E3936">
      <w:pPr>
        <w:tabs>
          <w:tab w:val="left" w:pos="2268"/>
        </w:tabs>
        <w:ind w:left="426"/>
        <w:rPr>
          <w:szCs w:val="22"/>
        </w:rPr>
      </w:pPr>
      <w:r>
        <w:tab/>
      </w:r>
      <w:r w:rsidR="00682BD8">
        <w:rPr>
          <w:szCs w:val="22"/>
        </w:rPr>
        <w:t>XXXXXXXXXXXX</w:t>
      </w:r>
    </w:p>
    <w:p w:rsidR="00EB255E" w:rsidRDefault="004E3936">
      <w:pPr>
        <w:tabs>
          <w:tab w:val="left" w:pos="2268"/>
        </w:tabs>
        <w:ind w:left="2268" w:hanging="1843"/>
        <w:rPr>
          <w:szCs w:val="22"/>
        </w:rPr>
      </w:pPr>
      <w:r>
        <w:t>pobočka:</w:t>
      </w:r>
      <w:r>
        <w:tab/>
      </w:r>
      <w:r>
        <w:rPr>
          <w:szCs w:val="22"/>
        </w:rPr>
        <w:t>Hradec Králové, Ulrichovo nám. 734, PSČ 500 02</w:t>
      </w:r>
    </w:p>
    <w:p w:rsidR="00EB255E" w:rsidRDefault="004E3936">
      <w:pPr>
        <w:widowControl w:val="0"/>
      </w:pPr>
      <w:r>
        <w:t>a</w:t>
      </w:r>
    </w:p>
    <w:p w:rsidR="00EB255E" w:rsidRDefault="004E3936">
      <w:pPr>
        <w:widowControl w:val="0"/>
        <w:rPr>
          <w:b/>
        </w:rPr>
      </w:pPr>
      <w:r>
        <w:rPr>
          <w:b/>
          <w:szCs w:val="22"/>
        </w:rPr>
        <w:t>Zdravotnický holding Královéhradeckého kraje a.s.</w:t>
      </w:r>
    </w:p>
    <w:p w:rsidR="00EB255E" w:rsidRDefault="004E3936">
      <w:pPr>
        <w:widowControl w:val="0"/>
        <w:tabs>
          <w:tab w:val="left" w:pos="2268"/>
        </w:tabs>
        <w:ind w:left="2268" w:hanging="1843"/>
      </w:pPr>
      <w:r>
        <w:t>se sídlem:</w:t>
      </w:r>
      <w:r>
        <w:tab/>
      </w:r>
      <w:r w:rsidR="00F90CB9">
        <w:t>Pospíšilova 365/9, 500 03 Hradec Králové</w:t>
      </w:r>
    </w:p>
    <w:p w:rsidR="00EB255E" w:rsidRDefault="00385E21">
      <w:pPr>
        <w:widowControl w:val="0"/>
        <w:tabs>
          <w:tab w:val="left" w:pos="2268"/>
        </w:tabs>
        <w:ind w:left="426"/>
        <w:outlineLvl w:val="0"/>
      </w:pPr>
      <w:r>
        <w:t>IČO:</w:t>
      </w:r>
      <w:r w:rsidR="004E3936">
        <w:tab/>
      </w:r>
      <w:r w:rsidR="004E3936">
        <w:rPr>
          <w:szCs w:val="22"/>
        </w:rPr>
        <w:t>259 97 556</w:t>
      </w:r>
    </w:p>
    <w:p w:rsidR="00FC5A84" w:rsidRDefault="004E3936">
      <w:pPr>
        <w:widowControl w:val="0"/>
        <w:ind w:left="426"/>
        <w:rPr>
          <w:szCs w:val="22"/>
        </w:rPr>
      </w:pPr>
      <w:r>
        <w:rPr>
          <w:szCs w:val="22"/>
        </w:rPr>
        <w:t>zapsaná</w:t>
      </w:r>
      <w:r w:rsidR="00063796">
        <w:rPr>
          <w:szCs w:val="22"/>
        </w:rPr>
        <w:t xml:space="preserve"> v obchodním rejstříku vedeném </w:t>
      </w:r>
      <w:r>
        <w:rPr>
          <w:szCs w:val="22"/>
        </w:rPr>
        <w:t>Krajským soudem v Hradci Králové,  oddíl B,  vložka 2321</w:t>
      </w:r>
    </w:p>
    <w:p w:rsidR="00EB255E" w:rsidRDefault="004E3936">
      <w:pPr>
        <w:widowControl w:val="0"/>
      </w:pPr>
      <w:r>
        <w:t>(dále jen "Klient")</w:t>
      </w:r>
    </w:p>
    <w:p w:rsidR="00EB255E" w:rsidRDefault="004E3936">
      <w:pPr>
        <w:tabs>
          <w:tab w:val="left" w:pos="2268"/>
        </w:tabs>
        <w:ind w:left="2268" w:hanging="1843"/>
      </w:pPr>
      <w:r>
        <w:t>za Klienta:</w:t>
      </w:r>
      <w:r>
        <w:tab/>
      </w:r>
      <w:r w:rsidR="00682BD8">
        <w:rPr>
          <w:szCs w:val="22"/>
        </w:rPr>
        <w:t>XXXXXXXXXXX</w:t>
      </w:r>
    </w:p>
    <w:p w:rsidR="00EB255E" w:rsidRDefault="00EB255E"/>
    <w:p w:rsidR="00EB255E" w:rsidRDefault="004E3936">
      <w:pPr>
        <w:widowControl w:val="0"/>
        <w:jc w:val="center"/>
      </w:pPr>
      <w:r>
        <w:t>(Banka a Klient společně dále též "Smluvní strany") uzavírají</w:t>
      </w:r>
    </w:p>
    <w:p w:rsidR="00FC5A84" w:rsidRDefault="00FC5A84">
      <w:pPr>
        <w:widowControl w:val="0"/>
        <w:jc w:val="center"/>
      </w:pPr>
      <w:r>
        <w:t>podle příslušných ustanovení zákona č. 89/2012 Sb., občanský zákoník ve znění změn a doplňků</w:t>
      </w:r>
    </w:p>
    <w:p w:rsidR="00EB255E" w:rsidRDefault="00FC5A84">
      <w:pPr>
        <w:widowControl w:val="0"/>
        <w:jc w:val="center"/>
      </w:pPr>
      <w:r>
        <w:t>(dále jen "Občanský zákoník"), následující</w:t>
      </w:r>
    </w:p>
    <w:p w:rsidR="00EB255E" w:rsidRDefault="00EB255E"/>
    <w:p w:rsidR="00EB255E" w:rsidRDefault="004E3936">
      <w:pPr>
        <w:pStyle w:val="Zkladntext"/>
        <w:widowControl w:val="0"/>
        <w:jc w:val="center"/>
        <w:rPr>
          <w:b/>
          <w:sz w:val="26"/>
        </w:rPr>
      </w:pPr>
      <w:r>
        <w:rPr>
          <w:b/>
          <w:sz w:val="26"/>
        </w:rPr>
        <w:t>Smlouvu o úvěru č. </w:t>
      </w:r>
      <w:r w:rsidR="00F9357C">
        <w:rPr>
          <w:b/>
          <w:sz w:val="26"/>
        </w:rPr>
        <w:t>0009/17</w:t>
      </w:r>
      <w:r>
        <w:rPr>
          <w:b/>
          <w:sz w:val="26"/>
        </w:rPr>
        <w:t>/5648</w:t>
      </w:r>
    </w:p>
    <w:p w:rsidR="00EB255E" w:rsidRDefault="004E3936">
      <w:pPr>
        <w:pStyle w:val="Zkladntext"/>
        <w:widowControl w:val="0"/>
        <w:jc w:val="center"/>
      </w:pPr>
      <w:r>
        <w:t>(dále jen "Smlouva").</w:t>
      </w:r>
    </w:p>
    <w:p w:rsidR="00EB255E" w:rsidRDefault="00EB255E"/>
    <w:p w:rsidR="00EB255E" w:rsidRDefault="00FC5A84" w:rsidP="00FC5A84">
      <w:pPr>
        <w:rPr>
          <w:szCs w:val="22"/>
        </w:rPr>
      </w:pPr>
      <w:r>
        <w:rPr>
          <w:szCs w:val="22"/>
        </w:rPr>
        <w:t>Součástí Smlouvy jsou Úvěrové obchodní podmínky ČSOB ze dne 1.1.2014 (dále jen "ÚOP"), které tvoří Přílohu č. 2 Smlouvy. Odchylná ustanovení Smlouvy mají přednost před zněním ÚOP. Klient prohlašuje a stvrzuje podpisem Smlouvy, že byl s ÚOP seznámen, rozumí jim a s jejich zněním souhlasí. Klient bere na vědomí, že Smluvní strany jsou vázány nejen touto Smlouvou, ale mají rovněž práva a povinnosti obsažené v ÚOP a že nesplnění povinností uvedených v ÚOP má stejné právní následky jako nesplnění povinností vyplývajících ze Smlouvy, která na ně odkazuje.</w:t>
      </w:r>
    </w:p>
    <w:p w:rsidR="00EB255E" w:rsidRDefault="00EB255E"/>
    <w:p w:rsidR="00EB255E" w:rsidRDefault="004E3936">
      <w:pPr>
        <w:keepNext/>
        <w:jc w:val="center"/>
        <w:rPr>
          <w:b/>
        </w:rPr>
      </w:pPr>
      <w:r>
        <w:rPr>
          <w:b/>
        </w:rPr>
        <w:lastRenderedPageBreak/>
        <w:t>Článek I.</w:t>
      </w:r>
    </w:p>
    <w:p w:rsidR="00EB255E" w:rsidRDefault="004E3936">
      <w:pPr>
        <w:keepNext/>
        <w:jc w:val="center"/>
        <w:rPr>
          <w:b/>
        </w:rPr>
      </w:pPr>
      <w:r>
        <w:rPr>
          <w:b/>
          <w:u w:val="single"/>
        </w:rPr>
        <w:t>Výše, účel a podmínky čerpání úvěru</w:t>
      </w:r>
    </w:p>
    <w:p w:rsidR="00EB255E" w:rsidRPr="00CE40AE" w:rsidRDefault="004E3936">
      <w:pPr>
        <w:numPr>
          <w:ilvl w:val="0"/>
          <w:numId w:val="1"/>
        </w:numPr>
      </w:pPr>
      <w:r>
        <w:t>Banka poskytne Klientovi peněžní prostředky formou kontokorentního úvěru do výše úvěrového limitu =30.000.000,</w:t>
      </w:r>
      <w:r>
        <w:noBreakHyphen/>
        <w:t>Kč (dále jen "Úvěrový limit"). Banka otevře pro Klienta úvěrový účet, z něhož bude kontokorentní úvěr poskytován formou napojení úvěrového účtu na účet Klienta č. </w:t>
      </w:r>
      <w:r w:rsidR="00682BD8">
        <w:t>XXXXXXXXXXX</w:t>
      </w:r>
      <w:r>
        <w:t xml:space="preserve"> (dále jen "Účet") až do maximální výše Úvěrového limitu. Čerpání kontokorentního úvěru i jeho splácení se uskut</w:t>
      </w:r>
      <w:r w:rsidR="002E7724">
        <w:t>ečňuje automaticky -</w:t>
      </w:r>
      <w:r>
        <w:t xml:space="preserve"> při převodu peněžních prostředků </w:t>
      </w:r>
      <w:r w:rsidR="002E7724">
        <w:t>z Účtu převyšujícím zůstatek na </w:t>
      </w:r>
      <w:r>
        <w:t xml:space="preserve">Účtu dochází k čerpání úvěru, při převodu peněžních prostředků na Účet je vyčerpaný úvěr nejprve splácen. Banka bude vystavovat výpisy z úvěrového účtu a zasílat je Klientovi způsobem sjednaným pro předávání výpisů z Účtu. Úvěr může být čerpán od prvního pracovního dne následujícího po dni, ve kterém byly splněny podmínky čerpání úvěru stanovené Smlouvou, </w:t>
      </w:r>
      <w:r w:rsidRPr="00E90F2F">
        <w:t>do </w:t>
      </w:r>
      <w:r w:rsidR="00E03138" w:rsidRPr="00E90F2F">
        <w:t>28.3.</w:t>
      </w:r>
      <w:r w:rsidR="007B5854" w:rsidRPr="00E90F2F">
        <w:t>2018</w:t>
      </w:r>
      <w:r w:rsidRPr="00E90F2F">
        <w:t>.</w:t>
      </w:r>
      <w:r>
        <w:t xml:space="preserve"> Banka poskytuje úvěr Klientovi na krytí přechodného nedostatku peněžních prostředků.</w:t>
      </w:r>
    </w:p>
    <w:p w:rsidR="00EB255E" w:rsidRDefault="004E3936">
      <w:pPr>
        <w:numPr>
          <w:ilvl w:val="0"/>
          <w:numId w:val="1"/>
        </w:numPr>
      </w:pPr>
      <w:r>
        <w:t>Peněžní prostředky z úvěru nebo jejich část až do</w:t>
      </w:r>
      <w:r w:rsidR="00065070">
        <w:t> </w:t>
      </w:r>
      <w:r>
        <w:t xml:space="preserve">výše Úvěrového limitu mohou být čerpány </w:t>
      </w:r>
      <w:r>
        <w:rPr>
          <w:bCs/>
        </w:rPr>
        <w:t>po splnění obecných podmínek čerpání dle ÚOP.</w:t>
      </w:r>
    </w:p>
    <w:p w:rsidR="00EB255E" w:rsidRDefault="00EB255E"/>
    <w:p w:rsidR="00EB255E" w:rsidRDefault="004E3936">
      <w:pPr>
        <w:keepNext/>
        <w:jc w:val="center"/>
        <w:rPr>
          <w:b/>
        </w:rPr>
      </w:pPr>
      <w:r>
        <w:rPr>
          <w:b/>
        </w:rPr>
        <w:lastRenderedPageBreak/>
        <w:t>Článek II.</w:t>
      </w:r>
    </w:p>
    <w:p w:rsidR="00EB255E" w:rsidRDefault="004E3936">
      <w:pPr>
        <w:keepNext/>
        <w:jc w:val="center"/>
        <w:rPr>
          <w:b/>
          <w:u w:val="single"/>
        </w:rPr>
      </w:pPr>
      <w:r>
        <w:rPr>
          <w:b/>
          <w:u w:val="single"/>
        </w:rPr>
        <w:t>Úročení, splácení, poplatky</w:t>
      </w:r>
    </w:p>
    <w:p w:rsidR="00EB255E" w:rsidRDefault="004E3936">
      <w:pPr>
        <w:numPr>
          <w:ilvl w:val="0"/>
          <w:numId w:val="2"/>
        </w:numPr>
      </w:pPr>
      <w:r>
        <w:t>Úvěr je úročen pohyblivou úrokovou sazbou s přechodnou fixací, která se skládá ze sazby PRIBOR 7-denní a ma</w:t>
      </w:r>
      <w:r w:rsidR="00FB74CC">
        <w:t>rže (přirážky) v pevné výši 0,19</w:t>
      </w:r>
      <w:r>
        <w:t xml:space="preserve"> % p.a. </w:t>
      </w:r>
      <w:r w:rsidR="00B53464" w:rsidRPr="007E7F26">
        <w:t>Pokud by úroková sazba vypočtená výše uvedeným způsobem poklesla v</w:t>
      </w:r>
      <w:r w:rsidR="00B53464">
        <w:t> </w:t>
      </w:r>
      <w:r w:rsidR="00B53464" w:rsidRPr="007E7F26">
        <w:t xml:space="preserve">některém </w:t>
      </w:r>
      <w:r w:rsidR="00B53464">
        <w:t>o</w:t>
      </w:r>
      <w:r w:rsidR="00B53464" w:rsidRPr="007E7F26">
        <w:t xml:space="preserve">bdobí fixace pod hodnotu </w:t>
      </w:r>
      <w:r w:rsidR="00B53464">
        <w:t>0,1</w:t>
      </w:r>
      <w:r w:rsidR="00FB74CC">
        <w:t>9</w:t>
      </w:r>
      <w:r w:rsidR="00B53464">
        <w:t> % p.a.</w:t>
      </w:r>
      <w:r w:rsidR="00B53464" w:rsidRPr="007E7F26">
        <w:t>, bude úvěr v</w:t>
      </w:r>
      <w:r w:rsidR="00B53464">
        <w:t> </w:t>
      </w:r>
      <w:r w:rsidR="00B53464" w:rsidRPr="007E7F26">
        <w:t xml:space="preserve">příslušném </w:t>
      </w:r>
      <w:r w:rsidR="00B53464">
        <w:t>období fixace</w:t>
      </w:r>
      <w:r w:rsidR="00B53464" w:rsidRPr="007E7F26">
        <w:t xml:space="preserve"> úročen sazbou ve</w:t>
      </w:r>
      <w:r w:rsidR="00B53464">
        <w:t> </w:t>
      </w:r>
      <w:r w:rsidR="00B53464" w:rsidRPr="007E7F26">
        <w:t xml:space="preserve">výši </w:t>
      </w:r>
      <w:r w:rsidR="00FB74CC">
        <w:t>0,19</w:t>
      </w:r>
      <w:r w:rsidR="00B53464">
        <w:t> % p.a.</w:t>
      </w:r>
      <w:r w:rsidR="00B53464" w:rsidRPr="007E7F26">
        <w:t xml:space="preserve"> (platí i pro náhradní úrokovou sazbu stanovenou dle bodu 7. ÚOP).</w:t>
      </w:r>
      <w:r w:rsidR="00B53464">
        <w:t xml:space="preserve"> </w:t>
      </w:r>
      <w:r>
        <w:t>Úroková sazba stanovená tímto sjednaným způsobem je v dané výši platná vždy pro příslušné období fixace.</w:t>
      </w:r>
    </w:p>
    <w:p w:rsidR="00EB255E" w:rsidRDefault="004E3936">
      <w:pPr>
        <w:numPr>
          <w:ilvl w:val="0"/>
          <w:numId w:val="2"/>
        </w:numPr>
      </w:pPr>
      <w:r>
        <w:t xml:space="preserve">První období fixace začíná v pracovní den následující po dni podpisu Smlouvy a končí 6. následující den. Prvním dnem po skončení prvního období fixace počíná běh dalších týdenních období fixace, začínajících vždy prvním dnem po skončení předcházejícího období fixace a končících 6. následující den. Pokud 1. den dalšího období fixace připadne mimořádně na nepracovní den, bude pro příslušné období fixace použita sazba ve výši platné 3 pracovní dny před počátkem tohoto období fixace. Poslední období fixace končí dnem předcházejícím dni konečné splatnosti úvěru. </w:t>
      </w:r>
      <w:r>
        <w:rPr>
          <w:color w:val="000000"/>
        </w:rPr>
        <w:t xml:space="preserve">V případě prodlení Klienta se splácením trvajícího po dni konečné splatnosti </w:t>
      </w:r>
      <w:r>
        <w:rPr>
          <w:color w:val="000000"/>
        </w:rPr>
        <w:lastRenderedPageBreak/>
        <w:t xml:space="preserve">úvěru poslední období fixace pokračuje a trvá do úplného splacení všech </w:t>
      </w:r>
      <w:r w:rsidR="00D96691">
        <w:rPr>
          <w:color w:val="000000"/>
        </w:rPr>
        <w:t>dluhů</w:t>
      </w:r>
      <w:r>
        <w:rPr>
          <w:color w:val="000000"/>
        </w:rPr>
        <w:t xml:space="preserve"> Klienta vyplývajících ze Smlouvy.</w:t>
      </w:r>
      <w:r>
        <w:t xml:space="preserve"> Úrok vypočtený Bankou z poskytnutých peněžních prostředků </w:t>
      </w:r>
      <w:r w:rsidR="00D96691">
        <w:t xml:space="preserve">v souladu se Smlouvou </w:t>
      </w:r>
      <w:r>
        <w:t>se Klient zavazuje platit vždy v poslední pracovní den kalendářního měsíce a v den konečné splatnosti úvěru.</w:t>
      </w:r>
    </w:p>
    <w:p w:rsidR="00EB255E" w:rsidRPr="00065070" w:rsidRDefault="004E3936">
      <w:pPr>
        <w:numPr>
          <w:ilvl w:val="0"/>
          <w:numId w:val="2"/>
        </w:numPr>
      </w:pPr>
      <w:r>
        <w:t>Poskytnuté peněžní prostředky se Klient zavazuje vrátit ke dni konečné splatnosti úvěru, kterým je pracovní den následující po dni uvedeném v</w:t>
      </w:r>
      <w:r w:rsidR="00385E21">
        <w:t xml:space="preserve"> odst. 1) </w:t>
      </w:r>
      <w:r>
        <w:t xml:space="preserve">Článku I. Smlouvy. Nejpozději ke dni konečné splatnosti úvěru Klient uhradí aktuálně čerpanou částku z Úvěrového limitu, tzn. zavazuje se zajistit na Účtu peněžní krytí, aby </w:t>
      </w:r>
      <w:r w:rsidR="00EB5B5C">
        <w:t>Ú</w:t>
      </w:r>
      <w:r>
        <w:t>čet vykazoval kreditní zůstatek ve výši postačující též minimálně k úhradě splatného příslušenství (úrok, poplatky, závazková provize).</w:t>
      </w:r>
    </w:p>
    <w:p w:rsidR="00EB255E" w:rsidRDefault="004E3936" w:rsidP="00584BFC">
      <w:pPr>
        <w:numPr>
          <w:ilvl w:val="0"/>
          <w:numId w:val="2"/>
        </w:numPr>
      </w:pPr>
      <w:r>
        <w:t xml:space="preserve">Jakékoli částky splatné podle Smlouvy se Klient zavazuje zaplatit v den jejich splatnosti, v případě vzniku prodlení </w:t>
      </w:r>
      <w:r w:rsidR="006F1FCF">
        <w:t xml:space="preserve">se </w:t>
      </w:r>
      <w:r>
        <w:t xml:space="preserve">splácením se </w:t>
      </w:r>
      <w:r>
        <w:rPr>
          <w:color w:val="000000"/>
        </w:rPr>
        <w:t xml:space="preserve">Klient zavazuje uhradit </w:t>
      </w:r>
      <w:r>
        <w:t>Bance úrok z prodlení ve výši 20 % p.a.</w:t>
      </w:r>
      <w:r w:rsidR="004A5657">
        <w:t xml:space="preserve"> z dlužné částky.</w:t>
      </w:r>
    </w:p>
    <w:p w:rsidR="00EB255E" w:rsidRDefault="00EB255E"/>
    <w:p w:rsidR="00EB255E" w:rsidRDefault="004E3936">
      <w:pPr>
        <w:keepNext/>
        <w:jc w:val="center"/>
        <w:rPr>
          <w:b/>
        </w:rPr>
      </w:pPr>
      <w:r>
        <w:rPr>
          <w:b/>
        </w:rPr>
        <w:t>Článek III.</w:t>
      </w:r>
    </w:p>
    <w:p w:rsidR="00EB255E" w:rsidRDefault="004E3936">
      <w:pPr>
        <w:keepNext/>
        <w:jc w:val="center"/>
        <w:rPr>
          <w:b/>
        </w:rPr>
      </w:pPr>
      <w:r>
        <w:rPr>
          <w:b/>
          <w:u w:val="single"/>
        </w:rPr>
        <w:t>Zajištění</w:t>
      </w:r>
    </w:p>
    <w:p w:rsidR="00EB255E" w:rsidRDefault="004E3936">
      <w:pPr>
        <w:numPr>
          <w:ilvl w:val="0"/>
          <w:numId w:val="3"/>
        </w:numPr>
      </w:pPr>
      <w:r>
        <w:t>Smluvní strany sjednávají následující zajištění:</w:t>
      </w:r>
    </w:p>
    <w:p w:rsidR="00EB255E" w:rsidRDefault="004A5657">
      <w:pPr>
        <w:numPr>
          <w:ilvl w:val="1"/>
          <w:numId w:val="3"/>
        </w:numPr>
      </w:pPr>
      <w:r>
        <w:lastRenderedPageBreak/>
        <w:t>ručení dle dohody o ručení č. </w:t>
      </w:r>
      <w:r w:rsidR="00F9357C">
        <w:t>0010/17</w:t>
      </w:r>
      <w:r w:rsidR="00C20222">
        <w:t>/5648</w:t>
      </w:r>
      <w:r w:rsidR="004E3936">
        <w:t>.</w:t>
      </w:r>
    </w:p>
    <w:p w:rsidR="00EB255E" w:rsidRDefault="004E3936">
      <w:pPr>
        <w:numPr>
          <w:ilvl w:val="0"/>
          <w:numId w:val="3"/>
        </w:numPr>
        <w:rPr>
          <w:bCs/>
          <w:color w:val="000000"/>
          <w:szCs w:val="22"/>
        </w:rPr>
      </w:pPr>
      <w:r>
        <w:rPr>
          <w:bCs/>
          <w:color w:val="000000"/>
          <w:szCs w:val="22"/>
        </w:rPr>
        <w:t>Poklesem nebo ztrátou na ceně hodnoty zajištění se rozumí případy poklesu hodnoty zajištění obsažené v ÚOP.</w:t>
      </w:r>
    </w:p>
    <w:p w:rsidR="00EB255E" w:rsidRDefault="0039589E" w:rsidP="0039589E">
      <w:pPr>
        <w:numPr>
          <w:ilvl w:val="0"/>
          <w:numId w:val="3"/>
        </w:numPr>
      </w:pPr>
      <w:r>
        <w:t>Před poskytnutím zástavy, ručení, směnečného avalu či jiné jistoty ze strany třetích osob k zajištění dluhů Klienta vůči Bance vyplývajících ze Smlouvy se Klient zavazuje seznámit všechny tyto třetí osoby (zástavce, ručitele, avalisty atd.) s výší současných, budoucích i podmíněných dluhů Klienta vyplývajících ze Smlouvy, a to včetně sjednané výše úroků a úroku z prodlení.</w:t>
      </w:r>
    </w:p>
    <w:p w:rsidR="00EB255E" w:rsidRDefault="00EB255E"/>
    <w:p w:rsidR="00EB255E" w:rsidRDefault="004E3936">
      <w:pPr>
        <w:keepNext/>
        <w:jc w:val="center"/>
        <w:rPr>
          <w:b/>
        </w:rPr>
      </w:pPr>
      <w:r>
        <w:rPr>
          <w:b/>
        </w:rPr>
        <w:t>Článek IV.</w:t>
      </w:r>
    </w:p>
    <w:p w:rsidR="00EB255E" w:rsidRDefault="004E3936">
      <w:pPr>
        <w:keepNext/>
        <w:jc w:val="center"/>
        <w:rPr>
          <w:b/>
          <w:u w:val="single"/>
        </w:rPr>
      </w:pPr>
      <w:r>
        <w:rPr>
          <w:b/>
          <w:u w:val="single"/>
        </w:rPr>
        <w:t>Prohlášení, závazky, oprávnění Banky a zvláštní ujednání</w:t>
      </w:r>
    </w:p>
    <w:p w:rsidR="00EB255E" w:rsidRPr="0039589E" w:rsidRDefault="0039589E">
      <w:pPr>
        <w:numPr>
          <w:ilvl w:val="0"/>
          <w:numId w:val="5"/>
        </w:numPr>
        <w:rPr>
          <w:bCs/>
        </w:rPr>
      </w:pPr>
      <w:r>
        <w:t>Klient prohlašuje, že plní závazky uvedené v ÚOP, jeho prohlášení obsažená v Příloze č. 1 Smlouvy jsou aktuální, pravdivá a úplná a dále prohlašuje, že ke dni uzavření Smlouvy:</w:t>
      </w:r>
    </w:p>
    <w:p w:rsidR="0039589E" w:rsidRDefault="0039589E" w:rsidP="0039589E">
      <w:pPr>
        <w:numPr>
          <w:ilvl w:val="1"/>
          <w:numId w:val="5"/>
        </w:numPr>
        <w:rPr>
          <w:bCs/>
        </w:rPr>
      </w:pPr>
      <w:r>
        <w:t>má oprávnění podepsat Smlouvu, uplatnit svá práva a plnit své závazky ze Smlouvy,</w:t>
      </w:r>
    </w:p>
    <w:p w:rsidR="0039589E" w:rsidRDefault="0039589E" w:rsidP="0039589E">
      <w:pPr>
        <w:numPr>
          <w:ilvl w:val="1"/>
          <w:numId w:val="5"/>
        </w:numPr>
        <w:rPr>
          <w:bCs/>
        </w:rPr>
      </w:pPr>
      <w:r>
        <w:lastRenderedPageBreak/>
        <w:t>byly učiněny veškeré úkony a získána veškerá oprávnění, která je třeba učinit a získat, aby Klient mohl zákonným způsobem podepsat Smlouvu a plnit své závazky podle ní a aby bylo zajištěno, že jeho závazky dle Smlouvy jsou platné a vymahatelné,</w:t>
      </w:r>
    </w:p>
    <w:p w:rsidR="0039589E" w:rsidRDefault="0039589E" w:rsidP="0039589E">
      <w:pPr>
        <w:numPr>
          <w:ilvl w:val="1"/>
          <w:numId w:val="5"/>
        </w:numPr>
        <w:rPr>
          <w:bCs/>
        </w:rPr>
      </w:pPr>
      <w:r>
        <w:t>podepsání Smlouvy a splnění závazků Klienta podle Smlouvy není v rozporu s (i) jakoukoliv smlouvou či jinou právní skutečností, na základě níž má Klient povinnosti, (ii) jeho zakladatelským právním jednáním, v případě právnické osoby, nebo (iii) jakýmkoliv právním předpisem či soudním, rozhodčím či správním rozhodnutím týkajícím se Klienta,</w:t>
      </w:r>
    </w:p>
    <w:p w:rsidR="0039589E" w:rsidRDefault="0039589E" w:rsidP="0039589E">
      <w:pPr>
        <w:numPr>
          <w:ilvl w:val="1"/>
          <w:numId w:val="5"/>
        </w:numPr>
        <w:rPr>
          <w:bCs/>
        </w:rPr>
      </w:pPr>
      <w:r>
        <w:t>Smlouva souvisí s jeho vlastním podnikáním nebo s jeho jinými ekonomickými aktivitami, má sám nebo prostřednictvím svých poradců dostatečné znalosti a zkušenosti posoudit a pochopit obsah Smlouvy a před jejím uzavřením obsah Smlouvy posoudil a plně pochopil, zvážil veškeré okolnosti a důsledky související s jejím uzavřením,</w:t>
      </w:r>
    </w:p>
    <w:p w:rsidR="0039589E" w:rsidRDefault="0039589E" w:rsidP="0039589E">
      <w:pPr>
        <w:numPr>
          <w:ilvl w:val="1"/>
          <w:numId w:val="5"/>
        </w:numPr>
        <w:rPr>
          <w:bCs/>
        </w:rPr>
      </w:pPr>
      <w:r>
        <w:t>při jednání o uzavření Smlouvy mu byly sděleny všechny skutkové a právní okolnosti tak, aby se Klient mohl přesvědčit o možnosti uzavřít platnou Smlouvu a aby byl Klientovi zřejmý zájem Banky Smlouvu uzavřít,</w:t>
      </w:r>
    </w:p>
    <w:p w:rsidR="0039589E" w:rsidRDefault="0039589E" w:rsidP="0039589E">
      <w:pPr>
        <w:numPr>
          <w:ilvl w:val="1"/>
          <w:numId w:val="5"/>
        </w:numPr>
        <w:rPr>
          <w:bCs/>
        </w:rPr>
      </w:pPr>
      <w:r>
        <w:lastRenderedPageBreak/>
        <w:t>má k uzavření Smlouvy na dobu uvedenou ve Smlouvě vážné důvody spočívající v optimalizaci financování svých potřeb.</w:t>
      </w:r>
    </w:p>
    <w:p w:rsidR="00EB255E" w:rsidRDefault="004E3936">
      <w:pPr>
        <w:numPr>
          <w:ilvl w:val="0"/>
          <w:numId w:val="5"/>
        </w:numPr>
        <w:rPr>
          <w:bCs/>
        </w:rPr>
      </w:pPr>
      <w:r>
        <w:rPr>
          <w:color w:val="000000"/>
        </w:rPr>
        <w:t>Klient se zavazuje plnit závazky obsažené v ÚOP a dále se zavazuje:</w:t>
      </w:r>
    </w:p>
    <w:p w:rsidR="00EB255E" w:rsidRDefault="004E3936">
      <w:pPr>
        <w:numPr>
          <w:ilvl w:val="1"/>
          <w:numId w:val="8"/>
        </w:numPr>
      </w:pPr>
      <w:r>
        <w:t>předkládat Bance dokumenty a výkazy v tomto rozsahu a lhůtách:</w:t>
      </w:r>
    </w:p>
    <w:p w:rsidR="00EB255E" w:rsidRDefault="004E3936">
      <w:pPr>
        <w:numPr>
          <w:ilvl w:val="2"/>
          <w:numId w:val="6"/>
        </w:numPr>
      </w:pPr>
      <w:r>
        <w:t>rozvahu a výkaz zisku a ztráty v plném rozsahu, a to vždy do 25. dne následujícího kalendářního pololetí,</w:t>
      </w:r>
    </w:p>
    <w:p w:rsidR="00EB255E" w:rsidRDefault="004E3936" w:rsidP="002575BB">
      <w:pPr>
        <w:numPr>
          <w:ilvl w:val="2"/>
          <w:numId w:val="6"/>
        </w:numPr>
      </w:pPr>
      <w:r>
        <w:t>konečné účetní výkazy v plném rozsahu za uplynulé účetní období a daňové přiznání o daních z příjmu včetně příloh potvrzené finančním úřadem, doklad  o zaplacení daně z příjmu, do 25.7. následujícího kalendářního roku,</w:t>
      </w:r>
    </w:p>
    <w:p w:rsidR="00EB255E" w:rsidRDefault="004E3936">
      <w:pPr>
        <w:numPr>
          <w:ilvl w:val="1"/>
          <w:numId w:val="8"/>
        </w:numPr>
      </w:pPr>
      <w:r>
        <w:t xml:space="preserve">vést u Banky minimálně jeden účet a směrovat na tento účet nebo na účty vedené Bankou  minimálně </w:t>
      </w:r>
      <w:r w:rsidR="002575BB">
        <w:t xml:space="preserve"> </w:t>
      </w:r>
      <w:r>
        <w:t>95 % svých příjmů za </w:t>
      </w:r>
      <w:r w:rsidR="004E1908">
        <w:rPr>
          <w:szCs w:val="22"/>
        </w:rPr>
        <w:t>každé kalendářní pololetí</w:t>
      </w:r>
      <w:r w:rsidR="002575BB">
        <w:t>,</w:t>
      </w:r>
    </w:p>
    <w:p w:rsidR="002575BB" w:rsidRDefault="00E7148E">
      <w:pPr>
        <w:numPr>
          <w:ilvl w:val="1"/>
          <w:numId w:val="8"/>
        </w:numPr>
      </w:pPr>
      <w:r>
        <w:t xml:space="preserve">informovat Banku písemnou formou o svém záměru nabýt podíl / akcie (majetkovou účast) v obchodní korporaci, a to neprodleně, nejpozději však minimálně 30 dní před uzavřením příslušné smlouvy. </w:t>
      </w:r>
    </w:p>
    <w:p w:rsidR="00EB255E" w:rsidRDefault="004E3936">
      <w:pPr>
        <w:numPr>
          <w:ilvl w:val="0"/>
          <w:numId w:val="5"/>
        </w:numPr>
        <w:rPr>
          <w:szCs w:val="22"/>
        </w:rPr>
      </w:pPr>
      <w:r>
        <w:rPr>
          <w:szCs w:val="22"/>
        </w:rPr>
        <w:t>Vedle případů porušení Smlouvy obsažených v ÚOP je porušením Smlouvy též vznik následující skutečnosti či skutečností:</w:t>
      </w:r>
    </w:p>
    <w:p w:rsidR="00EB255E" w:rsidRDefault="004E3936">
      <w:pPr>
        <w:numPr>
          <w:ilvl w:val="1"/>
          <w:numId w:val="10"/>
        </w:numPr>
        <w:rPr>
          <w:szCs w:val="22"/>
        </w:rPr>
      </w:pPr>
      <w:r>
        <w:rPr>
          <w:color w:val="000000"/>
        </w:rPr>
        <w:t xml:space="preserve">porušení kteréhokoli závazku sjednaného </w:t>
      </w:r>
      <w:r>
        <w:t>v odst. 2) tohoto Článku Smlouvy,</w:t>
      </w:r>
    </w:p>
    <w:p w:rsidR="00EB255E" w:rsidRDefault="004E3936">
      <w:pPr>
        <w:numPr>
          <w:ilvl w:val="1"/>
          <w:numId w:val="10"/>
        </w:numPr>
        <w:rPr>
          <w:szCs w:val="22"/>
        </w:rPr>
      </w:pPr>
      <w:r>
        <w:rPr>
          <w:bCs/>
          <w:iCs/>
          <w:color w:val="000000"/>
        </w:rPr>
        <w:lastRenderedPageBreak/>
        <w:t xml:space="preserve">ukazatel podílu upraveného vlastního kapitálu Klienta, kterým se rozumí podíl rozdílu mezi výší vlastního kapitálu a součtem netto výše pohledávek za upsaný základní kapitál, netto výše dlouhodobého nehmotného majetku, netto výše oceňovacího rozdílu k nabytému majetku a netto výše odložené daňové pohledávky k rozdílu mezi součtem výše vlastního kapitálu, výše cizích zdrojů a výše časového rozlišení a součtem netto výše pohledávek za upsaný základní kapitál, netto výše dlouhodobého nehmotného majetku, netto výše oceňovacího rozdílu k nabytému majetku a netto výše odložené daňové pohledávky dle rozvahy Klienta vyjádřený v procentech, poklesne pod hodnotu </w:t>
      </w:r>
      <w:r>
        <w:t>50 %</w:t>
      </w:r>
      <w:r>
        <w:rPr>
          <w:bCs/>
          <w:iCs/>
          <w:color w:val="000000"/>
        </w:rPr>
        <w:t xml:space="preserve">, přičemž rozhodným dnem je vždy poslední den příslušného kalendářního </w:t>
      </w:r>
      <w:r>
        <w:t>pololetí,</w:t>
      </w:r>
    </w:p>
    <w:p w:rsidR="00EB255E" w:rsidRDefault="004E3936">
      <w:pPr>
        <w:numPr>
          <w:ilvl w:val="1"/>
          <w:numId w:val="10"/>
        </w:numPr>
        <w:rPr>
          <w:szCs w:val="22"/>
        </w:rPr>
      </w:pPr>
      <w:r>
        <w:rPr>
          <w:color w:val="000000"/>
        </w:rPr>
        <w:t>ukazatel celkové likvidity Klienta, kterým se rozumí podíl součtu netto výše zásob, netto výše krátkodobých pohledávek, netto výše finančního majetku a netto výše časového rozlišení aktiv k součtu výše krátkodobých závazků, výše běžných bankovních úvěrů včetně části dlouhodobých úvěrů splatných do jednoho roku, výše krátkodobých finančních výpomocí a výše časového rozlišení v pasivech dle rozvahy Klienta vyjádřený v procentech, poklesne pod </w:t>
      </w:r>
      <w:r>
        <w:t>120 %</w:t>
      </w:r>
      <w:r>
        <w:rPr>
          <w:color w:val="000000"/>
        </w:rPr>
        <w:t xml:space="preserve">, přičemž rozhodným dnem je vždy poslední den příslušného kalendářního </w:t>
      </w:r>
      <w:r>
        <w:t>pololetí,</w:t>
      </w:r>
    </w:p>
    <w:p w:rsidR="00EB255E" w:rsidRDefault="004E3936">
      <w:pPr>
        <w:numPr>
          <w:ilvl w:val="1"/>
          <w:numId w:val="10"/>
        </w:numPr>
        <w:rPr>
          <w:szCs w:val="22"/>
        </w:rPr>
      </w:pPr>
      <w:r>
        <w:lastRenderedPageBreak/>
        <w:t>Klient bez předchozí písemné dohody s Bankou vstoupil do úvěrového či obdobného vztahu s jinou bankou či peněžním ústavem nebo jiným subjektem jako dlužník přijímající prostředky,</w:t>
      </w:r>
    </w:p>
    <w:p w:rsidR="00EB255E" w:rsidRDefault="00711020">
      <w:pPr>
        <w:numPr>
          <w:ilvl w:val="1"/>
          <w:numId w:val="10"/>
        </w:numPr>
        <w:rPr>
          <w:szCs w:val="22"/>
        </w:rPr>
      </w:pPr>
      <w:r>
        <w:t>podíl Královehradeckého kraje, se sídlem: Hradec Králové 3, Pivovarské náměstí 1245/2, PSČ 500 03,  IČO: 708 89 546 (dále jen "Královehradecký kraj") na hlasovacích právech či na základním kapitálu Klienta poklesne pod 100 %,</w:t>
      </w:r>
    </w:p>
    <w:p w:rsidR="002C5C16" w:rsidRPr="00176D7F" w:rsidRDefault="004E3936" w:rsidP="00176D7F">
      <w:pPr>
        <w:numPr>
          <w:ilvl w:val="1"/>
          <w:numId w:val="10"/>
        </w:numPr>
        <w:rPr>
          <w:szCs w:val="22"/>
        </w:rPr>
      </w:pPr>
      <w:r>
        <w:t>Klient nepředložil nejpozději do 30-ti kalendářních dní po vyžádání Banky konečné účetní výkazy Královehradeckého kraje v plném roz</w:t>
      </w:r>
      <w:r w:rsidR="00176D7F">
        <w:t>sahu za uplynulé účetní období.</w:t>
      </w:r>
      <w:r w:rsidR="002C5C16">
        <w:t xml:space="preserve"> </w:t>
      </w:r>
    </w:p>
    <w:p w:rsidR="0064190C" w:rsidRPr="00D4313D" w:rsidRDefault="0064190C" w:rsidP="00D4313D">
      <w:pPr>
        <w:numPr>
          <w:ilvl w:val="0"/>
          <w:numId w:val="5"/>
        </w:numPr>
        <w:rPr>
          <w:szCs w:val="22"/>
        </w:rPr>
      </w:pPr>
      <w:r>
        <w:rPr>
          <w:color w:val="000000"/>
        </w:rPr>
        <w:t>Nastane-li případ porušení Smlouvy</w:t>
      </w:r>
      <w:r w:rsidR="00D4313D">
        <w:rPr>
          <w:color w:val="000000"/>
        </w:rPr>
        <w:t xml:space="preserve">, </w:t>
      </w:r>
      <w:r>
        <w:rPr>
          <w:color w:val="000000"/>
        </w:rPr>
        <w:t>je Banka</w:t>
      </w:r>
      <w:r w:rsidR="00D4313D">
        <w:rPr>
          <w:color w:val="000000"/>
        </w:rPr>
        <w:t xml:space="preserve"> oprávněna přijmout opatření obsažená v </w:t>
      </w:r>
      <w:r>
        <w:rPr>
          <w:color w:val="000000"/>
        </w:rPr>
        <w:t>ÚOP</w:t>
      </w:r>
      <w:r w:rsidR="00D4313D">
        <w:rPr>
          <w:szCs w:val="22"/>
        </w:rPr>
        <w:t>.</w:t>
      </w:r>
    </w:p>
    <w:p w:rsidR="004E6699" w:rsidRDefault="00C46E48" w:rsidP="004E6699">
      <w:pPr>
        <w:numPr>
          <w:ilvl w:val="0"/>
          <w:numId w:val="5"/>
        </w:numPr>
        <w:rPr>
          <w:szCs w:val="22"/>
        </w:rPr>
      </w:pPr>
      <w:r w:rsidRPr="007E2E0B">
        <w:rPr>
          <w:szCs w:val="22"/>
        </w:rPr>
        <w:t>Banka nenese odpovědnost za</w:t>
      </w:r>
      <w:r>
        <w:rPr>
          <w:szCs w:val="22"/>
        </w:rPr>
        <w:t> </w:t>
      </w:r>
      <w:r w:rsidRPr="007E2E0B">
        <w:rPr>
          <w:szCs w:val="22"/>
        </w:rPr>
        <w:t>případnou újmu, která může Klientovi vzniknout uplatněním práv Banky</w:t>
      </w:r>
      <w:r>
        <w:rPr>
          <w:szCs w:val="22"/>
        </w:rPr>
        <w:t xml:space="preserve"> dle Smlouvy či dle právních předpisů</w:t>
      </w:r>
      <w:r w:rsidRPr="007E2E0B">
        <w:rPr>
          <w:szCs w:val="22"/>
        </w:rPr>
        <w:t>. Klient se vzdáv</w:t>
      </w:r>
      <w:r>
        <w:rPr>
          <w:szCs w:val="22"/>
        </w:rPr>
        <w:t>á jakýchkoliv případných práv a </w:t>
      </w:r>
      <w:r w:rsidRPr="007E2E0B">
        <w:rPr>
          <w:szCs w:val="22"/>
        </w:rPr>
        <w:t>nároků</w:t>
      </w:r>
      <w:r>
        <w:rPr>
          <w:szCs w:val="22"/>
        </w:rPr>
        <w:t xml:space="preserve"> založených jednáním Banky před </w:t>
      </w:r>
      <w:r w:rsidRPr="007E2E0B">
        <w:rPr>
          <w:szCs w:val="22"/>
        </w:rPr>
        <w:t xml:space="preserve">uzavřením </w:t>
      </w:r>
      <w:r>
        <w:rPr>
          <w:szCs w:val="22"/>
        </w:rPr>
        <w:t xml:space="preserve">právě </w:t>
      </w:r>
      <w:r w:rsidRPr="007E2E0B">
        <w:rPr>
          <w:szCs w:val="22"/>
        </w:rPr>
        <w:t>této Smlouvy.</w:t>
      </w:r>
    </w:p>
    <w:p w:rsidR="00EB255E" w:rsidRDefault="00EB255E"/>
    <w:p w:rsidR="00EB255E" w:rsidRDefault="004E3936">
      <w:pPr>
        <w:keepNext/>
        <w:jc w:val="center"/>
        <w:rPr>
          <w:b/>
        </w:rPr>
      </w:pPr>
      <w:r>
        <w:rPr>
          <w:b/>
        </w:rPr>
        <w:lastRenderedPageBreak/>
        <w:t>Článek V.</w:t>
      </w:r>
    </w:p>
    <w:p w:rsidR="00EB255E" w:rsidRDefault="004E3936">
      <w:pPr>
        <w:keepNext/>
        <w:jc w:val="center"/>
        <w:rPr>
          <w:b/>
          <w:u w:val="single"/>
        </w:rPr>
      </w:pPr>
      <w:r>
        <w:rPr>
          <w:b/>
          <w:u w:val="single"/>
        </w:rPr>
        <w:t>Závěrečná ustanovení</w:t>
      </w:r>
    </w:p>
    <w:p w:rsidR="00132B3F" w:rsidRDefault="00132B3F" w:rsidP="00132B3F">
      <w:pPr>
        <w:numPr>
          <w:ilvl w:val="0"/>
          <w:numId w:val="7"/>
        </w:numPr>
      </w:pPr>
      <w:r>
        <w:t>Smlouva nabývá platnosti a účinnosti dnem jejího podpisu Smluvními stranami.</w:t>
      </w:r>
    </w:p>
    <w:p w:rsidR="00132B3F" w:rsidRPr="00132B3F" w:rsidRDefault="00132B3F" w:rsidP="00132B3F">
      <w:pPr>
        <w:numPr>
          <w:ilvl w:val="0"/>
          <w:numId w:val="7"/>
        </w:numPr>
      </w:pPr>
      <w:r>
        <w:t xml:space="preserve">V případě neplatnosti či neúčinnosti či zdánlivosti jednotlivých ustanovení Smlouvy nebudou dotčena její ostatní ustanovení. Smluvní strany </w:t>
      </w:r>
      <w:r>
        <w:rPr>
          <w:szCs w:val="22"/>
        </w:rPr>
        <w:t>se tímto zavazují, že učiní veškeré kroky nezbytné k nahrazení takového neplatného, neúčinného nebo zdánlivého ustanovení jiným ustanovením, které bude platné, účinné a vymahatelné a bude odpovídat účelu nahrazovaného ustanovení a celé Smlouvy.</w:t>
      </w:r>
    </w:p>
    <w:p w:rsidR="00132B3F" w:rsidRDefault="00132B3F" w:rsidP="00132B3F">
      <w:pPr>
        <w:numPr>
          <w:ilvl w:val="0"/>
          <w:numId w:val="7"/>
        </w:numPr>
      </w:pPr>
      <w:r>
        <w:t>Smlouva může být měněna nebo doplňována pouze na základě dohody Smluvních stran formou písemného dodatku.</w:t>
      </w:r>
    </w:p>
    <w:p w:rsidR="004E6699" w:rsidRDefault="004E6699" w:rsidP="004E6699">
      <w:pPr>
        <w:numPr>
          <w:ilvl w:val="0"/>
          <w:numId w:val="7"/>
        </w:numPr>
      </w:pPr>
      <w:r>
        <w:t>Smluvní strany tímto sjednávají, že v právních vztazích založených Smlouvou se nepřihlíží k jakýmkoliv zvyklostem a zavedené praxi stran a obchodním zvyklostem.</w:t>
      </w:r>
    </w:p>
    <w:p w:rsidR="004E6699" w:rsidRDefault="00DF14C6" w:rsidP="004E6699">
      <w:pPr>
        <w:numPr>
          <w:ilvl w:val="0"/>
          <w:numId w:val="7"/>
        </w:numPr>
      </w:pPr>
      <w:r>
        <w:t xml:space="preserve">Nastane-li případ porušení Smlouvy, je Banka oprávněna svá práva a povinnosti dle Smlouvy o úvěru postoupit či převést (a to i formou postoupení Smlouvy o úvěru) v celém jejich rozsahu, nebo zčásti, na jinou osobu, a Klient pro takový případ souhlasí s poskytnutím informací (bankovního tajemství) vyplývajících ze Smlouvy o </w:t>
      </w:r>
      <w:r>
        <w:lastRenderedPageBreak/>
        <w:t>úvěru takové osobě.</w:t>
      </w:r>
      <w:r w:rsidRPr="00507632">
        <w:t xml:space="preserve"> Jinak je Banka oprávněna svá práva a povinnosti dle Smlouvy postoupit či převést (a to i formou postoupení Smlouvy) v celém jejich rozsahu, nebo zčásti, pouze na banku </w:t>
      </w:r>
      <w:r>
        <w:t>nebo pobočku zahraniční banky a </w:t>
      </w:r>
      <w:r w:rsidRPr="00507632">
        <w:t>pouze s předchozím souhlasem Klienta, přičemž tento souhlas nebude Klientem bezdůvodně odepřen.</w:t>
      </w:r>
    </w:p>
    <w:p w:rsidR="004E6699" w:rsidRDefault="004E6699" w:rsidP="004E6699">
      <w:pPr>
        <w:numPr>
          <w:ilvl w:val="0"/>
          <w:numId w:val="7"/>
        </w:numPr>
      </w:pPr>
      <w:r>
        <w:t>Klient není oprávněn převést na jinou osobu jak</w:t>
      </w:r>
      <w:r w:rsidR="00025D2D">
        <w:t>á</w:t>
      </w:r>
      <w:r>
        <w:t>koliv práva nebo povinnosti ze Smlouvy bez předchozího písemného souhlasu Banky.</w:t>
      </w:r>
    </w:p>
    <w:p w:rsidR="004E6699" w:rsidRDefault="004E6699" w:rsidP="004E6699">
      <w:pPr>
        <w:numPr>
          <w:ilvl w:val="0"/>
          <w:numId w:val="7"/>
        </w:numPr>
      </w:pPr>
      <w:r>
        <w:t>Dluhy Klienta vzniklé na základě a/nebo v souvislosti se Smlouvou jsou bez předchozího písemného souhlasu Banky nepřevoditelné ani jinak nepřecházejí na třetí osobu. Smluvní strany se dohodly, že v maximálním rozsahu dovoleném právními předpisy se jakákoli zákonná ustanovení umožňující bez předchozího písemného souhlasu Banky převod a/nebo přechod dluhů Klienta vzniklých na základě nebo v souvislosti se Smlouvou nepoužijí.</w:t>
      </w:r>
    </w:p>
    <w:p w:rsidR="004E6699" w:rsidRDefault="004E6699" w:rsidP="004E6699">
      <w:pPr>
        <w:numPr>
          <w:ilvl w:val="0"/>
          <w:numId w:val="7"/>
        </w:numPr>
      </w:pPr>
      <w:r>
        <w:t xml:space="preserve">Banka je oprávněna započítat své splatné i nesplatné pohledávky za Klientem na jakékoliv splatné i nesplatné pohledávky Klienta za Bankou, a to i na pohledávky Klienta za Bankou vzniklé Klientovi v souvislosti s vedením jeho účtů a jednorázových vkladů u Banky. Klient není oprávněn jednostranně započíst jakékoliv své </w:t>
      </w:r>
      <w:r>
        <w:lastRenderedPageBreak/>
        <w:t>pohledávky za Bankou na pohledávky Banky za Klientem. Klient výslovně prohlašuje, že mu ustanovení tohoto odstavce a Článku Smlouvy bylo vysvětleno, že mu rozumí a že s ním souhlasí.</w:t>
      </w:r>
    </w:p>
    <w:p w:rsidR="004E6699" w:rsidRDefault="004E6699" w:rsidP="004E6699">
      <w:pPr>
        <w:numPr>
          <w:ilvl w:val="0"/>
          <w:numId w:val="7"/>
        </w:numPr>
        <w:rPr>
          <w:szCs w:val="22"/>
        </w:rPr>
      </w:pPr>
      <w:r>
        <w:rPr>
          <w:szCs w:val="22"/>
        </w:rPr>
        <w:t>Při převodu jakéhokoli předmětu zástavního práva nebo jiné věci tvořící jistotu (zajišťující dluhy Klienta vzniklé na základě nebo v souvislosti se Smlouvou) nepřechází na jejich nabyvatele dluhy Klienta vůči Bance vzniklé na základě nebo v souvislosti se Smlouvou.</w:t>
      </w:r>
    </w:p>
    <w:p w:rsidR="004E6699" w:rsidRDefault="004E6699" w:rsidP="004E6699">
      <w:pPr>
        <w:numPr>
          <w:ilvl w:val="0"/>
          <w:numId w:val="7"/>
        </w:numPr>
      </w:pPr>
      <w:r>
        <w:rPr>
          <w:lang w:eastAsia="en-US"/>
        </w:rPr>
        <w:t>Tato</w:t>
      </w:r>
      <w:r>
        <w:rPr>
          <w:szCs w:val="22"/>
        </w:rPr>
        <w:t xml:space="preserve"> Smlouva nahrazuje veškerá předchozí ústní nebo písemná ujednání související s předmětem Smlouvy. Žádná ze Smluvních stran se nemůže dovolávat žádné dohody či ujednání, které nejsou explicitně uvedeny ve Smlouvě.</w:t>
      </w:r>
    </w:p>
    <w:p w:rsidR="004E6699" w:rsidRDefault="004E6699" w:rsidP="004E6699">
      <w:pPr>
        <w:numPr>
          <w:ilvl w:val="0"/>
          <w:numId w:val="7"/>
        </w:numPr>
      </w:pPr>
      <w:r>
        <w:rPr>
          <w:szCs w:val="22"/>
        </w:rPr>
        <w:t xml:space="preserve">Klient </w:t>
      </w:r>
      <w:r w:rsidR="00DF14C6">
        <w:rPr>
          <w:szCs w:val="22"/>
        </w:rPr>
        <w:t>i Banka tímto na sebe přebírají</w:t>
      </w:r>
      <w:r>
        <w:rPr>
          <w:szCs w:val="22"/>
        </w:rPr>
        <w:t xml:space="preserve"> nebezpečí změny oko</w:t>
      </w:r>
      <w:r w:rsidR="00DF14C6">
        <w:rPr>
          <w:szCs w:val="22"/>
        </w:rPr>
        <w:t>lností ve smyslu § 1765 odst. 2</w:t>
      </w:r>
      <w:r w:rsidR="00B44BB3">
        <w:rPr>
          <w:szCs w:val="22"/>
        </w:rPr>
        <w:t>)</w:t>
      </w:r>
      <w:r>
        <w:rPr>
          <w:szCs w:val="22"/>
        </w:rPr>
        <w:t xml:space="preserve"> </w:t>
      </w:r>
      <w:r>
        <w:t>Občanského zákoníku.</w:t>
      </w:r>
    </w:p>
    <w:p w:rsidR="004E6699" w:rsidRDefault="004E6699" w:rsidP="004E6699">
      <w:pPr>
        <w:numPr>
          <w:ilvl w:val="0"/>
          <w:numId w:val="7"/>
        </w:numPr>
      </w:pPr>
      <w:r>
        <w:t>Pokud se kterákoli Smluvní strana vzdá nároku z porušení jakéhokoli ustanovení Smlouvy, nebude to znamenat nebo se vykládat jako vzdání se nároku z kteréhokoli jiného ustanovení Smlouvy, ani jako vzdání se nároku z jakéhokoli dalšího porušení daného ustanovení. Žádné prodloužení lhůty pro plnění kteréhokoli závazku či opat</w:t>
      </w:r>
      <w:r>
        <w:lastRenderedPageBreak/>
        <w:t>ření podle Smlouvy nebude považováno za prodloužení lhůty pro příští plnění daného závazku nebo opatření, nebo jakéhokoli jiného závazku či opatření. Neuplatnění či prodleva při uplatnění jakéhokoli práva nebo jakékoli podmínky nebude předpokládat, že se jich kterákoliv Smluvní strana vzdala. Žádné zřeknutí se jakéhokoli práva nebo podmínky nebude účinné, nebude-li písemné.</w:t>
      </w:r>
    </w:p>
    <w:p w:rsidR="004E6699" w:rsidRDefault="004E6699" w:rsidP="004E6699">
      <w:pPr>
        <w:numPr>
          <w:ilvl w:val="0"/>
          <w:numId w:val="7"/>
        </w:numPr>
      </w:pPr>
      <w:r>
        <w:t>S</w:t>
      </w:r>
      <w:r>
        <w:rPr>
          <w:szCs w:val="22"/>
        </w:rPr>
        <w:t>mluvní strany tímto sjednávají, že v případě jakéhokoliv ukončení Smlouvy bude mít takovéto ukončení účinky pouze do budoucna.</w:t>
      </w:r>
    </w:p>
    <w:p w:rsidR="00EB255E" w:rsidRDefault="004E6699" w:rsidP="004E6699">
      <w:pPr>
        <w:numPr>
          <w:ilvl w:val="0"/>
          <w:numId w:val="7"/>
        </w:numPr>
      </w:pPr>
      <w:r>
        <w:t>Odchylná ustanovení Smlouvy mají po dobu jejího trvání přednost před zněním smlouvy uzavřené mezi Bankou a Klientem o vedení Účtu. Smlouva byla vyhotovena ve dvou stejnopisech, z nichž obdrží každá ze Smluvních stran po jednom. Oba stejnopisy Smlouvy mají právní význam originálu. Smluvní strany svými podpisy potvrzují, že po projednání Smlouvy se shodly na jejím obsahu ve všech bodech a Smlouvu uzavírají na základě své pravé a svobodné vůle.</w:t>
      </w:r>
    </w:p>
    <w:p w:rsidR="00EB255E" w:rsidRDefault="00EB255E"/>
    <w:p w:rsidR="00EB255E" w:rsidRDefault="004E3936">
      <w:pPr>
        <w:keepNext/>
        <w:rPr>
          <w:u w:val="single"/>
        </w:rPr>
      </w:pPr>
      <w:r>
        <w:rPr>
          <w:u w:val="single"/>
        </w:rPr>
        <w:t>V příloze:</w:t>
      </w:r>
    </w:p>
    <w:p w:rsidR="00EB255E" w:rsidRDefault="004E3936">
      <w:r>
        <w:t>Příloha č. 1 - Prohlášení o vzájemných vazbách k jiným subjektům a doplňující informace</w:t>
      </w:r>
    </w:p>
    <w:p w:rsidR="004E6699" w:rsidRDefault="004E6699">
      <w:r>
        <w:lastRenderedPageBreak/>
        <w:t>Příloha č. 2 - ÚOP</w:t>
      </w:r>
    </w:p>
    <w:p w:rsidR="00EB255E" w:rsidRDefault="00EB255E"/>
    <w:p w:rsidR="00EB255E" w:rsidRDefault="004E3936">
      <w:pPr>
        <w:keepNext/>
      </w:pPr>
      <w:r>
        <w:t xml:space="preserve">V Hradci Králové </w:t>
      </w:r>
      <w:r w:rsidRPr="005D6B2C">
        <w:t xml:space="preserve">dne </w:t>
      </w:r>
      <w:r w:rsidR="000C6CAA">
        <w:t>4.4.2017</w:t>
      </w:r>
    </w:p>
    <w:p w:rsidR="00EB255E" w:rsidRDefault="00EB255E">
      <w:pPr>
        <w:keepNext/>
      </w:pPr>
    </w:p>
    <w:tbl>
      <w:tblPr>
        <w:tblW w:w="9072" w:type="dxa"/>
        <w:jc w:val="center"/>
        <w:tblLayout w:type="fixed"/>
        <w:tblCellMar>
          <w:left w:w="0" w:type="dxa"/>
          <w:right w:w="0" w:type="dxa"/>
        </w:tblCellMar>
        <w:tblLook w:val="01E0" w:firstRow="1" w:lastRow="1" w:firstColumn="1" w:lastColumn="1" w:noHBand="0" w:noVBand="0"/>
      </w:tblPr>
      <w:tblGrid>
        <w:gridCol w:w="4366"/>
        <w:gridCol w:w="340"/>
        <w:gridCol w:w="4366"/>
      </w:tblGrid>
      <w:tr w:rsidR="00A01B11" w:rsidTr="00607218">
        <w:trPr>
          <w:jc w:val="center"/>
        </w:trPr>
        <w:tc>
          <w:tcPr>
            <w:tcW w:w="4366" w:type="dxa"/>
            <w:tcBorders>
              <w:bottom w:val="dotted" w:sz="8" w:space="0" w:color="auto"/>
            </w:tcBorders>
            <w:shd w:val="clear" w:color="auto" w:fill="auto"/>
          </w:tcPr>
          <w:p w:rsidR="00A01B11" w:rsidRPr="00607218" w:rsidRDefault="00A01B11" w:rsidP="00607218">
            <w:pPr>
              <w:keepNext/>
              <w:jc w:val="left"/>
              <w:rPr>
                <w:b/>
                <w:szCs w:val="22"/>
              </w:rPr>
            </w:pPr>
            <w:r w:rsidRPr="00607218">
              <w:rPr>
                <w:b/>
                <w:szCs w:val="22"/>
              </w:rPr>
              <w:t>Československá obchodní banka, a. s.</w:t>
            </w:r>
          </w:p>
          <w:p w:rsidR="00A01B11" w:rsidRPr="00607218" w:rsidRDefault="00682BD8" w:rsidP="00607218">
            <w:pPr>
              <w:keepNext/>
              <w:jc w:val="left"/>
              <w:rPr>
                <w:szCs w:val="22"/>
              </w:rPr>
            </w:pPr>
            <w:r>
              <w:rPr>
                <w:szCs w:val="22"/>
              </w:rPr>
              <w:t>XXXXXXXXXXX</w:t>
            </w:r>
          </w:p>
          <w:p w:rsidR="00A01B11" w:rsidRPr="00607218" w:rsidRDefault="00682BD8" w:rsidP="00607218">
            <w:pPr>
              <w:keepNext/>
              <w:jc w:val="left"/>
              <w:rPr>
                <w:szCs w:val="22"/>
              </w:rPr>
            </w:pPr>
            <w:r>
              <w:rPr>
                <w:szCs w:val="22"/>
              </w:rPr>
              <w:t>XXXXXXXXXXX</w:t>
            </w:r>
          </w:p>
          <w:p w:rsidR="00A01B11" w:rsidRPr="00607218" w:rsidRDefault="00A01B11" w:rsidP="00607218">
            <w:pPr>
              <w:keepNext/>
              <w:jc w:val="left"/>
              <w:rPr>
                <w:szCs w:val="22"/>
              </w:rPr>
            </w:pPr>
          </w:p>
          <w:p w:rsidR="00A01B11" w:rsidRPr="00607218" w:rsidRDefault="00A01B11" w:rsidP="00607218">
            <w:pPr>
              <w:keepNext/>
              <w:jc w:val="left"/>
              <w:rPr>
                <w:szCs w:val="22"/>
              </w:rPr>
            </w:pPr>
          </w:p>
          <w:p w:rsidR="00A01B11" w:rsidRPr="00607218" w:rsidRDefault="00A01B11" w:rsidP="00607218">
            <w:pPr>
              <w:keepNext/>
              <w:jc w:val="left"/>
              <w:rPr>
                <w:szCs w:val="22"/>
              </w:rPr>
            </w:pPr>
          </w:p>
        </w:tc>
        <w:tc>
          <w:tcPr>
            <w:tcW w:w="340" w:type="dxa"/>
            <w:shd w:val="clear" w:color="auto" w:fill="auto"/>
          </w:tcPr>
          <w:p w:rsidR="00A01B11" w:rsidRPr="00607218" w:rsidRDefault="00A01B11" w:rsidP="00607218">
            <w:pPr>
              <w:keepNext/>
              <w:rPr>
                <w:b/>
                <w:szCs w:val="22"/>
              </w:rPr>
            </w:pPr>
          </w:p>
        </w:tc>
        <w:tc>
          <w:tcPr>
            <w:tcW w:w="4366" w:type="dxa"/>
            <w:tcBorders>
              <w:bottom w:val="dotted" w:sz="8" w:space="0" w:color="auto"/>
            </w:tcBorders>
            <w:shd w:val="clear" w:color="auto" w:fill="auto"/>
          </w:tcPr>
          <w:p w:rsidR="00A01B11" w:rsidRPr="00607218" w:rsidRDefault="00A01B11" w:rsidP="00607218">
            <w:pPr>
              <w:keepNext/>
              <w:jc w:val="left"/>
              <w:rPr>
                <w:b/>
                <w:szCs w:val="22"/>
              </w:rPr>
            </w:pPr>
            <w:r w:rsidRPr="00607218">
              <w:rPr>
                <w:b/>
                <w:szCs w:val="22"/>
              </w:rPr>
              <w:t>Zdravotnický holding Královéhradeckého kraje a.s.</w:t>
            </w:r>
          </w:p>
          <w:p w:rsidR="00B23C58" w:rsidRPr="00607218" w:rsidRDefault="00682BD8" w:rsidP="00607218">
            <w:pPr>
              <w:keepNext/>
              <w:jc w:val="left"/>
              <w:rPr>
                <w:szCs w:val="22"/>
              </w:rPr>
            </w:pPr>
            <w:r>
              <w:rPr>
                <w:szCs w:val="22"/>
              </w:rPr>
              <w:t>XXXXXXXXXXXX</w:t>
            </w:r>
            <w:r w:rsidR="00A01B11" w:rsidRPr="00607218">
              <w:rPr>
                <w:szCs w:val="22"/>
              </w:rPr>
              <w:t xml:space="preserve"> </w:t>
            </w:r>
          </w:p>
          <w:p w:rsidR="00A01B11" w:rsidRDefault="00682BD8" w:rsidP="00607218">
            <w:pPr>
              <w:keepNext/>
              <w:jc w:val="left"/>
            </w:pPr>
            <w:r>
              <w:rPr>
                <w:szCs w:val="22"/>
              </w:rPr>
              <w:t>XXXXXXXXXXXX</w:t>
            </w:r>
          </w:p>
          <w:p w:rsidR="00A01B11" w:rsidRDefault="00A01B11" w:rsidP="00607218">
            <w:pPr>
              <w:keepNext/>
              <w:jc w:val="left"/>
            </w:pPr>
          </w:p>
          <w:p w:rsidR="00A01B11" w:rsidRPr="00607218" w:rsidRDefault="00A01B11" w:rsidP="00607218">
            <w:pPr>
              <w:keepNext/>
              <w:jc w:val="left"/>
              <w:rPr>
                <w:szCs w:val="22"/>
              </w:rPr>
            </w:pPr>
          </w:p>
        </w:tc>
      </w:tr>
      <w:tr w:rsidR="00A01B11" w:rsidTr="00607218">
        <w:trPr>
          <w:jc w:val="center"/>
        </w:trPr>
        <w:tc>
          <w:tcPr>
            <w:tcW w:w="4366" w:type="dxa"/>
            <w:tcBorders>
              <w:top w:val="dotted" w:sz="8" w:space="0" w:color="auto"/>
            </w:tcBorders>
            <w:shd w:val="clear" w:color="auto" w:fill="auto"/>
            <w:vAlign w:val="center"/>
          </w:tcPr>
          <w:p w:rsidR="00A01B11" w:rsidRPr="00607218" w:rsidRDefault="00A01B11" w:rsidP="00607218">
            <w:pPr>
              <w:keepNext/>
              <w:jc w:val="center"/>
              <w:rPr>
                <w:szCs w:val="22"/>
              </w:rPr>
            </w:pPr>
            <w:r w:rsidRPr="00607218">
              <w:rPr>
                <w:szCs w:val="22"/>
              </w:rPr>
              <w:t>Banka</w:t>
            </w:r>
          </w:p>
        </w:tc>
        <w:tc>
          <w:tcPr>
            <w:tcW w:w="340" w:type="dxa"/>
            <w:shd w:val="clear" w:color="auto" w:fill="auto"/>
            <w:vAlign w:val="center"/>
          </w:tcPr>
          <w:p w:rsidR="00A01B11" w:rsidRPr="00607218" w:rsidRDefault="00A01B11" w:rsidP="00607218">
            <w:pPr>
              <w:keepNext/>
              <w:jc w:val="center"/>
              <w:rPr>
                <w:b/>
                <w:szCs w:val="22"/>
              </w:rPr>
            </w:pPr>
          </w:p>
        </w:tc>
        <w:tc>
          <w:tcPr>
            <w:tcW w:w="4366" w:type="dxa"/>
            <w:tcBorders>
              <w:top w:val="dotted" w:sz="8" w:space="0" w:color="auto"/>
            </w:tcBorders>
            <w:shd w:val="clear" w:color="auto" w:fill="auto"/>
            <w:vAlign w:val="center"/>
          </w:tcPr>
          <w:p w:rsidR="00A01B11" w:rsidRPr="00607218" w:rsidRDefault="00A01B11" w:rsidP="00607218">
            <w:pPr>
              <w:keepNext/>
              <w:jc w:val="center"/>
              <w:rPr>
                <w:szCs w:val="22"/>
              </w:rPr>
            </w:pPr>
            <w:r w:rsidRPr="00607218">
              <w:rPr>
                <w:szCs w:val="22"/>
              </w:rPr>
              <w:t>Klient</w:t>
            </w:r>
          </w:p>
        </w:tc>
      </w:tr>
      <w:tr w:rsidR="00A01B11" w:rsidTr="00607218">
        <w:trPr>
          <w:jc w:val="center"/>
        </w:trPr>
        <w:tc>
          <w:tcPr>
            <w:tcW w:w="4366" w:type="dxa"/>
            <w:shd w:val="clear" w:color="auto" w:fill="auto"/>
          </w:tcPr>
          <w:p w:rsidR="00A01B11" w:rsidRPr="00607218" w:rsidRDefault="00A01B11" w:rsidP="00607218">
            <w:pPr>
              <w:keepNext/>
              <w:jc w:val="center"/>
              <w:rPr>
                <w:szCs w:val="22"/>
              </w:rPr>
            </w:pPr>
          </w:p>
        </w:tc>
        <w:tc>
          <w:tcPr>
            <w:tcW w:w="340" w:type="dxa"/>
            <w:shd w:val="clear" w:color="auto" w:fill="auto"/>
          </w:tcPr>
          <w:p w:rsidR="00A01B11" w:rsidRPr="00607218" w:rsidRDefault="00A01B11" w:rsidP="00607218">
            <w:pPr>
              <w:keepNext/>
              <w:rPr>
                <w:b/>
                <w:szCs w:val="22"/>
              </w:rPr>
            </w:pPr>
          </w:p>
        </w:tc>
        <w:tc>
          <w:tcPr>
            <w:tcW w:w="4366" w:type="dxa"/>
            <w:shd w:val="clear" w:color="auto" w:fill="auto"/>
          </w:tcPr>
          <w:p w:rsidR="00A01B11" w:rsidRPr="00607218" w:rsidRDefault="00A01B11" w:rsidP="00607218">
            <w:pPr>
              <w:keepNext/>
              <w:jc w:val="left"/>
              <w:rPr>
                <w:szCs w:val="22"/>
              </w:rPr>
            </w:pPr>
            <w:r w:rsidRPr="00607218">
              <w:rPr>
                <w:sz w:val="18"/>
                <w:szCs w:val="18"/>
              </w:rPr>
              <w:t>Ověření podpisu/totožnosti:</w:t>
            </w:r>
          </w:p>
        </w:tc>
      </w:tr>
    </w:tbl>
    <w:p w:rsidR="007E78D5" w:rsidRDefault="007E78D5"/>
    <w:sectPr w:rsidR="007E78D5" w:rsidSect="0058505F">
      <w:headerReference w:type="default" r:id="rId7"/>
      <w:footerReference w:type="default" r:id="rId8"/>
      <w:pgSz w:w="11906" w:h="16838"/>
      <w:pgMar w:top="1276" w:right="1418" w:bottom="993" w:left="1418" w:header="709" w:footer="55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31B" w:rsidRDefault="007F431B">
      <w:r>
        <w:separator/>
      </w:r>
    </w:p>
  </w:endnote>
  <w:endnote w:type="continuationSeparator" w:id="0">
    <w:p w:rsidR="007F431B" w:rsidRDefault="007F4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Avinion">
    <w:panose1 w:val="00000000000000000000"/>
    <w:charset w:val="EE"/>
    <w:family w:val="modern"/>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8F4" w:rsidRDefault="002728F4">
    <w:pPr>
      <w:pStyle w:val="Zpat"/>
      <w:pBdr>
        <w:top w:val="single" w:sz="4" w:space="1" w:color="auto"/>
        <w:bottom w:val="single" w:sz="4" w:space="1" w:color="auto"/>
      </w:pBdr>
      <w:tabs>
        <w:tab w:val="clear" w:pos="4536"/>
      </w:tabs>
      <w:rPr>
        <w:b/>
        <w:sz w:val="18"/>
        <w:szCs w:val="18"/>
      </w:rPr>
    </w:pPr>
    <w:r>
      <w:rPr>
        <w:b/>
        <w:sz w:val="18"/>
        <w:szCs w:val="18"/>
      </w:rPr>
      <w:t>Československá obchodní banka, a. s.</w:t>
    </w:r>
    <w:r>
      <w:rPr>
        <w:b/>
        <w:sz w:val="18"/>
        <w:szCs w:val="18"/>
      </w:rPr>
      <w:tab/>
      <w:t>Zdravotnický holding Královéhradeckého kraje a.s.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31B" w:rsidRDefault="007F431B">
      <w:r>
        <w:separator/>
      </w:r>
    </w:p>
  </w:footnote>
  <w:footnote w:type="continuationSeparator" w:id="0">
    <w:p w:rsidR="007F431B" w:rsidRDefault="007F43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8F4" w:rsidRDefault="002728F4">
    <w:pPr>
      <w:pStyle w:val="Zhlav"/>
      <w:pBdr>
        <w:top w:val="single" w:sz="4" w:space="1" w:color="auto"/>
        <w:bottom w:val="single" w:sz="4" w:space="1" w:color="auto"/>
      </w:pBdr>
      <w:tabs>
        <w:tab w:val="clear" w:pos="4536"/>
      </w:tabs>
      <w:rPr>
        <w:b/>
        <w:sz w:val="18"/>
        <w:szCs w:val="18"/>
      </w:rPr>
    </w:pPr>
    <w:r>
      <w:rPr>
        <w:b/>
        <w:sz w:val="18"/>
        <w:szCs w:val="18"/>
      </w:rPr>
      <w:t>Smlouva č. </w:t>
    </w:r>
    <w:r w:rsidR="00F9357C">
      <w:rPr>
        <w:b/>
        <w:sz w:val="18"/>
        <w:szCs w:val="18"/>
      </w:rPr>
      <w:t>0009/17</w:t>
    </w:r>
    <w:r>
      <w:rPr>
        <w:b/>
        <w:sz w:val="18"/>
        <w:szCs w:val="18"/>
      </w:rPr>
      <w:t>/5648</w:t>
    </w:r>
    <w:r w:rsidR="00063796">
      <w:rPr>
        <w:b/>
        <w:sz w:val="18"/>
        <w:szCs w:val="18"/>
      </w:rPr>
      <w:t xml:space="preserve">                                      </w:t>
    </w:r>
    <w:r>
      <w:rPr>
        <w:b/>
        <w:sz w:val="18"/>
        <w:szCs w:val="18"/>
      </w:rPr>
      <w:tab/>
      <w:t xml:space="preserve">strana </w:t>
    </w:r>
    <w:r w:rsidR="003E087F">
      <w:rPr>
        <w:b/>
        <w:sz w:val="18"/>
        <w:szCs w:val="18"/>
      </w:rPr>
      <w:fldChar w:fldCharType="begin"/>
    </w:r>
    <w:r>
      <w:rPr>
        <w:b/>
        <w:sz w:val="18"/>
        <w:szCs w:val="18"/>
      </w:rPr>
      <w:instrText xml:space="preserve"> PAGE </w:instrText>
    </w:r>
    <w:r w:rsidR="003E087F">
      <w:rPr>
        <w:b/>
        <w:sz w:val="18"/>
        <w:szCs w:val="18"/>
      </w:rPr>
      <w:fldChar w:fldCharType="separate"/>
    </w:r>
    <w:r w:rsidR="005161C0">
      <w:rPr>
        <w:b/>
        <w:noProof/>
        <w:sz w:val="18"/>
        <w:szCs w:val="18"/>
      </w:rPr>
      <w:t>4</w:t>
    </w:r>
    <w:r w:rsidR="003E087F">
      <w:rPr>
        <w:b/>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37F8A608"/>
    <w:lvl w:ilvl="0">
      <w:start w:val="1"/>
      <w:numFmt w:val="bullet"/>
      <w:pStyle w:val="Seznamsodrkami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A18CF75E"/>
    <w:lvl w:ilvl="0">
      <w:start w:val="1"/>
      <w:numFmt w:val="bullet"/>
      <w:pStyle w:val="Seznamsodrkami3"/>
      <w:lvlText w:val=""/>
      <w:lvlJc w:val="left"/>
      <w:pPr>
        <w:tabs>
          <w:tab w:val="num" w:pos="926"/>
        </w:tabs>
        <w:ind w:left="926" w:hanging="360"/>
      </w:pPr>
      <w:rPr>
        <w:rFonts w:ascii="Symbol" w:hAnsi="Symbol" w:hint="default"/>
      </w:rPr>
    </w:lvl>
  </w:abstractNum>
  <w:abstractNum w:abstractNumId="2" w15:restartNumberingAfterBreak="0">
    <w:nsid w:val="074807B8"/>
    <w:multiLevelType w:val="multilevel"/>
    <w:tmpl w:val="BF42BD72"/>
    <w:lvl w:ilvl="0">
      <w:start w:val="1"/>
      <w:numFmt w:val="decimal"/>
      <w:lvlText w:val="%1)"/>
      <w:lvlJc w:val="left"/>
      <w:pPr>
        <w:tabs>
          <w:tab w:val="num" w:pos="567"/>
        </w:tabs>
        <w:ind w:left="567" w:hanging="567"/>
      </w:pPr>
    </w:lvl>
    <w:lvl w:ilvl="1">
      <w:start w:val="1"/>
      <w:numFmt w:val="lowerLetter"/>
      <w:lvlText w:val="%2)"/>
      <w:lvlJc w:val="left"/>
      <w:pPr>
        <w:tabs>
          <w:tab w:val="num" w:pos="1134"/>
        </w:tabs>
        <w:ind w:left="1134" w:hanging="567"/>
      </w:p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A1B6AE8"/>
    <w:multiLevelType w:val="multilevel"/>
    <w:tmpl w:val="2820CFA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bullet"/>
      <w:lvlText w:val="-"/>
      <w:lvlJc w:val="left"/>
      <w:pPr>
        <w:tabs>
          <w:tab w:val="num" w:pos="1701"/>
        </w:tabs>
        <w:ind w:left="1701" w:hanging="567"/>
      </w:pPr>
      <w:rPr>
        <w:rFonts w:ascii="Times New Roman" w:hAnsi="Times New Roman" w:cs="Times New Roman"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4EC305A"/>
    <w:multiLevelType w:val="multilevel"/>
    <w:tmpl w:val="698CA15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A2F1626"/>
    <w:multiLevelType w:val="multilevel"/>
    <w:tmpl w:val="B254F6C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3E5E6F43"/>
    <w:multiLevelType w:val="multilevel"/>
    <w:tmpl w:val="676AD022"/>
    <w:styleLink w:val="A"/>
    <w:lvl w:ilvl="0">
      <w:start w:val="1"/>
      <w:numFmt w:val="none"/>
      <w:lvlText w:val="A)"/>
      <w:lvlJc w:val="left"/>
      <w:pPr>
        <w:tabs>
          <w:tab w:val="num" w:pos="567"/>
        </w:tabs>
        <w:ind w:left="567" w:hanging="567"/>
      </w:pPr>
      <w:rPr>
        <w:rFonts w:hint="default"/>
      </w:rPr>
    </w:lvl>
    <w:lvl w:ilvl="1">
      <w:start w:val="1"/>
      <w:numFmt w:val="upperLetter"/>
      <w:lvlText w:val="%2."/>
      <w:lvlJc w:val="left"/>
      <w:pPr>
        <w:tabs>
          <w:tab w:val="num" w:pos="927"/>
        </w:tabs>
        <w:ind w:left="927" w:hanging="360"/>
      </w:pPr>
      <w:rPr>
        <w:rFonts w:hint="default"/>
      </w:rPr>
    </w:lvl>
    <w:lvl w:ilvl="2">
      <w:start w:val="1"/>
      <w:numFmt w:val="bullet"/>
      <w:lvlText w:val="-"/>
      <w:lvlJc w:val="left"/>
      <w:pPr>
        <w:tabs>
          <w:tab w:val="num" w:pos="1701"/>
        </w:tabs>
        <w:ind w:left="1701" w:hanging="567"/>
      </w:pPr>
      <w:rPr>
        <w:rFonts w:ascii="Times New Roman" w:hAnsi="Times New Roman" w:cs="Times New Roman"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4BC0528D"/>
    <w:multiLevelType w:val="multilevel"/>
    <w:tmpl w:val="B254F6C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4EA6728C"/>
    <w:multiLevelType w:val="multilevel"/>
    <w:tmpl w:val="0B2ACE88"/>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54EA678E"/>
    <w:multiLevelType w:val="hybridMultilevel"/>
    <w:tmpl w:val="2F74DA62"/>
    <w:lvl w:ilvl="0" w:tplc="04050017">
      <w:start w:val="1"/>
      <w:numFmt w:val="lowerLetter"/>
      <w:lvlText w:val="%1)"/>
      <w:lvlJc w:val="left"/>
      <w:pPr>
        <w:tabs>
          <w:tab w:val="num" w:pos="1287"/>
        </w:tabs>
        <w:ind w:left="1287" w:hanging="360"/>
      </w:pPr>
    </w:lvl>
    <w:lvl w:ilvl="1" w:tplc="04050019" w:tentative="1">
      <w:start w:val="1"/>
      <w:numFmt w:val="lowerLetter"/>
      <w:lvlText w:val="%2."/>
      <w:lvlJc w:val="left"/>
      <w:pPr>
        <w:tabs>
          <w:tab w:val="num" w:pos="2007"/>
        </w:tabs>
        <w:ind w:left="2007" w:hanging="360"/>
      </w:p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0" w15:restartNumberingAfterBreak="0">
    <w:nsid w:val="5B0A563C"/>
    <w:multiLevelType w:val="multilevel"/>
    <w:tmpl w:val="B254F6C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65EC501A"/>
    <w:multiLevelType w:val="multilevel"/>
    <w:tmpl w:val="B254F6C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660F0B80"/>
    <w:multiLevelType w:val="multilevel"/>
    <w:tmpl w:val="B254F6C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6ABB581D"/>
    <w:multiLevelType w:val="multilevel"/>
    <w:tmpl w:val="0428C850"/>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4" w15:restartNumberingAfterBreak="0">
    <w:nsid w:val="6DE83DC6"/>
    <w:multiLevelType w:val="multilevel"/>
    <w:tmpl w:val="B254F6C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70AD7284"/>
    <w:multiLevelType w:val="multilevel"/>
    <w:tmpl w:val="B254F6C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7456693B"/>
    <w:multiLevelType w:val="multilevel"/>
    <w:tmpl w:val="B254F6C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76E92643"/>
    <w:multiLevelType w:val="multilevel"/>
    <w:tmpl w:val="86DE8C7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i w:val="0"/>
      </w:rPr>
    </w:lvl>
    <w:lvl w:ilvl="2">
      <w:start w:val="1"/>
      <w:numFmt w:val="bullet"/>
      <w:lvlText w:val="-"/>
      <w:lvlJc w:val="left"/>
      <w:pPr>
        <w:tabs>
          <w:tab w:val="num" w:pos="1701"/>
        </w:tabs>
        <w:ind w:left="1701" w:hanging="567"/>
      </w:pPr>
      <w:rPr>
        <w:rFonts w:ascii="Times New Roman" w:hAnsi="Times New Roman" w:cs="Times New Roman"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7"/>
  </w:num>
  <w:num w:numId="2">
    <w:abstractNumId w:val="12"/>
  </w:num>
  <w:num w:numId="3">
    <w:abstractNumId w:val="5"/>
  </w:num>
  <w:num w:numId="4">
    <w:abstractNumId w:val="15"/>
  </w:num>
  <w:num w:numId="5">
    <w:abstractNumId w:val="16"/>
  </w:num>
  <w:num w:numId="6">
    <w:abstractNumId w:val="3"/>
  </w:num>
  <w:num w:numId="7">
    <w:abstractNumId w:val="8"/>
  </w:num>
  <w:num w:numId="8">
    <w:abstractNumId w:val="4"/>
  </w:num>
  <w:num w:numId="9">
    <w:abstractNumId w:val="11"/>
  </w:num>
  <w:num w:numId="10">
    <w:abstractNumId w:val="7"/>
  </w:num>
  <w:num w:numId="11">
    <w:abstractNumId w:val="10"/>
  </w:num>
  <w:num w:numId="12">
    <w:abstractNumId w:val="14"/>
  </w:num>
  <w:num w:numId="13">
    <w:abstractNumId w:val="6"/>
  </w:num>
  <w:num w:numId="14">
    <w:abstractNumId w:val="1"/>
  </w:num>
  <w:num w:numId="15">
    <w:abstractNumId w:val="0"/>
  </w:num>
  <w:num w:numId="16">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1"/>
  <w:activeWritingStyle w:appName="MSWord" w:lang="fr-FR" w:vendorID="64" w:dllVersion="131078" w:nlCheck="1" w:checkStyle="1"/>
  <w:activeWritingStyle w:appName="MSWord" w:lang="es-ES_tradnl" w:vendorID="64" w:dllVersion="131078" w:nlCheck="1" w:checkStyle="1"/>
  <w:proofState w:spelling="clean" w:grammar="clean"/>
  <w:documentProtection w:edit="readOnly" w:enforcement="1" w:cryptProviderType="rsaAES" w:cryptAlgorithmClass="hash" w:cryptAlgorithmType="typeAny" w:cryptAlgorithmSid="14" w:cryptSpinCount="100000" w:hash="cRFqxCVsIIKMU4KFLNlRQHO54Pw6UDUBBe3ak1IhkTOb1D2DBv2mhpk4M/cE5H+3GlSBJ95SzQSMo0u9RrkMOw==" w:salt="BOhPbEpwO5WRba7AbIX2QQ=="/>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55E"/>
    <w:rsid w:val="00001898"/>
    <w:rsid w:val="000051E3"/>
    <w:rsid w:val="00013396"/>
    <w:rsid w:val="00024C81"/>
    <w:rsid w:val="00025D2D"/>
    <w:rsid w:val="00031DF4"/>
    <w:rsid w:val="00035515"/>
    <w:rsid w:val="0004455A"/>
    <w:rsid w:val="00045381"/>
    <w:rsid w:val="00045E9F"/>
    <w:rsid w:val="00046293"/>
    <w:rsid w:val="0005732F"/>
    <w:rsid w:val="00063796"/>
    <w:rsid w:val="00065070"/>
    <w:rsid w:val="000707F6"/>
    <w:rsid w:val="00082F14"/>
    <w:rsid w:val="00086163"/>
    <w:rsid w:val="000951DE"/>
    <w:rsid w:val="000B4D97"/>
    <w:rsid w:val="000B6E53"/>
    <w:rsid w:val="000C09B0"/>
    <w:rsid w:val="000C1879"/>
    <w:rsid w:val="000C6CAA"/>
    <w:rsid w:val="000F105E"/>
    <w:rsid w:val="000F4D39"/>
    <w:rsid w:val="00114A8A"/>
    <w:rsid w:val="001161D6"/>
    <w:rsid w:val="001209F8"/>
    <w:rsid w:val="00122C95"/>
    <w:rsid w:val="00125F09"/>
    <w:rsid w:val="00126C88"/>
    <w:rsid w:val="00127E3D"/>
    <w:rsid w:val="00132B3F"/>
    <w:rsid w:val="00134DC7"/>
    <w:rsid w:val="00144BCB"/>
    <w:rsid w:val="0015222E"/>
    <w:rsid w:val="0016028F"/>
    <w:rsid w:val="00162F7E"/>
    <w:rsid w:val="00174D44"/>
    <w:rsid w:val="00176225"/>
    <w:rsid w:val="00176D7F"/>
    <w:rsid w:val="00176D86"/>
    <w:rsid w:val="00180A76"/>
    <w:rsid w:val="0018115E"/>
    <w:rsid w:val="00182D6A"/>
    <w:rsid w:val="0018319D"/>
    <w:rsid w:val="001A4966"/>
    <w:rsid w:val="001A7049"/>
    <w:rsid w:val="001B1808"/>
    <w:rsid w:val="001B4653"/>
    <w:rsid w:val="001B4E7C"/>
    <w:rsid w:val="001C4FF3"/>
    <w:rsid w:val="001C5686"/>
    <w:rsid w:val="001D0EFE"/>
    <w:rsid w:val="001E265C"/>
    <w:rsid w:val="001E76EF"/>
    <w:rsid w:val="001F6742"/>
    <w:rsid w:val="00200EBF"/>
    <w:rsid w:val="002135D0"/>
    <w:rsid w:val="00217591"/>
    <w:rsid w:val="00230CEF"/>
    <w:rsid w:val="002316C1"/>
    <w:rsid w:val="00232D7C"/>
    <w:rsid w:val="0024354A"/>
    <w:rsid w:val="002464DC"/>
    <w:rsid w:val="002575BB"/>
    <w:rsid w:val="00266145"/>
    <w:rsid w:val="002728F4"/>
    <w:rsid w:val="002A28C6"/>
    <w:rsid w:val="002A4BD0"/>
    <w:rsid w:val="002C1DFE"/>
    <w:rsid w:val="002C4660"/>
    <w:rsid w:val="002C5C16"/>
    <w:rsid w:val="002C5FEF"/>
    <w:rsid w:val="002E22FE"/>
    <w:rsid w:val="002E7724"/>
    <w:rsid w:val="002E7E34"/>
    <w:rsid w:val="002F45CA"/>
    <w:rsid w:val="002F7A51"/>
    <w:rsid w:val="00300DB6"/>
    <w:rsid w:val="00302A15"/>
    <w:rsid w:val="00312869"/>
    <w:rsid w:val="0032177B"/>
    <w:rsid w:val="00324D84"/>
    <w:rsid w:val="003273A7"/>
    <w:rsid w:val="00327783"/>
    <w:rsid w:val="00335760"/>
    <w:rsid w:val="003548CF"/>
    <w:rsid w:val="00355F0E"/>
    <w:rsid w:val="00365527"/>
    <w:rsid w:val="003705A0"/>
    <w:rsid w:val="00385E21"/>
    <w:rsid w:val="00386662"/>
    <w:rsid w:val="0039589E"/>
    <w:rsid w:val="00395FD3"/>
    <w:rsid w:val="003A7E70"/>
    <w:rsid w:val="003C4D9A"/>
    <w:rsid w:val="003E087F"/>
    <w:rsid w:val="003F2526"/>
    <w:rsid w:val="003F4194"/>
    <w:rsid w:val="004238E6"/>
    <w:rsid w:val="0043404C"/>
    <w:rsid w:val="0044012F"/>
    <w:rsid w:val="00456032"/>
    <w:rsid w:val="00462EAB"/>
    <w:rsid w:val="00464521"/>
    <w:rsid w:val="004952E3"/>
    <w:rsid w:val="004A41B4"/>
    <w:rsid w:val="004A5657"/>
    <w:rsid w:val="004A5CD7"/>
    <w:rsid w:val="004B2F05"/>
    <w:rsid w:val="004B4EA2"/>
    <w:rsid w:val="004C3201"/>
    <w:rsid w:val="004E1908"/>
    <w:rsid w:val="004E3936"/>
    <w:rsid w:val="004E6699"/>
    <w:rsid w:val="004E721B"/>
    <w:rsid w:val="004E75D9"/>
    <w:rsid w:val="004F65E5"/>
    <w:rsid w:val="00502C63"/>
    <w:rsid w:val="005161C0"/>
    <w:rsid w:val="00521BAE"/>
    <w:rsid w:val="00526E69"/>
    <w:rsid w:val="00530CC4"/>
    <w:rsid w:val="00545C32"/>
    <w:rsid w:val="005737BB"/>
    <w:rsid w:val="00574AA9"/>
    <w:rsid w:val="00577F1D"/>
    <w:rsid w:val="00584BFC"/>
    <w:rsid w:val="0058505F"/>
    <w:rsid w:val="005905A3"/>
    <w:rsid w:val="00590924"/>
    <w:rsid w:val="00590C3B"/>
    <w:rsid w:val="005945B1"/>
    <w:rsid w:val="005A0CB9"/>
    <w:rsid w:val="005B6599"/>
    <w:rsid w:val="005D3751"/>
    <w:rsid w:val="005D3D74"/>
    <w:rsid w:val="005D6B2C"/>
    <w:rsid w:val="005E39C6"/>
    <w:rsid w:val="005F013C"/>
    <w:rsid w:val="005F24BC"/>
    <w:rsid w:val="005F4CBA"/>
    <w:rsid w:val="00607218"/>
    <w:rsid w:val="0061120D"/>
    <w:rsid w:val="00614CAA"/>
    <w:rsid w:val="0062306A"/>
    <w:rsid w:val="006239F8"/>
    <w:rsid w:val="0062655E"/>
    <w:rsid w:val="00630F66"/>
    <w:rsid w:val="00640666"/>
    <w:rsid w:val="0064179A"/>
    <w:rsid w:val="0064190C"/>
    <w:rsid w:val="00650D12"/>
    <w:rsid w:val="0065111C"/>
    <w:rsid w:val="006543FF"/>
    <w:rsid w:val="0067426B"/>
    <w:rsid w:val="006745C6"/>
    <w:rsid w:val="00677087"/>
    <w:rsid w:val="006777D9"/>
    <w:rsid w:val="00680EBB"/>
    <w:rsid w:val="00682BD8"/>
    <w:rsid w:val="00686DEF"/>
    <w:rsid w:val="0069432A"/>
    <w:rsid w:val="006A0823"/>
    <w:rsid w:val="006C113D"/>
    <w:rsid w:val="006D150B"/>
    <w:rsid w:val="006D2146"/>
    <w:rsid w:val="006E0EC2"/>
    <w:rsid w:val="006F1FCF"/>
    <w:rsid w:val="007024D7"/>
    <w:rsid w:val="00707100"/>
    <w:rsid w:val="00711020"/>
    <w:rsid w:val="00712486"/>
    <w:rsid w:val="00715976"/>
    <w:rsid w:val="00725876"/>
    <w:rsid w:val="0073376F"/>
    <w:rsid w:val="007650D6"/>
    <w:rsid w:val="007779A4"/>
    <w:rsid w:val="00780CCA"/>
    <w:rsid w:val="0078226A"/>
    <w:rsid w:val="0079283F"/>
    <w:rsid w:val="00793181"/>
    <w:rsid w:val="007A1CA1"/>
    <w:rsid w:val="007B3829"/>
    <w:rsid w:val="007B5854"/>
    <w:rsid w:val="007B58C0"/>
    <w:rsid w:val="007C01F4"/>
    <w:rsid w:val="007C0312"/>
    <w:rsid w:val="007E5784"/>
    <w:rsid w:val="007E78D5"/>
    <w:rsid w:val="007F2567"/>
    <w:rsid w:val="007F36BE"/>
    <w:rsid w:val="007F431B"/>
    <w:rsid w:val="00803483"/>
    <w:rsid w:val="00807B37"/>
    <w:rsid w:val="00815891"/>
    <w:rsid w:val="008226B4"/>
    <w:rsid w:val="00824400"/>
    <w:rsid w:val="00827233"/>
    <w:rsid w:val="00827E2D"/>
    <w:rsid w:val="0083253B"/>
    <w:rsid w:val="00833881"/>
    <w:rsid w:val="0084601B"/>
    <w:rsid w:val="00855B3F"/>
    <w:rsid w:val="008616CA"/>
    <w:rsid w:val="0086234A"/>
    <w:rsid w:val="00862405"/>
    <w:rsid w:val="00865024"/>
    <w:rsid w:val="00865A99"/>
    <w:rsid w:val="00871CBA"/>
    <w:rsid w:val="008779ED"/>
    <w:rsid w:val="00881478"/>
    <w:rsid w:val="008900A1"/>
    <w:rsid w:val="0089026D"/>
    <w:rsid w:val="00890A83"/>
    <w:rsid w:val="00893308"/>
    <w:rsid w:val="0089518D"/>
    <w:rsid w:val="008B34EE"/>
    <w:rsid w:val="008B41CC"/>
    <w:rsid w:val="008C1E9C"/>
    <w:rsid w:val="008C3422"/>
    <w:rsid w:val="008E3137"/>
    <w:rsid w:val="008F3256"/>
    <w:rsid w:val="008F5A44"/>
    <w:rsid w:val="00906267"/>
    <w:rsid w:val="00913B3C"/>
    <w:rsid w:val="00942EA9"/>
    <w:rsid w:val="009521F9"/>
    <w:rsid w:val="00966ED7"/>
    <w:rsid w:val="0097122A"/>
    <w:rsid w:val="00980E86"/>
    <w:rsid w:val="009A06DE"/>
    <w:rsid w:val="009B1DA0"/>
    <w:rsid w:val="009D6DD3"/>
    <w:rsid w:val="009E0A3F"/>
    <w:rsid w:val="00A01B11"/>
    <w:rsid w:val="00A12BF8"/>
    <w:rsid w:val="00A202D4"/>
    <w:rsid w:val="00A20B1D"/>
    <w:rsid w:val="00A40053"/>
    <w:rsid w:val="00A5256C"/>
    <w:rsid w:val="00A65D32"/>
    <w:rsid w:val="00A91DBB"/>
    <w:rsid w:val="00A938D0"/>
    <w:rsid w:val="00A957ED"/>
    <w:rsid w:val="00A966F0"/>
    <w:rsid w:val="00AA2A3E"/>
    <w:rsid w:val="00AA34D5"/>
    <w:rsid w:val="00AA5734"/>
    <w:rsid w:val="00AA6C6B"/>
    <w:rsid w:val="00AB6EDB"/>
    <w:rsid w:val="00AD2534"/>
    <w:rsid w:val="00AD5464"/>
    <w:rsid w:val="00AD685B"/>
    <w:rsid w:val="00AD775E"/>
    <w:rsid w:val="00AE4BAD"/>
    <w:rsid w:val="00AE5871"/>
    <w:rsid w:val="00AF0530"/>
    <w:rsid w:val="00B108B6"/>
    <w:rsid w:val="00B10A1C"/>
    <w:rsid w:val="00B11530"/>
    <w:rsid w:val="00B23C58"/>
    <w:rsid w:val="00B24114"/>
    <w:rsid w:val="00B35A91"/>
    <w:rsid w:val="00B44BB3"/>
    <w:rsid w:val="00B455D9"/>
    <w:rsid w:val="00B53464"/>
    <w:rsid w:val="00B61E8B"/>
    <w:rsid w:val="00B815DF"/>
    <w:rsid w:val="00B83C64"/>
    <w:rsid w:val="00B91647"/>
    <w:rsid w:val="00BB1779"/>
    <w:rsid w:val="00BC1B14"/>
    <w:rsid w:val="00BD18A6"/>
    <w:rsid w:val="00BD29DB"/>
    <w:rsid w:val="00BD2CC8"/>
    <w:rsid w:val="00BE6512"/>
    <w:rsid w:val="00BF7EC0"/>
    <w:rsid w:val="00C0119D"/>
    <w:rsid w:val="00C070BA"/>
    <w:rsid w:val="00C10431"/>
    <w:rsid w:val="00C115A2"/>
    <w:rsid w:val="00C116B5"/>
    <w:rsid w:val="00C17774"/>
    <w:rsid w:val="00C17E1D"/>
    <w:rsid w:val="00C20222"/>
    <w:rsid w:val="00C21891"/>
    <w:rsid w:val="00C2312B"/>
    <w:rsid w:val="00C26DC0"/>
    <w:rsid w:val="00C35C5A"/>
    <w:rsid w:val="00C4166C"/>
    <w:rsid w:val="00C44D79"/>
    <w:rsid w:val="00C46E48"/>
    <w:rsid w:val="00C5486D"/>
    <w:rsid w:val="00C73C18"/>
    <w:rsid w:val="00C85E1B"/>
    <w:rsid w:val="00C97CDC"/>
    <w:rsid w:val="00CB13A2"/>
    <w:rsid w:val="00CB41ED"/>
    <w:rsid w:val="00CB4FA9"/>
    <w:rsid w:val="00CC25A4"/>
    <w:rsid w:val="00CC25B3"/>
    <w:rsid w:val="00CC3148"/>
    <w:rsid w:val="00CD340E"/>
    <w:rsid w:val="00CE0DA8"/>
    <w:rsid w:val="00CE2F51"/>
    <w:rsid w:val="00CE3820"/>
    <w:rsid w:val="00CE40AE"/>
    <w:rsid w:val="00CE5F4A"/>
    <w:rsid w:val="00CF0408"/>
    <w:rsid w:val="00CF512C"/>
    <w:rsid w:val="00CF5308"/>
    <w:rsid w:val="00D11A3F"/>
    <w:rsid w:val="00D20B1D"/>
    <w:rsid w:val="00D40B65"/>
    <w:rsid w:val="00D4313D"/>
    <w:rsid w:val="00D438A3"/>
    <w:rsid w:val="00D53296"/>
    <w:rsid w:val="00D55F87"/>
    <w:rsid w:val="00D729D0"/>
    <w:rsid w:val="00D77FA9"/>
    <w:rsid w:val="00D82C16"/>
    <w:rsid w:val="00D82C5E"/>
    <w:rsid w:val="00D82CF7"/>
    <w:rsid w:val="00D84256"/>
    <w:rsid w:val="00D90C30"/>
    <w:rsid w:val="00D92E4C"/>
    <w:rsid w:val="00D932AE"/>
    <w:rsid w:val="00D96691"/>
    <w:rsid w:val="00D97A5C"/>
    <w:rsid w:val="00DA3FA1"/>
    <w:rsid w:val="00DB200A"/>
    <w:rsid w:val="00DB6055"/>
    <w:rsid w:val="00DB70BA"/>
    <w:rsid w:val="00DC4C90"/>
    <w:rsid w:val="00DC6277"/>
    <w:rsid w:val="00DD764B"/>
    <w:rsid w:val="00DF0D1A"/>
    <w:rsid w:val="00DF14C6"/>
    <w:rsid w:val="00E003A6"/>
    <w:rsid w:val="00E03138"/>
    <w:rsid w:val="00E17ECB"/>
    <w:rsid w:val="00E232B1"/>
    <w:rsid w:val="00E27CC7"/>
    <w:rsid w:val="00E351E9"/>
    <w:rsid w:val="00E41C96"/>
    <w:rsid w:val="00E4280D"/>
    <w:rsid w:val="00E52B24"/>
    <w:rsid w:val="00E53AAC"/>
    <w:rsid w:val="00E57ADA"/>
    <w:rsid w:val="00E61E6A"/>
    <w:rsid w:val="00E6745D"/>
    <w:rsid w:val="00E67C16"/>
    <w:rsid w:val="00E7148E"/>
    <w:rsid w:val="00E73BA1"/>
    <w:rsid w:val="00E74C82"/>
    <w:rsid w:val="00E75279"/>
    <w:rsid w:val="00E81AFB"/>
    <w:rsid w:val="00E84505"/>
    <w:rsid w:val="00E86F97"/>
    <w:rsid w:val="00E90F2F"/>
    <w:rsid w:val="00E977C9"/>
    <w:rsid w:val="00EA11C3"/>
    <w:rsid w:val="00EA7AAF"/>
    <w:rsid w:val="00EB0A43"/>
    <w:rsid w:val="00EB255E"/>
    <w:rsid w:val="00EB5B5C"/>
    <w:rsid w:val="00EC2AAA"/>
    <w:rsid w:val="00ED65F2"/>
    <w:rsid w:val="00EE07FB"/>
    <w:rsid w:val="00EE6EEA"/>
    <w:rsid w:val="00EF11CE"/>
    <w:rsid w:val="00EF176C"/>
    <w:rsid w:val="00EF1895"/>
    <w:rsid w:val="00EF3A72"/>
    <w:rsid w:val="00EF5C71"/>
    <w:rsid w:val="00F214BD"/>
    <w:rsid w:val="00F3360E"/>
    <w:rsid w:val="00F36678"/>
    <w:rsid w:val="00F36B18"/>
    <w:rsid w:val="00F4349D"/>
    <w:rsid w:val="00F4645A"/>
    <w:rsid w:val="00F63288"/>
    <w:rsid w:val="00F73CFE"/>
    <w:rsid w:val="00F90CB9"/>
    <w:rsid w:val="00F92388"/>
    <w:rsid w:val="00F9357C"/>
    <w:rsid w:val="00F96A38"/>
    <w:rsid w:val="00FA04C0"/>
    <w:rsid w:val="00FA22FF"/>
    <w:rsid w:val="00FA6A9B"/>
    <w:rsid w:val="00FB4A35"/>
    <w:rsid w:val="00FB74CC"/>
    <w:rsid w:val="00FC3AC4"/>
    <w:rsid w:val="00FC5A84"/>
    <w:rsid w:val="00FD43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CD46A1-F4A3-4DA4-BE2E-9C8FE820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ln">
    <w:name w:val="Normal"/>
    <w:qFormat/>
    <w:rsid w:val="0001049D"/>
    <w:pPr>
      <w:jc w:val="both"/>
    </w:pPr>
    <w:rPr>
      <w:sz w:val="22"/>
    </w:rPr>
  </w:style>
  <w:style w:type="paragraph" w:styleId="Nadpis1">
    <w:name w:val="heading 1"/>
    <w:basedOn w:val="Normln"/>
    <w:next w:val="Normln"/>
    <w:link w:val="Nadpis1Char"/>
    <w:qFormat/>
    <w:rsid w:val="0001049D"/>
    <w:pPr>
      <w:keepNext/>
      <w:outlineLvl w:val="0"/>
    </w:pPr>
    <w:rPr>
      <w:b/>
      <w:bCs/>
      <w:color w:val="000000"/>
      <w:szCs w:val="24"/>
    </w:rPr>
  </w:style>
  <w:style w:type="paragraph" w:styleId="Nadpis2">
    <w:name w:val="heading 2"/>
    <w:basedOn w:val="Normln"/>
    <w:next w:val="Normln"/>
    <w:link w:val="Nadpis2Char"/>
    <w:qFormat/>
    <w:rsid w:val="0001049D"/>
    <w:pPr>
      <w:keepNext/>
      <w:widowControl w:val="0"/>
      <w:jc w:val="left"/>
      <w:outlineLvl w:val="1"/>
    </w:pPr>
    <w:rPr>
      <w:b/>
      <w:i/>
      <w:iCs/>
      <w:szCs w:val="24"/>
    </w:rPr>
  </w:style>
  <w:style w:type="paragraph" w:styleId="Nadpis3">
    <w:name w:val="heading 3"/>
    <w:basedOn w:val="Normln"/>
    <w:next w:val="Normln"/>
    <w:link w:val="Nadpis3Char"/>
    <w:qFormat/>
    <w:rsid w:val="0001049D"/>
    <w:pPr>
      <w:keepNext/>
      <w:outlineLvl w:val="2"/>
    </w:pPr>
    <w:rPr>
      <w:b/>
      <w:color w:val="000080"/>
      <w:sz w:val="24"/>
    </w:rPr>
  </w:style>
  <w:style w:type="paragraph" w:styleId="Nadpis4">
    <w:name w:val="heading 4"/>
    <w:basedOn w:val="Normln"/>
    <w:next w:val="Normln"/>
    <w:link w:val="Nadpis4Char"/>
    <w:qFormat/>
    <w:rsid w:val="0001049D"/>
    <w:pPr>
      <w:keepNext/>
      <w:outlineLvl w:val="3"/>
    </w:pPr>
    <w:rPr>
      <w:b/>
      <w:bCs/>
      <w:i/>
      <w:iCs/>
      <w:color w:val="000000"/>
      <w:szCs w:val="24"/>
    </w:rPr>
  </w:style>
  <w:style w:type="paragraph" w:styleId="Nadpis5">
    <w:name w:val="heading 5"/>
    <w:basedOn w:val="Normln"/>
    <w:next w:val="Normln"/>
    <w:link w:val="Nadpis5Char"/>
    <w:qFormat/>
    <w:rsid w:val="0001049D"/>
    <w:pPr>
      <w:keepNext/>
      <w:widowControl w:val="0"/>
      <w:outlineLvl w:val="4"/>
    </w:pPr>
    <w:rPr>
      <w:b/>
      <w:bCs/>
      <w:i/>
      <w:iCs/>
      <w:szCs w:val="24"/>
    </w:rPr>
  </w:style>
  <w:style w:type="paragraph" w:styleId="Nadpis6">
    <w:name w:val="heading 6"/>
    <w:basedOn w:val="Normln"/>
    <w:next w:val="Normln"/>
    <w:link w:val="Nadpis6Char"/>
    <w:qFormat/>
    <w:rsid w:val="0001049D"/>
    <w:pPr>
      <w:spacing w:before="240" w:after="60"/>
      <w:jc w:val="left"/>
      <w:outlineLvl w:val="5"/>
    </w:pPr>
    <w:rPr>
      <w:b/>
      <w:bCs/>
      <w:szCs w:val="22"/>
    </w:rPr>
  </w:style>
  <w:style w:type="paragraph" w:styleId="Nadpis7">
    <w:name w:val="heading 7"/>
    <w:basedOn w:val="Normln"/>
    <w:next w:val="Normln"/>
    <w:link w:val="Nadpis7Char"/>
    <w:qFormat/>
    <w:rsid w:val="0001049D"/>
    <w:pPr>
      <w:keepNext/>
      <w:jc w:val="center"/>
      <w:outlineLvl w:val="6"/>
    </w:pPr>
    <w:rPr>
      <w:b/>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01049D"/>
  </w:style>
  <w:style w:type="character" w:customStyle="1" w:styleId="ZkladntextChar">
    <w:name w:val="Základní text Char"/>
    <w:link w:val="Zkladntext"/>
    <w:rsid w:val="0001049D"/>
    <w:rPr>
      <w:sz w:val="22"/>
      <w:lang w:val="cs-CZ" w:eastAsia="cs-CZ" w:bidi="ar-SA"/>
    </w:rPr>
  </w:style>
  <w:style w:type="paragraph" w:styleId="Zhlav">
    <w:name w:val="header"/>
    <w:basedOn w:val="Normln"/>
    <w:link w:val="ZhlavChar"/>
    <w:rsid w:val="0001049D"/>
    <w:pPr>
      <w:tabs>
        <w:tab w:val="center" w:pos="4536"/>
        <w:tab w:val="right" w:pos="9072"/>
      </w:tabs>
    </w:pPr>
  </w:style>
  <w:style w:type="paragraph" w:styleId="Zpat">
    <w:name w:val="footer"/>
    <w:basedOn w:val="Normln"/>
    <w:link w:val="ZpatChar"/>
    <w:rsid w:val="0001049D"/>
    <w:pPr>
      <w:tabs>
        <w:tab w:val="center" w:pos="4536"/>
        <w:tab w:val="right" w:pos="9072"/>
      </w:tabs>
    </w:pPr>
  </w:style>
  <w:style w:type="paragraph" w:customStyle="1" w:styleId="Export0">
    <w:name w:val="Export 0"/>
    <w:rsid w:val="0001049D"/>
    <w:rPr>
      <w:rFonts w:ascii="Avinion" w:hAnsi="Avinion"/>
      <w:sz w:val="24"/>
      <w:lang w:val="en-US"/>
    </w:rPr>
  </w:style>
  <w:style w:type="paragraph" w:styleId="Zkladntextodsazen3">
    <w:name w:val="Body Text Indent 3"/>
    <w:basedOn w:val="Normln"/>
    <w:link w:val="Zkladntextodsazen3Char"/>
    <w:rsid w:val="0001049D"/>
    <w:pPr>
      <w:autoSpaceDE w:val="0"/>
      <w:autoSpaceDN w:val="0"/>
      <w:adjustRightInd w:val="0"/>
      <w:ind w:left="540"/>
      <w:jc w:val="left"/>
    </w:pPr>
    <w:rPr>
      <w:color w:val="000000"/>
    </w:rPr>
  </w:style>
  <w:style w:type="character" w:styleId="slostrnky">
    <w:name w:val="page number"/>
    <w:basedOn w:val="Standardnpsmoodstavce"/>
    <w:rsid w:val="0001049D"/>
  </w:style>
  <w:style w:type="paragraph" w:styleId="Rozloendokumentu">
    <w:name w:val="Document Map"/>
    <w:basedOn w:val="Normln"/>
    <w:link w:val="RozloendokumentuChar"/>
    <w:rsid w:val="0001049D"/>
    <w:pPr>
      <w:shd w:val="clear" w:color="auto" w:fill="000080"/>
      <w:jc w:val="left"/>
    </w:pPr>
    <w:rPr>
      <w:rFonts w:ascii="Tahoma" w:hAnsi="Tahoma" w:cs="Tahoma"/>
      <w:sz w:val="20"/>
    </w:rPr>
  </w:style>
  <w:style w:type="paragraph" w:styleId="Textbubliny">
    <w:name w:val="Balloon Text"/>
    <w:basedOn w:val="Normln"/>
    <w:link w:val="TextbublinyChar"/>
    <w:rsid w:val="0001049D"/>
    <w:pPr>
      <w:jc w:val="left"/>
    </w:pPr>
    <w:rPr>
      <w:rFonts w:ascii="Tahoma" w:hAnsi="Tahoma" w:cs="Tahoma"/>
      <w:sz w:val="16"/>
      <w:szCs w:val="16"/>
    </w:rPr>
  </w:style>
  <w:style w:type="table" w:styleId="Mkatabulky">
    <w:name w:val="Table Grid"/>
    <w:basedOn w:val="Normlntabulka"/>
    <w:rsid w:val="000104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2">
    <w:name w:val="Body Text Indent 2"/>
    <w:basedOn w:val="Normln"/>
    <w:link w:val="Zkladntextodsazen2Char"/>
    <w:rsid w:val="0001049D"/>
    <w:pPr>
      <w:ind w:left="426"/>
    </w:pPr>
    <w:rPr>
      <w:i/>
    </w:rPr>
  </w:style>
  <w:style w:type="paragraph" w:styleId="Zkladntextodsazen">
    <w:name w:val="Body Text Indent"/>
    <w:basedOn w:val="Normln"/>
    <w:link w:val="ZkladntextodsazenChar"/>
    <w:rsid w:val="0001049D"/>
    <w:pPr>
      <w:autoSpaceDE w:val="0"/>
      <w:autoSpaceDN w:val="0"/>
      <w:adjustRightInd w:val="0"/>
      <w:ind w:left="6372"/>
      <w:jc w:val="left"/>
    </w:pPr>
    <w:rPr>
      <w:szCs w:val="24"/>
    </w:rPr>
  </w:style>
  <w:style w:type="paragraph" w:styleId="Textkomente">
    <w:name w:val="annotation text"/>
    <w:basedOn w:val="Normln"/>
    <w:link w:val="TextkomenteChar"/>
    <w:rsid w:val="0001049D"/>
    <w:pPr>
      <w:jc w:val="left"/>
    </w:pPr>
    <w:rPr>
      <w:sz w:val="20"/>
    </w:rPr>
  </w:style>
  <w:style w:type="paragraph" w:styleId="Pedmtkomente">
    <w:name w:val="annotation subject"/>
    <w:basedOn w:val="Textkomente"/>
    <w:next w:val="Textkomente"/>
    <w:link w:val="PedmtkomenteChar"/>
    <w:rsid w:val="0001049D"/>
    <w:rPr>
      <w:b/>
      <w:bCs/>
    </w:rPr>
  </w:style>
  <w:style w:type="paragraph" w:styleId="Normlnweb">
    <w:name w:val="Normal (Web)"/>
    <w:basedOn w:val="Normln"/>
    <w:rsid w:val="0001049D"/>
    <w:pPr>
      <w:spacing w:before="100" w:beforeAutospacing="1" w:after="100" w:afterAutospacing="1"/>
      <w:jc w:val="left"/>
    </w:pPr>
    <w:rPr>
      <w:sz w:val="24"/>
      <w:szCs w:val="24"/>
      <w:lang w:val="es-ES_tradnl"/>
    </w:rPr>
  </w:style>
  <w:style w:type="numbering" w:customStyle="1" w:styleId="A">
    <w:name w:val="A)"/>
    <w:rsid w:val="0001049D"/>
    <w:pPr>
      <w:numPr>
        <w:numId w:val="13"/>
      </w:numPr>
    </w:pPr>
  </w:style>
  <w:style w:type="character" w:customStyle="1" w:styleId="Nadpis1Char">
    <w:name w:val="Nadpis 1 Char"/>
    <w:link w:val="Nadpis1"/>
    <w:rsid w:val="0001049D"/>
    <w:rPr>
      <w:b/>
      <w:bCs/>
      <w:color w:val="000000"/>
      <w:sz w:val="22"/>
      <w:szCs w:val="24"/>
      <w:lang w:val="cs-CZ" w:eastAsia="cs-CZ" w:bidi="ar-SA"/>
    </w:rPr>
  </w:style>
  <w:style w:type="character" w:customStyle="1" w:styleId="Nadpis2Char">
    <w:name w:val="Nadpis 2 Char"/>
    <w:link w:val="Nadpis2"/>
    <w:rsid w:val="0001049D"/>
    <w:rPr>
      <w:b/>
      <w:i/>
      <w:iCs/>
      <w:sz w:val="22"/>
      <w:szCs w:val="24"/>
      <w:lang w:val="cs-CZ" w:eastAsia="cs-CZ" w:bidi="ar-SA"/>
    </w:rPr>
  </w:style>
  <w:style w:type="character" w:customStyle="1" w:styleId="Nadpis3Char">
    <w:name w:val="Nadpis 3 Char"/>
    <w:link w:val="Nadpis3"/>
    <w:rsid w:val="0001049D"/>
    <w:rPr>
      <w:b/>
      <w:color w:val="000080"/>
      <w:sz w:val="24"/>
      <w:lang w:val="cs-CZ" w:eastAsia="cs-CZ" w:bidi="ar-SA"/>
    </w:rPr>
  </w:style>
  <w:style w:type="character" w:customStyle="1" w:styleId="Nadpis4Char">
    <w:name w:val="Nadpis 4 Char"/>
    <w:link w:val="Nadpis4"/>
    <w:rsid w:val="0001049D"/>
    <w:rPr>
      <w:b/>
      <w:bCs/>
      <w:i/>
      <w:iCs/>
      <w:color w:val="000000"/>
      <w:sz w:val="22"/>
      <w:szCs w:val="24"/>
      <w:lang w:val="cs-CZ" w:eastAsia="cs-CZ" w:bidi="ar-SA"/>
    </w:rPr>
  </w:style>
  <w:style w:type="character" w:customStyle="1" w:styleId="Nadpis5Char">
    <w:name w:val="Nadpis 5 Char"/>
    <w:link w:val="Nadpis5"/>
    <w:rsid w:val="0001049D"/>
    <w:rPr>
      <w:b/>
      <w:bCs/>
      <w:i/>
      <w:iCs/>
      <w:sz w:val="22"/>
      <w:szCs w:val="24"/>
      <w:lang w:val="cs-CZ" w:eastAsia="cs-CZ" w:bidi="ar-SA"/>
    </w:rPr>
  </w:style>
  <w:style w:type="character" w:customStyle="1" w:styleId="Nadpis6Char">
    <w:name w:val="Nadpis 6 Char"/>
    <w:link w:val="Nadpis6"/>
    <w:rsid w:val="0001049D"/>
    <w:rPr>
      <w:b/>
      <w:bCs/>
      <w:sz w:val="22"/>
      <w:szCs w:val="22"/>
      <w:lang w:val="cs-CZ" w:eastAsia="cs-CZ" w:bidi="ar-SA"/>
    </w:rPr>
  </w:style>
  <w:style w:type="character" w:customStyle="1" w:styleId="Nadpis7Char">
    <w:name w:val="Nadpis 7 Char"/>
    <w:link w:val="Nadpis7"/>
    <w:rsid w:val="0001049D"/>
    <w:rPr>
      <w:b/>
      <w:sz w:val="22"/>
      <w:u w:val="single"/>
      <w:lang w:val="cs-CZ" w:eastAsia="cs-CZ" w:bidi="ar-SA"/>
    </w:rPr>
  </w:style>
  <w:style w:type="character" w:customStyle="1" w:styleId="ZhlavChar">
    <w:name w:val="Záhlaví Char"/>
    <w:link w:val="Zhlav"/>
    <w:rsid w:val="0001049D"/>
    <w:rPr>
      <w:sz w:val="22"/>
      <w:lang w:val="cs-CZ" w:eastAsia="cs-CZ" w:bidi="ar-SA"/>
    </w:rPr>
  </w:style>
  <w:style w:type="character" w:customStyle="1" w:styleId="ZpatChar">
    <w:name w:val="Zápatí Char"/>
    <w:link w:val="Zpat"/>
    <w:rsid w:val="0001049D"/>
    <w:rPr>
      <w:sz w:val="22"/>
      <w:lang w:val="cs-CZ" w:eastAsia="cs-CZ" w:bidi="ar-SA"/>
    </w:rPr>
  </w:style>
  <w:style w:type="character" w:customStyle="1" w:styleId="Zkladntextodsazen3Char">
    <w:name w:val="Základní text odsazený 3 Char"/>
    <w:link w:val="Zkladntextodsazen3"/>
    <w:rsid w:val="0001049D"/>
    <w:rPr>
      <w:color w:val="000000"/>
      <w:sz w:val="22"/>
      <w:lang w:val="cs-CZ" w:eastAsia="cs-CZ" w:bidi="ar-SA"/>
    </w:rPr>
  </w:style>
  <w:style w:type="character" w:customStyle="1" w:styleId="Zkladntextodsazen2Char">
    <w:name w:val="Základní text odsazený 2 Char"/>
    <w:link w:val="Zkladntextodsazen2"/>
    <w:rsid w:val="0001049D"/>
    <w:rPr>
      <w:i/>
      <w:sz w:val="22"/>
      <w:lang w:val="cs-CZ" w:eastAsia="cs-CZ" w:bidi="ar-SA"/>
    </w:rPr>
  </w:style>
  <w:style w:type="character" w:customStyle="1" w:styleId="ZkladntextodsazenChar">
    <w:name w:val="Základní text odsazený Char"/>
    <w:link w:val="Zkladntextodsazen"/>
    <w:rsid w:val="0001049D"/>
    <w:rPr>
      <w:sz w:val="22"/>
      <w:szCs w:val="24"/>
      <w:lang w:val="cs-CZ" w:eastAsia="cs-CZ" w:bidi="ar-SA"/>
    </w:rPr>
  </w:style>
  <w:style w:type="character" w:customStyle="1" w:styleId="TextkomenteChar">
    <w:name w:val="Text komentáře Char"/>
    <w:link w:val="Textkomente"/>
    <w:rsid w:val="0001049D"/>
    <w:rPr>
      <w:lang w:val="cs-CZ" w:eastAsia="cs-CZ" w:bidi="ar-SA"/>
    </w:rPr>
  </w:style>
  <w:style w:type="character" w:customStyle="1" w:styleId="RozloendokumentuChar">
    <w:name w:val="Rozložení dokumentu Char"/>
    <w:link w:val="Rozloendokumentu"/>
    <w:rsid w:val="0001049D"/>
    <w:rPr>
      <w:rFonts w:ascii="Tahoma" w:hAnsi="Tahoma" w:cs="Tahoma"/>
      <w:lang w:val="cs-CZ" w:eastAsia="cs-CZ" w:bidi="ar-SA"/>
    </w:rPr>
  </w:style>
  <w:style w:type="character" w:customStyle="1" w:styleId="TextbublinyChar">
    <w:name w:val="Text bubliny Char"/>
    <w:link w:val="Textbubliny"/>
    <w:rsid w:val="0001049D"/>
    <w:rPr>
      <w:rFonts w:ascii="Tahoma" w:hAnsi="Tahoma" w:cs="Tahoma"/>
      <w:sz w:val="16"/>
      <w:szCs w:val="16"/>
      <w:lang w:val="cs-CZ" w:eastAsia="cs-CZ" w:bidi="ar-SA"/>
    </w:rPr>
  </w:style>
  <w:style w:type="character" w:customStyle="1" w:styleId="PedmtkomenteChar">
    <w:name w:val="Předmět komentáře Char"/>
    <w:link w:val="Pedmtkomente"/>
    <w:rsid w:val="0001049D"/>
    <w:rPr>
      <w:b/>
      <w:bCs/>
      <w:lang w:val="cs-CZ" w:eastAsia="cs-CZ" w:bidi="ar-SA"/>
    </w:rPr>
  </w:style>
  <w:style w:type="character" w:styleId="Odkaznakoment">
    <w:name w:val="annotation reference"/>
    <w:rsid w:val="0001049D"/>
    <w:rPr>
      <w:sz w:val="16"/>
      <w:szCs w:val="16"/>
    </w:rPr>
  </w:style>
  <w:style w:type="paragraph" w:styleId="Seznam">
    <w:name w:val="List"/>
    <w:basedOn w:val="Normln"/>
    <w:rsid w:val="0001049D"/>
    <w:pPr>
      <w:ind w:left="283" w:hanging="283"/>
    </w:pPr>
  </w:style>
  <w:style w:type="paragraph" w:styleId="Seznam2">
    <w:name w:val="List 2"/>
    <w:basedOn w:val="Normln"/>
    <w:rsid w:val="0001049D"/>
    <w:pPr>
      <w:ind w:left="566" w:hanging="283"/>
    </w:pPr>
  </w:style>
  <w:style w:type="paragraph" w:styleId="Seznam3">
    <w:name w:val="List 3"/>
    <w:basedOn w:val="Normln"/>
    <w:rsid w:val="0001049D"/>
    <w:pPr>
      <w:ind w:left="849" w:hanging="283"/>
    </w:pPr>
  </w:style>
  <w:style w:type="paragraph" w:styleId="Seznamsodrkami3">
    <w:name w:val="List Bullet 3"/>
    <w:basedOn w:val="Normln"/>
    <w:rsid w:val="0001049D"/>
    <w:pPr>
      <w:numPr>
        <w:numId w:val="14"/>
      </w:numPr>
    </w:pPr>
  </w:style>
  <w:style w:type="paragraph" w:styleId="Seznamsodrkami4">
    <w:name w:val="List Bullet 4"/>
    <w:basedOn w:val="Normln"/>
    <w:rsid w:val="0001049D"/>
    <w:pPr>
      <w:numPr>
        <w:numId w:val="15"/>
      </w:numPr>
    </w:pPr>
  </w:style>
  <w:style w:type="paragraph" w:styleId="Pokraovnseznamu">
    <w:name w:val="List Continue"/>
    <w:basedOn w:val="Normln"/>
    <w:rsid w:val="0001049D"/>
    <w:pPr>
      <w:spacing w:after="120"/>
      <w:ind w:left="283"/>
    </w:pPr>
  </w:style>
  <w:style w:type="paragraph" w:styleId="Zkladntext-prvnodsazen2">
    <w:name w:val="Body Text First Indent 2"/>
    <w:basedOn w:val="Zkladntextodsazen"/>
    <w:rsid w:val="0001049D"/>
    <w:pPr>
      <w:autoSpaceDE/>
      <w:autoSpaceDN/>
      <w:adjustRightInd/>
      <w:spacing w:after="120"/>
      <w:ind w:left="283" w:firstLine="210"/>
      <w:jc w:val="both"/>
    </w:pPr>
    <w:rPr>
      <w:szCs w:val="20"/>
    </w:rPr>
  </w:style>
  <w:style w:type="character" w:customStyle="1" w:styleId="CharChar">
    <w:name w:val="Char Char"/>
    <w:rsid w:val="0001049D"/>
    <w:rPr>
      <w:sz w:val="22"/>
      <w:lang w:val="cs-CZ" w:eastAsia="cs-CZ" w:bidi="ar-SA"/>
    </w:rPr>
  </w:style>
  <w:style w:type="character" w:customStyle="1" w:styleId="descriptionlabel">
    <w:name w:val="descriptionlabel"/>
    <w:rsid w:val="0064190C"/>
  </w:style>
  <w:style w:type="character" w:customStyle="1" w:styleId="specialmarklabel">
    <w:name w:val="specialmarklabel"/>
    <w:rsid w:val="00641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98102">
      <w:bodyDiv w:val="1"/>
      <w:marLeft w:val="0"/>
      <w:marRight w:val="0"/>
      <w:marTop w:val="0"/>
      <w:marBottom w:val="0"/>
      <w:divBdr>
        <w:top w:val="none" w:sz="0" w:space="0" w:color="auto"/>
        <w:left w:val="none" w:sz="0" w:space="0" w:color="auto"/>
        <w:bottom w:val="none" w:sz="0" w:space="0" w:color="auto"/>
        <w:right w:val="none" w:sz="0" w:space="0" w:color="auto"/>
      </w:divBdr>
    </w:div>
    <w:div w:id="238296933">
      <w:bodyDiv w:val="1"/>
      <w:marLeft w:val="0"/>
      <w:marRight w:val="0"/>
      <w:marTop w:val="0"/>
      <w:marBottom w:val="0"/>
      <w:divBdr>
        <w:top w:val="none" w:sz="0" w:space="0" w:color="auto"/>
        <w:left w:val="none" w:sz="0" w:space="0" w:color="auto"/>
        <w:bottom w:val="none" w:sz="0" w:space="0" w:color="auto"/>
        <w:right w:val="none" w:sz="0" w:space="0" w:color="auto"/>
      </w:divBdr>
    </w:div>
    <w:div w:id="306401767">
      <w:bodyDiv w:val="1"/>
      <w:marLeft w:val="0"/>
      <w:marRight w:val="0"/>
      <w:marTop w:val="0"/>
      <w:marBottom w:val="0"/>
      <w:divBdr>
        <w:top w:val="none" w:sz="0" w:space="0" w:color="auto"/>
        <w:left w:val="none" w:sz="0" w:space="0" w:color="auto"/>
        <w:bottom w:val="none" w:sz="0" w:space="0" w:color="auto"/>
        <w:right w:val="none" w:sz="0" w:space="0" w:color="auto"/>
      </w:divBdr>
    </w:div>
    <w:div w:id="335160525">
      <w:bodyDiv w:val="1"/>
      <w:marLeft w:val="0"/>
      <w:marRight w:val="0"/>
      <w:marTop w:val="0"/>
      <w:marBottom w:val="0"/>
      <w:divBdr>
        <w:top w:val="none" w:sz="0" w:space="0" w:color="auto"/>
        <w:left w:val="none" w:sz="0" w:space="0" w:color="auto"/>
        <w:bottom w:val="none" w:sz="0" w:space="0" w:color="auto"/>
        <w:right w:val="none" w:sz="0" w:space="0" w:color="auto"/>
      </w:divBdr>
    </w:div>
    <w:div w:id="343170316">
      <w:bodyDiv w:val="1"/>
      <w:marLeft w:val="0"/>
      <w:marRight w:val="0"/>
      <w:marTop w:val="0"/>
      <w:marBottom w:val="0"/>
      <w:divBdr>
        <w:top w:val="none" w:sz="0" w:space="0" w:color="auto"/>
        <w:left w:val="none" w:sz="0" w:space="0" w:color="auto"/>
        <w:bottom w:val="none" w:sz="0" w:space="0" w:color="auto"/>
        <w:right w:val="none" w:sz="0" w:space="0" w:color="auto"/>
      </w:divBdr>
    </w:div>
    <w:div w:id="706104772">
      <w:bodyDiv w:val="1"/>
      <w:marLeft w:val="0"/>
      <w:marRight w:val="0"/>
      <w:marTop w:val="0"/>
      <w:marBottom w:val="0"/>
      <w:divBdr>
        <w:top w:val="none" w:sz="0" w:space="0" w:color="auto"/>
        <w:left w:val="none" w:sz="0" w:space="0" w:color="auto"/>
        <w:bottom w:val="none" w:sz="0" w:space="0" w:color="auto"/>
        <w:right w:val="none" w:sz="0" w:space="0" w:color="auto"/>
      </w:divBdr>
    </w:div>
    <w:div w:id="792946655">
      <w:bodyDiv w:val="1"/>
      <w:marLeft w:val="0"/>
      <w:marRight w:val="0"/>
      <w:marTop w:val="0"/>
      <w:marBottom w:val="0"/>
      <w:divBdr>
        <w:top w:val="none" w:sz="0" w:space="0" w:color="auto"/>
        <w:left w:val="none" w:sz="0" w:space="0" w:color="auto"/>
        <w:bottom w:val="none" w:sz="0" w:space="0" w:color="auto"/>
        <w:right w:val="none" w:sz="0" w:space="0" w:color="auto"/>
      </w:divBdr>
    </w:div>
    <w:div w:id="963996878">
      <w:bodyDiv w:val="1"/>
      <w:marLeft w:val="0"/>
      <w:marRight w:val="0"/>
      <w:marTop w:val="0"/>
      <w:marBottom w:val="0"/>
      <w:divBdr>
        <w:top w:val="none" w:sz="0" w:space="0" w:color="auto"/>
        <w:left w:val="none" w:sz="0" w:space="0" w:color="auto"/>
        <w:bottom w:val="none" w:sz="0" w:space="0" w:color="auto"/>
        <w:right w:val="none" w:sz="0" w:space="0" w:color="auto"/>
      </w:divBdr>
      <w:divsChild>
        <w:div w:id="2145153272">
          <w:marLeft w:val="0"/>
          <w:marRight w:val="0"/>
          <w:marTop w:val="0"/>
          <w:marBottom w:val="0"/>
          <w:divBdr>
            <w:top w:val="none" w:sz="0" w:space="0" w:color="auto"/>
            <w:left w:val="none" w:sz="0" w:space="0" w:color="auto"/>
            <w:bottom w:val="none" w:sz="0" w:space="0" w:color="auto"/>
            <w:right w:val="none" w:sz="0" w:space="0" w:color="auto"/>
          </w:divBdr>
          <w:divsChild>
            <w:div w:id="380835168">
              <w:marLeft w:val="0"/>
              <w:marRight w:val="0"/>
              <w:marTop w:val="0"/>
              <w:marBottom w:val="0"/>
              <w:divBdr>
                <w:top w:val="single" w:sz="2" w:space="6" w:color="D4D4D4"/>
                <w:left w:val="single" w:sz="12" w:space="6" w:color="D4D4D4"/>
                <w:bottom w:val="single" w:sz="12" w:space="6" w:color="D4D4D4"/>
                <w:right w:val="single" w:sz="12" w:space="6" w:color="D4D4D4"/>
              </w:divBdr>
              <w:divsChild>
                <w:div w:id="788013492">
                  <w:marLeft w:val="0"/>
                  <w:marRight w:val="0"/>
                  <w:marTop w:val="0"/>
                  <w:marBottom w:val="0"/>
                  <w:divBdr>
                    <w:top w:val="none" w:sz="0" w:space="0" w:color="auto"/>
                    <w:left w:val="none" w:sz="0" w:space="0" w:color="auto"/>
                    <w:bottom w:val="none" w:sz="0" w:space="0" w:color="auto"/>
                    <w:right w:val="none" w:sz="0" w:space="0" w:color="auto"/>
                  </w:divBdr>
                  <w:divsChild>
                    <w:div w:id="236785559">
                      <w:marLeft w:val="0"/>
                      <w:marRight w:val="0"/>
                      <w:marTop w:val="0"/>
                      <w:marBottom w:val="0"/>
                      <w:divBdr>
                        <w:top w:val="none" w:sz="0" w:space="0" w:color="auto"/>
                        <w:left w:val="none" w:sz="0" w:space="0" w:color="auto"/>
                        <w:bottom w:val="none" w:sz="0" w:space="0" w:color="auto"/>
                        <w:right w:val="none" w:sz="0" w:space="0" w:color="auto"/>
                      </w:divBdr>
                      <w:divsChild>
                        <w:div w:id="390857799">
                          <w:marLeft w:val="0"/>
                          <w:marRight w:val="0"/>
                          <w:marTop w:val="0"/>
                          <w:marBottom w:val="0"/>
                          <w:divBdr>
                            <w:top w:val="none" w:sz="0" w:space="0" w:color="auto"/>
                            <w:left w:val="none" w:sz="0" w:space="0" w:color="auto"/>
                            <w:bottom w:val="none" w:sz="0" w:space="0" w:color="auto"/>
                            <w:right w:val="none" w:sz="0" w:space="0" w:color="auto"/>
                          </w:divBdr>
                          <w:divsChild>
                            <w:div w:id="1335306740">
                              <w:marLeft w:val="0"/>
                              <w:marRight w:val="0"/>
                              <w:marTop w:val="0"/>
                              <w:marBottom w:val="0"/>
                              <w:divBdr>
                                <w:top w:val="none" w:sz="0" w:space="0" w:color="auto"/>
                                <w:left w:val="none" w:sz="0" w:space="0" w:color="auto"/>
                                <w:bottom w:val="none" w:sz="0" w:space="0" w:color="auto"/>
                                <w:right w:val="none" w:sz="0" w:space="0" w:color="auto"/>
                              </w:divBdr>
                              <w:divsChild>
                                <w:div w:id="1297024166">
                                  <w:marLeft w:val="0"/>
                                  <w:marRight w:val="0"/>
                                  <w:marTop w:val="0"/>
                                  <w:marBottom w:val="0"/>
                                  <w:divBdr>
                                    <w:top w:val="none" w:sz="0" w:space="0" w:color="auto"/>
                                    <w:left w:val="none" w:sz="0" w:space="0" w:color="auto"/>
                                    <w:bottom w:val="none" w:sz="0" w:space="0" w:color="auto"/>
                                    <w:right w:val="none" w:sz="0" w:space="0" w:color="auto"/>
                                  </w:divBdr>
                                </w:div>
                              </w:divsChild>
                            </w:div>
                            <w:div w:id="118183594">
                              <w:marLeft w:val="567"/>
                              <w:marRight w:val="0"/>
                              <w:marTop w:val="0"/>
                              <w:marBottom w:val="0"/>
                              <w:divBdr>
                                <w:top w:val="none" w:sz="0" w:space="0" w:color="auto"/>
                                <w:left w:val="none" w:sz="0" w:space="0" w:color="auto"/>
                                <w:bottom w:val="none" w:sz="0" w:space="0" w:color="auto"/>
                                <w:right w:val="none" w:sz="0" w:space="0" w:color="auto"/>
                              </w:divBdr>
                            </w:div>
                            <w:div w:id="648824854">
                              <w:marLeft w:val="0"/>
                              <w:marRight w:val="0"/>
                              <w:marTop w:val="0"/>
                              <w:marBottom w:val="0"/>
                              <w:divBdr>
                                <w:top w:val="none" w:sz="0" w:space="0" w:color="auto"/>
                                <w:left w:val="none" w:sz="0" w:space="0" w:color="auto"/>
                                <w:bottom w:val="none" w:sz="0" w:space="0" w:color="auto"/>
                                <w:right w:val="none" w:sz="0" w:space="0" w:color="auto"/>
                              </w:divBdr>
                              <w:divsChild>
                                <w:div w:id="128865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246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2186</Words>
  <Characters>12586</Characters>
  <Application>Microsoft Office Word</Application>
  <DocSecurity>8</DocSecurity>
  <Lines>235</Lines>
  <Paragraphs>90</Paragraphs>
  <ScaleCrop>false</ScaleCrop>
  <HeadingPairs>
    <vt:vector size="2" baseType="variant">
      <vt:variant>
        <vt:lpstr>Název</vt:lpstr>
      </vt:variant>
      <vt:variant>
        <vt:i4>1</vt:i4>
      </vt:variant>
    </vt:vector>
  </HeadingPairs>
  <TitlesOfParts>
    <vt:vector size="1" baseType="lpstr">
      <vt:lpstr>KTK - SME</vt:lpstr>
    </vt:vector>
  </TitlesOfParts>
  <Manager>Datum šablony: 23.6.2016</Manager>
  <Company>Československá obchodní banka, a.s.</Company>
  <LinksUpToDate>false</LinksUpToDate>
  <CharactersWithSpaces>14692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KTK - SME</dc:title>
  <dc:subject>NOZ</dc:subject>
  <dc:creator>Ing. Zbyněk BABOR</dc:creator>
  <cp:keywords/>
  <dc:description/>
  <cp:lastModifiedBy>FITZOVÁ Hana</cp:lastModifiedBy>
  <cp:revision>2</cp:revision>
  <cp:lastPrinted>2017-01-04T09:23:00Z</cp:lastPrinted>
  <dcterms:created xsi:type="dcterms:W3CDTF">2018-03-28T08:19:00Z</dcterms:created>
  <dcterms:modified xsi:type="dcterms:W3CDTF">2018-03-28T08:19:00Z</dcterms:modified>
  <cp:category>Veřejné</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OB-DocumentTagging.ClassificationMark.P00">
    <vt:lpwstr>&lt;ClassificationMark xmlns:xsi="http://www.w3.org/2001/XMLSchema-instance" xmlns:xsd="http://www.w3.org/2001/XMLSchema" margin="NaN" class="C0" owner="Ing. Zbyněk BABOR" position="TopLeft" marginX="0" marginY="0" classifiedOn="2018-03-28T10:19:05.1315</vt:lpwstr>
  </property>
  <property fmtid="{D5CDD505-2E9C-101B-9397-08002B2CF9AE}" pid="3" name="CSOB-DocumentTagging.ClassificationMark.P01">
    <vt:lpwstr>406+02:00" showPrintedBy="false" showPrintDate="false" language="cs" ApplicationVersion="Microsoft Word, 15.0" addinVersion="5.8.11.0" template="CSOB"&gt;&lt;history bulk="false" class="Veřejné" code="C0" user="FITZOVÁ Hana" date="2018-03-28T10:19:05.13154</vt:lpwstr>
  </property>
  <property fmtid="{D5CDD505-2E9C-101B-9397-08002B2CF9AE}" pid="4" name="CSOB-DocumentTagging.ClassificationMark.P02">
    <vt:lpwstr>06+02:00" /&gt;&lt;recipients /&gt;&lt;documentOwners /&gt;&lt;/ClassificationMark&gt;</vt:lpwstr>
  </property>
  <property fmtid="{D5CDD505-2E9C-101B-9397-08002B2CF9AE}" pid="5" name="CSOB-DocumentTagging.ClassificationMark">
    <vt:lpwstr>￼PARTS:3</vt:lpwstr>
  </property>
  <property fmtid="{D5CDD505-2E9C-101B-9397-08002B2CF9AE}" pid="6" name="CSOB-DocumentClasification">
    <vt:lpwstr>Veřejné</vt:lpwstr>
  </property>
  <property fmtid="{D5CDD505-2E9C-101B-9397-08002B2CF9AE}" pid="7" name="CSOB-DLP">
    <vt:lpwstr>CSOB-DLP:TAGPublic</vt:lpwstr>
  </property>
</Properties>
</file>