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8728DC">
        <w:rPr>
          <w:i w:val="0"/>
          <w:caps w:val="0"/>
        </w:rPr>
        <w:t>0266/K7700/16/RS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6E1E77">
        <w:rPr>
          <w:caps w:val="0"/>
          <w:sz w:val="22"/>
          <w:szCs w:val="22"/>
        </w:rPr>
        <w:t>PG-85/2016/</w:t>
      </w:r>
      <w:proofErr w:type="spellStart"/>
      <w:r w:rsidR="006E1E77">
        <w:rPr>
          <w:caps w:val="0"/>
          <w:sz w:val="22"/>
          <w:szCs w:val="22"/>
        </w:rPr>
        <w:t>zak</w:t>
      </w:r>
      <w:proofErr w:type="spellEnd"/>
      <w:r w:rsidR="006E1E77">
        <w:rPr>
          <w:caps w:val="0"/>
          <w:sz w:val="22"/>
          <w:szCs w:val="22"/>
        </w:rPr>
        <w:t>/VS/Rad/JK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FF5496" w:rsidRPr="00FF5496">
        <w:rPr>
          <w:b/>
          <w:i w:val="0"/>
          <w:caps w:val="0"/>
        </w:rPr>
        <w:t>Rekonstrukce odstavné plochy v areálu VDJ Kozinec, P</w:t>
      </w:r>
      <w:r w:rsidR="008728DC">
        <w:rPr>
          <w:b/>
          <w:i w:val="0"/>
          <w:caps w:val="0"/>
        </w:rPr>
        <w:t xml:space="preserve">raha </w:t>
      </w:r>
      <w:r w:rsidR="00FF5496" w:rsidRPr="00FF5496">
        <w:rPr>
          <w:b/>
          <w:i w:val="0"/>
          <w:caps w:val="0"/>
        </w:rPr>
        <w:t>15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DA1E95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A6627" w:rsidRDefault="006E1E77" w:rsidP="009F501B">
      <w:pPr>
        <w:pStyle w:val="Smluvnstrany123"/>
        <w:spacing w:after="0"/>
        <w:rPr>
          <w:lang w:eastAsia="en-US"/>
        </w:rPr>
      </w:pPr>
      <w:r w:rsidRPr="006E1E77">
        <w:rPr>
          <w:b/>
          <w:lang w:eastAsia="en-US"/>
        </w:rPr>
        <w:t>PRAGIS a.s.</w:t>
      </w:r>
      <w:r w:rsidR="00DA6627">
        <w:rPr>
          <w:lang w:eastAsia="en-US"/>
        </w:rPr>
        <w:t>,</w:t>
      </w:r>
      <w:r w:rsidR="004E295E" w:rsidRPr="00E14E1C">
        <w:rPr>
          <w:lang w:eastAsia="en-US"/>
        </w:rPr>
        <w:t xml:space="preserve"> IČ:</w:t>
      </w:r>
      <w:r w:rsidR="009443B8">
        <w:rPr>
          <w:lang w:eastAsia="en-US"/>
        </w:rPr>
        <w:t xml:space="preserve"> </w:t>
      </w:r>
      <w:r>
        <w:rPr>
          <w:lang w:eastAsia="en-US"/>
        </w:rPr>
        <w:t>41194861</w:t>
      </w:r>
      <w:r w:rsidR="004E295E" w:rsidRPr="00E14E1C">
        <w:rPr>
          <w:lang w:eastAsia="en-US"/>
        </w:rPr>
        <w:t>,</w:t>
      </w:r>
      <w:r w:rsidR="00D46C44">
        <w:rPr>
          <w:lang w:eastAsia="en-US"/>
        </w:rPr>
        <w:t xml:space="preserve"> DIČ: CZ</w:t>
      </w:r>
      <w:r>
        <w:rPr>
          <w:lang w:eastAsia="en-US"/>
        </w:rPr>
        <w:t>41194861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se sídlem</w:t>
      </w:r>
      <w:r w:rsidR="006E1E77">
        <w:rPr>
          <w:lang w:eastAsia="en-US"/>
        </w:rPr>
        <w:t xml:space="preserve"> Praha 9 – Satalice, Budovatelská 286, PSČ 190 15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 w:rsidR="00DA6627"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</w:t>
      </w:r>
      <w:r w:rsidR="007E7C4B" w:rsidRPr="007E7C4B">
        <w:rPr>
          <w:lang w:eastAsia="en-US"/>
        </w:rPr>
        <w:t xml:space="preserve"> Městským soudem v Praze, </w:t>
      </w:r>
      <w:r w:rsidRPr="007E7C4B">
        <w:rPr>
          <w:lang w:eastAsia="en-US"/>
        </w:rPr>
        <w:t>oddíl </w:t>
      </w:r>
      <w:r w:rsidR="006E1E77">
        <w:rPr>
          <w:lang w:eastAsia="en-US"/>
        </w:rPr>
        <w:t>B</w:t>
      </w:r>
      <w:r w:rsidR="007E7C4B" w:rsidRPr="007E7C4B">
        <w:t xml:space="preserve">, vložka </w:t>
      </w:r>
      <w:r w:rsidR="006E1E77">
        <w:t>7914</w:t>
      </w:r>
    </w:p>
    <w:p w:rsidR="007E7C4B" w:rsidRDefault="00C77B37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</w:t>
      </w:r>
      <w:r w:rsidR="0061416F">
        <w:rPr>
          <w:lang w:eastAsia="en-US"/>
        </w:rPr>
        <w:t xml:space="preserve"> </w:t>
      </w:r>
      <w:r w:rsidR="006E1E77">
        <w:rPr>
          <w:lang w:eastAsia="en-US"/>
        </w:rPr>
        <w:t>Ing. Zdeňkem Donátem, Ph.D., předsedou představenstva</w:t>
      </w:r>
    </w:p>
    <w:p w:rsidR="00DD0CC1" w:rsidRDefault="00836602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9443B8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9443B8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9443B8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9443B8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61416F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312E04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F7D46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 xml:space="preserve">Předmětem této </w:t>
      </w:r>
      <w:r w:rsidRPr="008728DC">
        <w:t>Smlouvy</w:t>
      </w:r>
      <w:r w:rsidR="009443B8" w:rsidRPr="008728DC">
        <w:t xml:space="preserve"> </w:t>
      </w:r>
      <w:r w:rsidR="00F45592" w:rsidRPr="008728DC">
        <w:t>o Dílo</w:t>
      </w:r>
      <w:r w:rsidRPr="008728DC">
        <w:t xml:space="preserve"> je </w:t>
      </w:r>
      <w:r w:rsidR="008728DC" w:rsidRPr="008728DC">
        <w:rPr>
          <w:bCs/>
          <w:szCs w:val="24"/>
        </w:rPr>
        <w:t xml:space="preserve">doplnění chybějící parkovací a skladovací kapacity pro pracovní středisko (přemístění parkovacího ocelového přístřešku, </w:t>
      </w:r>
      <w:r w:rsidR="008728DC" w:rsidRPr="008728DC">
        <w:rPr>
          <w:bCs/>
          <w:szCs w:val="24"/>
        </w:rPr>
        <w:lastRenderedPageBreak/>
        <w:t>umístění skladových ocelových kontejnerů), včetně elektroinstalace.</w:t>
      </w:r>
      <w:r w:rsidRPr="008728DC">
        <w:t xml:space="preserve"> (dále jen „</w:t>
      </w:r>
      <w:r w:rsidRPr="008728DC">
        <w:rPr>
          <w:b/>
        </w:rPr>
        <w:t>Dílo</w:t>
      </w:r>
      <w:r w:rsidR="00BC2077" w:rsidRPr="008728DC">
        <w:t xml:space="preserve">“). V rámci Díla budou </w:t>
      </w:r>
      <w:r w:rsidR="00916970" w:rsidRPr="008728DC">
        <w:t>za podmínek Smlouvy</w:t>
      </w:r>
      <w:r w:rsidR="009443B8" w:rsidRPr="008728DC">
        <w:t xml:space="preserve"> </w:t>
      </w:r>
      <w:r w:rsidR="00F45592" w:rsidRPr="008728DC">
        <w:t>o Dílo</w:t>
      </w:r>
      <w:r w:rsidR="009443B8" w:rsidRPr="008728DC">
        <w:t xml:space="preserve"> </w:t>
      </w:r>
      <w:r w:rsidR="00BC2077" w:rsidRPr="008728DC">
        <w:t>provedeny veškeré</w:t>
      </w:r>
      <w:r w:rsidR="00BC2077">
        <w:t xml:space="preserve">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9443B8">
        <w:t xml:space="preserve"> </w:t>
      </w:r>
      <w:r w:rsidR="00916970" w:rsidRPr="00C77B37">
        <w:t>přílohou č. 2</w:t>
      </w:r>
      <w:r w:rsidR="00EB60DA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312E04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EB60DA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EB60DA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9443B8">
        <w:t xml:space="preserve"> </w:t>
      </w:r>
      <w:r w:rsidR="001A665A" w:rsidRPr="007A1A85">
        <w:t>a t</w:t>
      </w:r>
      <w:r w:rsidR="002D6E2D">
        <w:t>outo Smlouvou</w:t>
      </w:r>
      <w:r w:rsidR="009443B8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9443B8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9443B8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9443B8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9443B8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12E04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312E04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312E04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9443B8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lastRenderedPageBreak/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9443B8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312E04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087676" w:rsidRPr="00196C1D" w:rsidRDefault="00196C1D" w:rsidP="00196C1D">
      <w:pPr>
        <w:pStyle w:val="Druhrovesmlouvy"/>
        <w:numPr>
          <w:ilvl w:val="0"/>
          <w:numId w:val="0"/>
        </w:numPr>
        <w:ind w:left="1440"/>
        <w:jc w:val="left"/>
      </w:pPr>
      <w:r w:rsidRPr="00196C1D">
        <w:t>Ocelové konstrukce – přístřešek (dodávka a montáž):</w:t>
      </w:r>
      <w:r w:rsidRPr="00196C1D">
        <w:br/>
        <w:t xml:space="preserve">VENET spol. s r.o., Rozšířená 2046/18, </w:t>
      </w:r>
      <w:proofErr w:type="gramStart"/>
      <w:r w:rsidRPr="00196C1D">
        <w:t>180 00  Praha</w:t>
      </w:r>
      <w:proofErr w:type="gramEnd"/>
      <w:r w:rsidRPr="00196C1D">
        <w:t xml:space="preserve"> 8 – Libeň</w:t>
      </w:r>
      <w:r w:rsidRPr="00196C1D">
        <w:br/>
        <w:t>IČO: 45280649</w:t>
      </w:r>
      <w:r w:rsidRPr="00196C1D">
        <w:tab/>
      </w:r>
      <w:r w:rsidRPr="00196C1D">
        <w:tab/>
        <w:t xml:space="preserve"> 75,6 % ceny dodávky.</w:t>
      </w:r>
    </w:p>
    <w:p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8728DC" w:rsidRDefault="00B13C03" w:rsidP="00B13C03">
      <w:pPr>
        <w:pStyle w:val="Druhrovesmlouvy"/>
      </w:pPr>
      <w:r w:rsidRPr="008728DC">
        <w:t>Zhotovitel zahájí práce do 15 pracovních dnů od předání Staveniště od Objednatele</w:t>
      </w:r>
      <w:r w:rsidR="00EE7A08" w:rsidRPr="008728DC">
        <w:t>.</w:t>
      </w:r>
    </w:p>
    <w:p w:rsidR="004566F1" w:rsidRPr="008728DC" w:rsidRDefault="00B13C03" w:rsidP="004566F1">
      <w:pPr>
        <w:pStyle w:val="Druhrovesmlouvy"/>
        <w:numPr>
          <w:ilvl w:val="1"/>
          <w:numId w:val="12"/>
        </w:numPr>
      </w:pPr>
      <w:r w:rsidRPr="008728DC">
        <w:t xml:space="preserve">Zhotovitel se zavazuje převzít Staveniště </w:t>
      </w:r>
      <w:r w:rsidR="008769EC" w:rsidRPr="008728DC">
        <w:t xml:space="preserve">do </w:t>
      </w:r>
      <w:proofErr w:type="gramStart"/>
      <w:r w:rsidR="008769EC" w:rsidRPr="008728DC">
        <w:t>10-ti</w:t>
      </w:r>
      <w:proofErr w:type="gramEnd"/>
      <w:r w:rsidR="008769EC" w:rsidRPr="008728DC">
        <w:t xml:space="preserve"> pracovních dní od doručení písemné výzvy Objednatele, nebude-li v této výzvě uvedeno jinak.</w:t>
      </w:r>
      <w:r w:rsidR="004566F1" w:rsidRPr="008728DC">
        <w:t xml:space="preserve"> 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8728DC">
        <w:t>V případě, že Objednatel nepředá Staveniště v dohodnutém termínu a tyto skutečnosti</w:t>
      </w:r>
      <w:r>
        <w:t xml:space="preserve">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196C1D" w:rsidRPr="00196C1D">
        <w:rPr>
          <w:rFonts w:ascii="Arial CE" w:hAnsi="Arial CE"/>
          <w:b/>
        </w:rPr>
        <w:t>10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312E04">
        <w:t xml:space="preserve"> </w:t>
      </w:r>
      <w:r w:rsidR="00A82E10" w:rsidRPr="00F45592">
        <w:t>o Dílo</w:t>
      </w:r>
      <w:r w:rsidR="00312E04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8728DC">
        <w:rPr>
          <w:rFonts w:eastAsia="Arial Unicode MS"/>
        </w:rPr>
        <w:t>VDJ Kozinec, Praha 15.</w:t>
      </w:r>
      <w:r w:rsidR="00B21AE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9443B8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9443B8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312E04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9443B8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9443B8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9443B8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</w:t>
      </w:r>
      <w:r w:rsidR="00291A88">
        <w:lastRenderedPageBreak/>
        <w:t xml:space="preserve">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9443B8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96C1D">
      <w:pPr>
        <w:pStyle w:val="Druhrovesmlouvy"/>
        <w:jc w:val="left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196C1D">
        <w:rPr>
          <w:b/>
        </w:rPr>
        <w:t xml:space="preserve"> </w:t>
      </w:r>
      <w:r w:rsidR="00196C1D" w:rsidRPr="00196C1D">
        <w:rPr>
          <w:rFonts w:ascii="Arial CE" w:hAnsi="Arial CE"/>
          <w:b/>
        </w:rPr>
        <w:t>926 221</w:t>
      </w:r>
      <w:r w:rsidR="007F452F" w:rsidRPr="00196C1D">
        <w:rPr>
          <w:rFonts w:ascii="Arial CE" w:hAnsi="Arial CE"/>
          <w:b/>
        </w:rPr>
        <w:t>,-</w:t>
      </w:r>
      <w:r w:rsidR="00D25617" w:rsidRPr="00196C1D">
        <w:rPr>
          <w:rFonts w:ascii="Arial CE" w:hAnsi="Arial CE"/>
          <w:b/>
        </w:rPr>
        <w:t xml:space="preserve"> Kč</w:t>
      </w:r>
      <w:r w:rsidR="00196C1D">
        <w:rPr>
          <w:rFonts w:ascii="Arial CE" w:hAnsi="Arial CE"/>
          <w:b/>
        </w:rPr>
        <w:br/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196C1D">
        <w:t>Devětsetdvacetšesttisícdvěstědvacetjedna</w:t>
      </w:r>
      <w:proofErr w:type="spellEnd"/>
      <w:r w:rsidR="00196C1D">
        <w:t xml:space="preserve"> </w:t>
      </w:r>
      <w:r w:rsidR="007F452F">
        <w:t xml:space="preserve">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12E04">
        <w:t xml:space="preserve"> </w:t>
      </w:r>
      <w:r w:rsidR="00C77F7F">
        <w:t>ke konci každé etapy provádění D</w:t>
      </w:r>
      <w:r>
        <w:t>íla</w:t>
      </w:r>
      <w:r w:rsidR="009443B8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9443B8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9443B8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9443B8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lastRenderedPageBreak/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9443B8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9443B8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9443B8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9443B8">
        <w:t xml:space="preserve"> </w:t>
      </w:r>
      <w:r w:rsidR="002235BA">
        <w:t>Minimální z</w:t>
      </w:r>
      <w:r w:rsidRPr="00CE3E04">
        <w:t>áruční doba</w:t>
      </w:r>
      <w:r w:rsidR="009443B8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9443B8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</w:t>
      </w:r>
      <w:proofErr w:type="spellStart"/>
      <w:r w:rsidRPr="00CE3E04">
        <w:t>č.</w:t>
      </w:r>
      <w:r w:rsidR="00257042">
        <w:t>xxxxx</w:t>
      </w:r>
      <w:proofErr w:type="spellEnd"/>
      <w:r w:rsidRPr="00CE3E04">
        <w:t xml:space="preserve"> </w:t>
      </w:r>
      <w:r w:rsidR="00257042">
        <w:t xml:space="preserve">   </w:t>
      </w:r>
      <w:r w:rsidRPr="00CE3E04">
        <w:t xml:space="preserve">nebo e-mailové </w:t>
      </w:r>
      <w:proofErr w:type="gramStart"/>
      <w:r w:rsidRPr="00CE3E04">
        <w:t>adrese</w:t>
      </w:r>
      <w:r w:rsidR="006E1E77">
        <w:t xml:space="preserve">  </w:t>
      </w:r>
      <w:proofErr w:type="spellStart"/>
      <w:r w:rsidR="00257042">
        <w:t>xxxxx</w:t>
      </w:r>
      <w:proofErr w:type="spellEnd"/>
      <w:proofErr w:type="gramEnd"/>
      <w:r>
        <w:t xml:space="preserve">. </w:t>
      </w:r>
      <w:proofErr w:type="gramStart"/>
      <w:r>
        <w:t>Zhotovitel</w:t>
      </w:r>
      <w:proofErr w:type="gramEnd"/>
      <w:r>
        <w:t xml:space="preserve">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Pr="006E1E77" w:rsidRDefault="00AB53AC" w:rsidP="00AB53AC">
      <w:pPr>
        <w:pStyle w:val="Druhrovesmlouvy"/>
      </w:pPr>
      <w:r w:rsidRPr="006E1E77">
        <w:t>Zhotovitel prohlašuje, že je pojištěn proti škodám způsobeným jeho činností dle této Smlouvy</w:t>
      </w:r>
      <w:r w:rsidR="00836602" w:rsidRPr="006E1E77">
        <w:t xml:space="preserve"> </w:t>
      </w:r>
      <w:r w:rsidR="00CC19E6" w:rsidRPr="006E1E77">
        <w:t>o Dílo</w:t>
      </w:r>
      <w:r w:rsidRPr="006E1E77">
        <w:t xml:space="preserve">. Pojistnou smlouvu má Zhotovitel uzavřenu na pojistné plnění </w:t>
      </w:r>
      <w:r w:rsidR="006E1E77" w:rsidRPr="006E1E77">
        <w:t>110 000 000,00</w:t>
      </w:r>
      <w:r w:rsidR="000B1EA1" w:rsidRPr="006E1E77">
        <w:t xml:space="preserve"> Kč</w:t>
      </w:r>
      <w:r w:rsidR="00836602" w:rsidRPr="006E1E77">
        <w:t xml:space="preserve"> </w:t>
      </w:r>
      <w:r w:rsidR="002235BA" w:rsidRPr="006E1E77">
        <w:t>u</w:t>
      </w:r>
      <w:r w:rsidR="006E1E77" w:rsidRPr="006E1E77">
        <w:t xml:space="preserve"> </w:t>
      </w:r>
      <w:proofErr w:type="spellStart"/>
      <w:r w:rsidR="006E1E77" w:rsidRPr="006E1E77">
        <w:t>Generali</w:t>
      </w:r>
      <w:proofErr w:type="spellEnd"/>
      <w:r w:rsidR="006E1E77" w:rsidRPr="006E1E77">
        <w:t xml:space="preserve"> pojišťovna a.s., Praha 2.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312E04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12E04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312E04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312E04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9443B8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</w:t>
      </w:r>
      <w:r w:rsidR="001646CD" w:rsidRPr="005F2960">
        <w:rPr>
          <w:color w:val="000000" w:themeColor="text1"/>
          <w:szCs w:val="24"/>
        </w:rPr>
        <w:lastRenderedPageBreak/>
        <w:t xml:space="preserve">smluvních stran, vymezení předmětu smlouvy, cena (případně hodnota předmětu smlouvy, lze-li ji určit), datum uzavření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BB3C40" w:rsidRDefault="00BB3C40" w:rsidP="00F92821">
      <w:pPr>
        <w:pStyle w:val="Neodsazentext"/>
        <w:rPr>
          <w:b/>
          <w:bCs/>
        </w:rPr>
      </w:pPr>
    </w:p>
    <w:p w:rsidR="00BB3C40" w:rsidRPr="005F2960" w:rsidRDefault="00BB3C40" w:rsidP="00BB3C40">
      <w:pPr>
        <w:pStyle w:val="PrvnrovesmlouvyNadpis"/>
        <w:numPr>
          <w:ilvl w:val="0"/>
          <w:numId w:val="45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závěrečná ustanovení</w:t>
      </w:r>
    </w:p>
    <w:p w:rsidR="00BB3C40" w:rsidRDefault="00BB3C40" w:rsidP="00BB3C40">
      <w:pPr>
        <w:pStyle w:val="Druhrovesmlouvy"/>
        <w:numPr>
          <w:ilvl w:val="1"/>
          <w:numId w:val="45"/>
        </w:numPr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BB3C40" w:rsidRDefault="00BB3C40" w:rsidP="00BB3C40">
      <w:pPr>
        <w:pStyle w:val="Druhrovesmlouvy"/>
        <w:numPr>
          <w:ilvl w:val="1"/>
          <w:numId w:val="45"/>
        </w:numPr>
      </w:pPr>
      <w:r>
        <w:t xml:space="preserve">Tato Smlouva </w:t>
      </w:r>
      <w:r w:rsidRPr="00F45592">
        <w:t>o Dílo</w:t>
      </w:r>
      <w:r>
        <w:t xml:space="preserve"> nabývá platnosti a účinnosti podpisem oběma Smluvními stranami. </w:t>
      </w:r>
    </w:p>
    <w:p w:rsidR="00BB3C40" w:rsidRDefault="00BB3C40" w:rsidP="00BB3C40">
      <w:pPr>
        <w:pStyle w:val="Druhrovesmlouvy"/>
        <w:numPr>
          <w:ilvl w:val="1"/>
          <w:numId w:val="45"/>
        </w:numPr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BB3C40" w:rsidRDefault="00BB3C40" w:rsidP="00BB3C40">
      <w:pPr>
        <w:pStyle w:val="Druhrovesmlouvy"/>
        <w:numPr>
          <w:ilvl w:val="1"/>
          <w:numId w:val="45"/>
        </w:numPr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BB3C40" w:rsidRDefault="00BB3C40" w:rsidP="00BB3C40">
      <w:pPr>
        <w:pStyle w:val="Druhrovesmlouvy"/>
        <w:numPr>
          <w:ilvl w:val="1"/>
          <w:numId w:val="45"/>
        </w:numPr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BB3C40" w:rsidRPr="004725DC" w:rsidRDefault="00BB3C40" w:rsidP="00BB3C40">
      <w:pPr>
        <w:pStyle w:val="Druhrovesmlouvy"/>
        <w:numPr>
          <w:ilvl w:val="1"/>
          <w:numId w:val="45"/>
        </w:numPr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A97EFE" w:rsidTr="00B46B8E">
              <w:trPr>
                <w:trHeight w:val="2060"/>
              </w:trPr>
              <w:tc>
                <w:tcPr>
                  <w:tcW w:w="4464" w:type="dxa"/>
                </w:tcPr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  <w:p w:rsidR="0009116A" w:rsidRDefault="0009116A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09116A" w:rsidRDefault="0009116A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4A3EFF" w:rsidRDefault="004A3EFF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Ing. Petr Bureš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ředitel obchodní divize</w:t>
                  </w:r>
                  <w:r w:rsidR="006E1E77">
                    <w:t xml:space="preserve">                                            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v </w:t>
                  </w:r>
                  <w:r w:rsidR="006E1E77">
                    <w:t>Praze</w:t>
                  </w:r>
                  <w:r>
                    <w:t xml:space="preserve"> dne 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09116A" w:rsidRDefault="0009116A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4A3EFF" w:rsidRDefault="004A3EFF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09116A" w:rsidRDefault="0009116A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6E1E77" w:rsidP="00B46B8E">
                  <w:pPr>
                    <w:pStyle w:val="Zkladntext"/>
                    <w:ind w:firstLine="0"/>
                    <w:jc w:val="left"/>
                  </w:pPr>
                  <w:r>
                    <w:t>Ing. Zdeněk Donát, Ph.D.</w:t>
                  </w:r>
                </w:p>
                <w:p w:rsidR="006E1E77" w:rsidRDefault="006E1E77" w:rsidP="00B46B8E">
                  <w:pPr>
                    <w:pStyle w:val="Zkladntext"/>
                    <w:ind w:firstLine="0"/>
                    <w:jc w:val="left"/>
                  </w:pPr>
                  <w:r>
                    <w:t>předseda představenstva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4A3EFF" w:rsidRDefault="004A3EFF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9443B8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811608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1699A" w:rsidRDefault="00E1699A" w:rsidP="00E1699A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1699A" w:rsidRPr="005F2960" w:rsidRDefault="00E1699A" w:rsidP="002418B0">
      <w:pPr>
        <w:pStyle w:val="Neodsazentext"/>
        <w:spacing w:after="0"/>
        <w:rPr>
          <w:color w:val="000000" w:themeColor="text1"/>
        </w:rPr>
      </w:pPr>
    </w:p>
    <w:sectPr w:rsidR="00E1699A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6" w:rsidRDefault="000711E6" w:rsidP="00FA7B21">
      <w:pPr>
        <w:spacing w:after="0"/>
      </w:pPr>
      <w:r>
        <w:separator/>
      </w:r>
    </w:p>
  </w:endnote>
  <w:endnote w:type="continuationSeparator" w:id="0">
    <w:p w:rsidR="000711E6" w:rsidRDefault="000711E6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0711E6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257042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257042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6" w:rsidRDefault="000711E6" w:rsidP="00FA7B21">
      <w:pPr>
        <w:spacing w:after="0"/>
      </w:pPr>
      <w:r>
        <w:separator/>
      </w:r>
    </w:p>
  </w:footnote>
  <w:footnote w:type="continuationSeparator" w:id="0">
    <w:p w:rsidR="000711E6" w:rsidRDefault="000711E6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FF5496" w:rsidP="00EE7A08">
    <w:pPr>
      <w:pStyle w:val="Zhlav"/>
      <w:ind w:firstLine="0"/>
      <w:rPr>
        <w:sz w:val="20"/>
        <w:szCs w:val="20"/>
      </w:rPr>
    </w:pPr>
    <w:r w:rsidRPr="00FF5496">
      <w:rPr>
        <w:sz w:val="20"/>
        <w:szCs w:val="20"/>
      </w:rPr>
      <w:t>Rekonstrukce odstavné plochy v areálu VDJ Kozinec, P15</w:t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1/4/K77/00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E610C8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9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8A54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3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6"/>
  </w:num>
  <w:num w:numId="7">
    <w:abstractNumId w:val="2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5"/>
  </w:num>
  <w:num w:numId="15">
    <w:abstractNumId w:val="18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4"/>
  </w:num>
  <w:num w:numId="25">
    <w:abstractNumId w:val="21"/>
  </w:num>
  <w:num w:numId="26">
    <w:abstractNumId w:val="22"/>
  </w:num>
  <w:num w:numId="27">
    <w:abstractNumId w:val="15"/>
  </w:num>
  <w:num w:numId="28">
    <w:abstractNumId w:val="11"/>
  </w:num>
  <w:num w:numId="29">
    <w:abstractNumId w:val="13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23"/>
  </w:num>
  <w:num w:numId="36">
    <w:abstractNumId w:val="18"/>
    <w:lvlOverride w:ilvl="0">
      <w:startOverride w:val="7"/>
    </w:lvlOverride>
    <w:lvlOverride w:ilvl="1">
      <w:startOverride w:val="3"/>
    </w:lvlOverride>
  </w:num>
  <w:num w:numId="37">
    <w:abstractNumId w:val="9"/>
  </w:num>
  <w:num w:numId="38">
    <w:abstractNumId w:val="14"/>
  </w:num>
  <w:num w:numId="39">
    <w:abstractNumId w:val="19"/>
  </w:num>
  <w:num w:numId="40">
    <w:abstractNumId w:val="18"/>
    <w:lvlOverride w:ilvl="0">
      <w:startOverride w:val="10"/>
    </w:lvlOverride>
    <w:lvlOverride w:ilvl="1">
      <w:startOverride w:val="1"/>
    </w:lvlOverride>
  </w:num>
  <w:num w:numId="41">
    <w:abstractNumId w:val="18"/>
    <w:lvlOverride w:ilvl="0">
      <w:startOverride w:val="10"/>
    </w:lvlOverride>
    <w:lvlOverride w:ilvl="1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11E6"/>
    <w:rsid w:val="00072910"/>
    <w:rsid w:val="00073C26"/>
    <w:rsid w:val="00081EA3"/>
    <w:rsid w:val="00086D81"/>
    <w:rsid w:val="00087676"/>
    <w:rsid w:val="0009116A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96C1D"/>
    <w:rsid w:val="001A395D"/>
    <w:rsid w:val="001A665A"/>
    <w:rsid w:val="001B288F"/>
    <w:rsid w:val="001B40D1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273AF"/>
    <w:rsid w:val="002418B0"/>
    <w:rsid w:val="00257042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310A60"/>
    <w:rsid w:val="00310CA5"/>
    <w:rsid w:val="00312E04"/>
    <w:rsid w:val="00317297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95471"/>
    <w:rsid w:val="004A399F"/>
    <w:rsid w:val="004A3EFF"/>
    <w:rsid w:val="004B083A"/>
    <w:rsid w:val="004B748E"/>
    <w:rsid w:val="004B79B2"/>
    <w:rsid w:val="004C1F3D"/>
    <w:rsid w:val="004C27DF"/>
    <w:rsid w:val="004D425F"/>
    <w:rsid w:val="004E295E"/>
    <w:rsid w:val="004F7D46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A76E8"/>
    <w:rsid w:val="005C283E"/>
    <w:rsid w:val="005D0885"/>
    <w:rsid w:val="005D3BB4"/>
    <w:rsid w:val="005D63A3"/>
    <w:rsid w:val="005D76F6"/>
    <w:rsid w:val="005E220B"/>
    <w:rsid w:val="005F07B1"/>
    <w:rsid w:val="005F2960"/>
    <w:rsid w:val="0060337C"/>
    <w:rsid w:val="0061371C"/>
    <w:rsid w:val="0061416F"/>
    <w:rsid w:val="0062683B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3922"/>
    <w:rsid w:val="006E1CC0"/>
    <w:rsid w:val="006E1E77"/>
    <w:rsid w:val="006F222F"/>
    <w:rsid w:val="006F3238"/>
    <w:rsid w:val="006F495E"/>
    <w:rsid w:val="006F7DA8"/>
    <w:rsid w:val="0071300B"/>
    <w:rsid w:val="00723B70"/>
    <w:rsid w:val="00726E2A"/>
    <w:rsid w:val="0073000F"/>
    <w:rsid w:val="007325F7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11608"/>
    <w:rsid w:val="00821D4B"/>
    <w:rsid w:val="008257CB"/>
    <w:rsid w:val="00827D41"/>
    <w:rsid w:val="00836602"/>
    <w:rsid w:val="008434C5"/>
    <w:rsid w:val="0084607F"/>
    <w:rsid w:val="00854C33"/>
    <w:rsid w:val="00855699"/>
    <w:rsid w:val="0085572C"/>
    <w:rsid w:val="0085618C"/>
    <w:rsid w:val="0086151F"/>
    <w:rsid w:val="00864D3E"/>
    <w:rsid w:val="008728DC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ABB"/>
    <w:rsid w:val="008A5D42"/>
    <w:rsid w:val="008B2FBF"/>
    <w:rsid w:val="008B3697"/>
    <w:rsid w:val="008B6966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443B8"/>
    <w:rsid w:val="00963B92"/>
    <w:rsid w:val="009672EA"/>
    <w:rsid w:val="009726DA"/>
    <w:rsid w:val="00976E1A"/>
    <w:rsid w:val="009777B7"/>
    <w:rsid w:val="00981C96"/>
    <w:rsid w:val="00990778"/>
    <w:rsid w:val="009B4537"/>
    <w:rsid w:val="009B52ED"/>
    <w:rsid w:val="009C2294"/>
    <w:rsid w:val="009C7C95"/>
    <w:rsid w:val="009E0915"/>
    <w:rsid w:val="009E7D3B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931F8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55F89"/>
    <w:rsid w:val="00B62354"/>
    <w:rsid w:val="00B81463"/>
    <w:rsid w:val="00B84D57"/>
    <w:rsid w:val="00B90B92"/>
    <w:rsid w:val="00BA48EE"/>
    <w:rsid w:val="00BA48FE"/>
    <w:rsid w:val="00BA4D41"/>
    <w:rsid w:val="00BB3C40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77E66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2B4"/>
    <w:rsid w:val="00DF6CED"/>
    <w:rsid w:val="00E076D0"/>
    <w:rsid w:val="00E07C84"/>
    <w:rsid w:val="00E13159"/>
    <w:rsid w:val="00E1699A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60DA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 xsi:nil="true"/>
    <_dlc_DocIdUrl xmlns="1bdf3a04-800d-4d93-9ce4-6fa103f5dead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4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850379-678F-41E0-9802-35A9CCE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16707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2016-10-19T06:19:00Z</cp:lastPrinted>
  <dcterms:created xsi:type="dcterms:W3CDTF">2016-10-25T08:09:00Z</dcterms:created>
  <dcterms:modified xsi:type="dcterms:W3CDTF">2016-10-25T08:09:00Z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