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A03DB" w14:textId="77777777" w:rsidR="00C0696A" w:rsidRDefault="00C0696A" w:rsidP="006C1373">
      <w:pPr>
        <w:spacing w:after="0" w:line="240" w:lineRule="auto"/>
        <w:jc w:val="center"/>
        <w:rPr>
          <w:rFonts w:ascii="UnitPro-Light" w:hAnsi="UnitPro-Light" w:cs="UnitPro-Light"/>
          <w:sz w:val="40"/>
          <w:szCs w:val="40"/>
        </w:rPr>
      </w:pPr>
      <w:bookmarkStart w:id="0" w:name="_GoBack"/>
      <w:bookmarkEnd w:id="0"/>
    </w:p>
    <w:p w14:paraId="56329C8F" w14:textId="77777777" w:rsidR="00C0696A" w:rsidRDefault="00C0696A" w:rsidP="006C1373">
      <w:pPr>
        <w:spacing w:after="0" w:line="240" w:lineRule="auto"/>
        <w:jc w:val="center"/>
        <w:rPr>
          <w:rFonts w:ascii="UnitPro-Light" w:hAnsi="UnitPro-Light" w:cs="UnitPro-Light"/>
          <w:sz w:val="40"/>
          <w:szCs w:val="40"/>
        </w:rPr>
      </w:pPr>
    </w:p>
    <w:p w14:paraId="6EACF609" w14:textId="77777777" w:rsidR="00C0696A" w:rsidRDefault="00C0696A" w:rsidP="006C1373">
      <w:pPr>
        <w:spacing w:after="0" w:line="240" w:lineRule="auto"/>
        <w:jc w:val="center"/>
        <w:rPr>
          <w:rFonts w:ascii="UnitPro-Light" w:hAnsi="UnitPro-Light" w:cs="UnitPro-Light"/>
          <w:sz w:val="40"/>
          <w:szCs w:val="40"/>
        </w:rPr>
      </w:pPr>
    </w:p>
    <w:p w14:paraId="7C679A2C" w14:textId="77777777" w:rsidR="00C0696A" w:rsidRDefault="00C0696A" w:rsidP="006C1373">
      <w:pPr>
        <w:spacing w:after="0" w:line="240" w:lineRule="auto"/>
        <w:jc w:val="center"/>
        <w:rPr>
          <w:rFonts w:ascii="UnitPro-Light" w:hAnsi="UnitPro-Light" w:cs="UnitPro-Light"/>
          <w:sz w:val="40"/>
          <w:szCs w:val="40"/>
        </w:rPr>
      </w:pPr>
    </w:p>
    <w:p w14:paraId="2D928132" w14:textId="77777777" w:rsidR="00C0696A" w:rsidRDefault="00C0696A" w:rsidP="006C1373">
      <w:pPr>
        <w:spacing w:after="0" w:line="240" w:lineRule="auto"/>
        <w:jc w:val="center"/>
        <w:rPr>
          <w:rFonts w:ascii="UnitPro-Light" w:hAnsi="UnitPro-Light" w:cs="UnitPro-Light"/>
          <w:sz w:val="40"/>
          <w:szCs w:val="40"/>
        </w:rPr>
      </w:pPr>
    </w:p>
    <w:p w14:paraId="687334B4" w14:textId="77777777" w:rsidR="00C0696A" w:rsidRDefault="00C0696A" w:rsidP="006C1373">
      <w:pPr>
        <w:spacing w:after="0" w:line="240" w:lineRule="auto"/>
        <w:jc w:val="center"/>
        <w:rPr>
          <w:rFonts w:ascii="UnitPro-Light" w:hAnsi="UnitPro-Light" w:cs="UnitPro-Light"/>
          <w:sz w:val="40"/>
          <w:szCs w:val="40"/>
        </w:rPr>
      </w:pPr>
    </w:p>
    <w:p w14:paraId="26B9B98E" w14:textId="77777777" w:rsidR="005B226E" w:rsidRPr="00443AD5" w:rsidRDefault="005B226E" w:rsidP="006C1373">
      <w:pPr>
        <w:spacing w:after="0" w:line="240" w:lineRule="auto"/>
        <w:jc w:val="center"/>
        <w:rPr>
          <w:rFonts w:ascii="UnitPro-Light" w:hAnsi="UnitPro-Light" w:cs="UnitPro-Light"/>
          <w:sz w:val="40"/>
          <w:szCs w:val="40"/>
        </w:rPr>
      </w:pPr>
      <w:r w:rsidRPr="00443AD5">
        <w:rPr>
          <w:rFonts w:ascii="UnitPro-Light" w:hAnsi="UnitPro-Light" w:cs="UnitPro-Light"/>
          <w:sz w:val="40"/>
          <w:szCs w:val="40"/>
        </w:rPr>
        <w:t>ZADÁNÍ</w:t>
      </w:r>
    </w:p>
    <w:p w14:paraId="3E104019" w14:textId="77777777" w:rsidR="00DD0C09" w:rsidRDefault="00DD0C09" w:rsidP="006C1373">
      <w:pPr>
        <w:spacing w:after="0" w:line="240" w:lineRule="auto"/>
        <w:jc w:val="center"/>
        <w:rPr>
          <w:rFonts w:ascii="UnitPro-Light" w:hAnsi="UnitPro-Light" w:cs="UnitPro-Light"/>
          <w:sz w:val="40"/>
          <w:szCs w:val="40"/>
        </w:rPr>
      </w:pPr>
      <w:r>
        <w:rPr>
          <w:rFonts w:ascii="UnitPro-Light" w:hAnsi="UnitPro-Light" w:cs="UnitPro-Light"/>
          <w:sz w:val="40"/>
          <w:szCs w:val="40"/>
        </w:rPr>
        <w:t>OBJEMOV</w:t>
      </w:r>
      <w:r w:rsidR="005B226E" w:rsidRPr="00443AD5">
        <w:rPr>
          <w:rFonts w:ascii="UnitPro-Light" w:hAnsi="UnitPro-Light" w:cs="UnitPro-Light"/>
          <w:sz w:val="40"/>
          <w:szCs w:val="40"/>
        </w:rPr>
        <w:t>É</w:t>
      </w:r>
      <w:r w:rsidR="00B35394" w:rsidRPr="00443AD5">
        <w:rPr>
          <w:rFonts w:ascii="UnitPro-Light" w:hAnsi="UnitPro-Light" w:cs="UnitPro-Light"/>
          <w:sz w:val="40"/>
          <w:szCs w:val="40"/>
        </w:rPr>
        <w:t xml:space="preserve"> STUDIE</w:t>
      </w:r>
    </w:p>
    <w:p w14:paraId="1077CBD0" w14:textId="68C96010" w:rsidR="00DE0E47" w:rsidRPr="00DD0C09" w:rsidRDefault="00DD0C09" w:rsidP="00DD0C09">
      <w:pPr>
        <w:spacing w:before="240" w:after="0" w:line="240" w:lineRule="auto"/>
        <w:jc w:val="center"/>
        <w:rPr>
          <w:rFonts w:ascii="UnitPro-Light" w:hAnsi="UnitPro-Light" w:cs="UnitPro-Light"/>
          <w:b/>
          <w:sz w:val="40"/>
          <w:szCs w:val="40"/>
        </w:rPr>
      </w:pPr>
      <w:r w:rsidRPr="00DD0C09">
        <w:rPr>
          <w:rFonts w:ascii="UnitPro-Light" w:hAnsi="UnitPro-Light" w:cs="UnitPro-Light"/>
          <w:b/>
          <w:sz w:val="40"/>
          <w:szCs w:val="40"/>
        </w:rPr>
        <w:t xml:space="preserve">SEVERNÍ ČÁSTI VRÚ HOLEŠOVICE </w:t>
      </w:r>
    </w:p>
    <w:p w14:paraId="5ED29E09" w14:textId="77777777" w:rsidR="00C0696A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105B74E" w14:textId="77777777" w:rsidR="00C72E07" w:rsidRPr="00443AD5" w:rsidRDefault="00C72E07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635604B9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760021CB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7E1D5ADC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7339C56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201772B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D4583FD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EE552CE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EA69722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7800B536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E34CBDB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A7D787C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A84046A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5AA2867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7BDCE5B6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64655F57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0077FEC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AC3491D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0D8C936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67ABD0C4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574D93A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EBE60BC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891DDE5" w14:textId="77777777" w:rsidR="00C0696A" w:rsidRPr="00443AD5" w:rsidRDefault="00C0696A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6EFA6C9C" w14:textId="77777777" w:rsidR="00DD0C09" w:rsidRDefault="00DD0C09" w:rsidP="00D858CC">
      <w:pPr>
        <w:spacing w:before="60" w:after="60" w:line="252" w:lineRule="auto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8259562" w14:textId="10772C51" w:rsidR="00AB61FE" w:rsidRPr="00443AD5" w:rsidRDefault="00EC5D1B" w:rsidP="00D858CC">
      <w:pPr>
        <w:spacing w:before="60" w:after="60" w:line="252" w:lineRule="auto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objednatel</w:t>
      </w:r>
      <w:r w:rsidR="006E1591" w:rsidRPr="00443AD5">
        <w:rPr>
          <w:rFonts w:ascii="UnitPro-Light" w:hAnsi="UnitPro-Light" w:cs="UnitPro-Light"/>
          <w:b/>
          <w:sz w:val="20"/>
          <w:szCs w:val="20"/>
        </w:rPr>
        <w:t xml:space="preserve">: </w:t>
      </w:r>
      <w:r w:rsidR="00B62520">
        <w:rPr>
          <w:rFonts w:ascii="UnitPro-Light" w:hAnsi="UnitPro-Light" w:cs="UnitPro-Light"/>
          <w:sz w:val="20"/>
          <w:szCs w:val="20"/>
        </w:rPr>
        <w:t>Institut plánování a rozvoje hlavního města Prahy</w:t>
      </w:r>
    </w:p>
    <w:p w14:paraId="74E09C0D" w14:textId="77777777" w:rsidR="00D40BD6" w:rsidRDefault="00DB21CB" w:rsidP="00D858CC">
      <w:pPr>
        <w:spacing w:before="60" w:after="60" w:line="252" w:lineRule="auto"/>
        <w:jc w:val="both"/>
        <w:rPr>
          <w:rFonts w:ascii="UnitPro-Light" w:hAnsi="UnitPro-Light" w:cs="UnitPro-Light"/>
          <w:sz w:val="20"/>
          <w:szCs w:val="20"/>
        </w:rPr>
      </w:pPr>
      <w:r w:rsidRPr="00443AD5">
        <w:rPr>
          <w:rFonts w:ascii="UnitPro-Light" w:hAnsi="UnitPro-Light" w:cs="UnitPro-Light"/>
          <w:b/>
          <w:sz w:val="20"/>
          <w:szCs w:val="20"/>
        </w:rPr>
        <w:t xml:space="preserve">zhotovitel </w:t>
      </w:r>
      <w:r w:rsidR="00DD0C09">
        <w:rPr>
          <w:rFonts w:ascii="UnitPro-Light" w:hAnsi="UnitPro-Light" w:cs="UnitPro-Light"/>
          <w:b/>
          <w:sz w:val="20"/>
          <w:szCs w:val="20"/>
        </w:rPr>
        <w:t>objemov</w:t>
      </w:r>
      <w:r w:rsidRPr="00443AD5">
        <w:rPr>
          <w:rFonts w:ascii="UnitPro-Light" w:hAnsi="UnitPro-Light" w:cs="UnitPro-Light"/>
          <w:b/>
          <w:sz w:val="20"/>
          <w:szCs w:val="20"/>
        </w:rPr>
        <w:t>é studie:</w:t>
      </w:r>
      <w:r w:rsidRPr="00443AD5">
        <w:rPr>
          <w:rFonts w:ascii="UnitPro-Light" w:hAnsi="UnitPro-Light" w:cs="UnitPro-Light"/>
          <w:sz w:val="20"/>
          <w:szCs w:val="20"/>
        </w:rPr>
        <w:t xml:space="preserve"> </w:t>
      </w:r>
      <w:r w:rsidR="00DD0C09" w:rsidRPr="00DD0C09">
        <w:rPr>
          <w:rFonts w:ascii="UnitPro-Light" w:hAnsi="UnitPro-Light" w:cs="UnitPro-Light"/>
          <w:sz w:val="20"/>
          <w:szCs w:val="20"/>
        </w:rPr>
        <w:t xml:space="preserve">Thomas Müller Ivan Reimann, </w:t>
      </w:r>
      <w:proofErr w:type="spellStart"/>
      <w:r w:rsidR="00DD0C09" w:rsidRPr="00DD0C09">
        <w:rPr>
          <w:rFonts w:ascii="UnitPro-Light" w:hAnsi="UnitPro-Light" w:cs="UnitPro-Light"/>
          <w:sz w:val="20"/>
          <w:szCs w:val="20"/>
        </w:rPr>
        <w:t>Gesellschaft</w:t>
      </w:r>
      <w:proofErr w:type="spellEnd"/>
      <w:r w:rsidR="00DD0C09" w:rsidRPr="00DD0C09">
        <w:rPr>
          <w:rFonts w:ascii="UnitPro-Light" w:hAnsi="UnitPro-Light" w:cs="UnitPro-Light"/>
          <w:sz w:val="20"/>
          <w:szCs w:val="20"/>
        </w:rPr>
        <w:t xml:space="preserve"> von </w:t>
      </w:r>
      <w:proofErr w:type="spellStart"/>
      <w:r w:rsidR="00DD0C09" w:rsidRPr="00DD0C09">
        <w:rPr>
          <w:rFonts w:ascii="UnitPro-Light" w:hAnsi="UnitPro-Light" w:cs="UnitPro-Light"/>
          <w:sz w:val="20"/>
          <w:szCs w:val="20"/>
        </w:rPr>
        <w:t>Architekten</w:t>
      </w:r>
      <w:proofErr w:type="spellEnd"/>
      <w:r w:rsidR="00DD0C09" w:rsidRPr="00DD0C09">
        <w:rPr>
          <w:rFonts w:ascii="UnitPro-Light" w:hAnsi="UnitPro-Light" w:cs="UnitPro-Light"/>
          <w:sz w:val="20"/>
          <w:szCs w:val="20"/>
        </w:rPr>
        <w:t xml:space="preserve"> </w:t>
      </w:r>
      <w:proofErr w:type="spellStart"/>
      <w:r w:rsidR="00DD0C09" w:rsidRPr="00DD0C09">
        <w:rPr>
          <w:rFonts w:ascii="UnitPro-Light" w:hAnsi="UnitPro-Light" w:cs="UnitPro-Light"/>
          <w:sz w:val="20"/>
          <w:szCs w:val="20"/>
        </w:rPr>
        <w:t>mbH</w:t>
      </w:r>
      <w:proofErr w:type="spellEnd"/>
    </w:p>
    <w:p w14:paraId="67CF9B8D" w14:textId="77777777" w:rsidR="00D40BD6" w:rsidRDefault="00D40BD6">
      <w:pPr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br w:type="page"/>
      </w:r>
    </w:p>
    <w:p w14:paraId="228F61BE" w14:textId="77777777" w:rsidR="00D40BD6" w:rsidRPr="00D40BD6" w:rsidRDefault="00D40BD6" w:rsidP="00D40BD6">
      <w:pPr>
        <w:spacing w:before="240" w:line="252" w:lineRule="auto"/>
        <w:rPr>
          <w:rFonts w:ascii="UnitPro-Light" w:hAnsi="UnitPro-Light" w:cs="UnitPro-Light"/>
          <w:b/>
          <w:sz w:val="24"/>
          <w:szCs w:val="24"/>
        </w:rPr>
      </w:pPr>
      <w:r w:rsidRPr="00D40BD6">
        <w:rPr>
          <w:rFonts w:ascii="UnitPro-Light" w:hAnsi="UnitPro-Light" w:cs="UnitPro-Light"/>
          <w:b/>
          <w:sz w:val="24"/>
          <w:szCs w:val="24"/>
        </w:rPr>
        <w:lastRenderedPageBreak/>
        <w:t>O</w:t>
      </w:r>
      <w:r>
        <w:rPr>
          <w:rFonts w:ascii="UnitPro-Light" w:hAnsi="UnitPro-Light" w:cs="UnitPro-Light"/>
          <w:b/>
          <w:sz w:val="24"/>
          <w:szCs w:val="24"/>
        </w:rPr>
        <w:t xml:space="preserve">BSAH ZADÁNÍ </w:t>
      </w:r>
      <w:r w:rsidR="0085612F" w:rsidRPr="0085612F">
        <w:rPr>
          <w:rFonts w:ascii="UnitPro-Light" w:hAnsi="UnitPro-Light" w:cs="UnitPro-Light"/>
          <w:b/>
          <w:sz w:val="24"/>
          <w:szCs w:val="24"/>
        </w:rPr>
        <w:t>OBJEMOVÉ STUDIE</w:t>
      </w:r>
    </w:p>
    <w:p w14:paraId="71A5709D" w14:textId="77777777" w:rsidR="00D40BD6" w:rsidRPr="00994E7A" w:rsidRDefault="00D40BD6" w:rsidP="00994E7A">
      <w:pPr>
        <w:ind w:left="426" w:hanging="426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1</w:t>
      </w:r>
      <w:r w:rsidRPr="00D40BD6">
        <w:rPr>
          <w:rFonts w:ascii="UnitPro-Light" w:hAnsi="UnitPro-Light" w:cs="UnitPro-Light"/>
          <w:b/>
          <w:sz w:val="20"/>
          <w:szCs w:val="20"/>
        </w:rPr>
        <w:t>]</w:t>
      </w:r>
      <w:r w:rsidR="00994E7A">
        <w:rPr>
          <w:rFonts w:ascii="UnitPro-Light" w:hAnsi="UnitPro-Light" w:cs="UnitPro-Light"/>
          <w:b/>
          <w:sz w:val="20"/>
          <w:szCs w:val="20"/>
        </w:rPr>
        <w:tab/>
      </w:r>
      <w:r>
        <w:rPr>
          <w:rFonts w:ascii="UnitPro-Light" w:hAnsi="UnitPro-Light" w:cs="UnitPro-Light"/>
          <w:b/>
          <w:sz w:val="20"/>
          <w:szCs w:val="20"/>
        </w:rPr>
        <w:t xml:space="preserve">Účel zpracování </w:t>
      </w:r>
      <w:r w:rsidR="0085612F">
        <w:rPr>
          <w:rFonts w:ascii="UnitPro-Light" w:hAnsi="UnitPro-Light" w:cs="UnitPro-Light"/>
          <w:b/>
          <w:sz w:val="20"/>
          <w:szCs w:val="20"/>
        </w:rPr>
        <w:t>objemov</w:t>
      </w:r>
      <w:r>
        <w:rPr>
          <w:rFonts w:ascii="UnitPro-Light" w:hAnsi="UnitPro-Light" w:cs="UnitPro-Light"/>
          <w:b/>
          <w:sz w:val="20"/>
          <w:szCs w:val="20"/>
        </w:rPr>
        <w:t>é studie</w:t>
      </w:r>
    </w:p>
    <w:p w14:paraId="72DE38E2" w14:textId="77777777" w:rsidR="00D40BD6" w:rsidRPr="00994E7A" w:rsidRDefault="00D40BD6" w:rsidP="00994E7A">
      <w:pPr>
        <w:ind w:left="426" w:hanging="426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2</w:t>
      </w:r>
      <w:r w:rsidRPr="00D40BD6">
        <w:rPr>
          <w:rFonts w:ascii="UnitPro-Light" w:hAnsi="UnitPro-Light" w:cs="UnitPro-Light"/>
          <w:b/>
          <w:sz w:val="20"/>
          <w:szCs w:val="20"/>
        </w:rPr>
        <w:t>]</w:t>
      </w:r>
      <w:r>
        <w:rPr>
          <w:rFonts w:ascii="UnitPro-Light" w:hAnsi="UnitPro-Light" w:cs="UnitPro-Light"/>
          <w:b/>
          <w:sz w:val="20"/>
          <w:szCs w:val="20"/>
        </w:rPr>
        <w:tab/>
        <w:t xml:space="preserve">Cíl zpracování </w:t>
      </w:r>
      <w:r w:rsidR="0085612F">
        <w:rPr>
          <w:rFonts w:ascii="UnitPro-Light" w:hAnsi="UnitPro-Light" w:cs="UnitPro-Light"/>
          <w:b/>
          <w:sz w:val="20"/>
          <w:szCs w:val="20"/>
        </w:rPr>
        <w:t>objemové studie</w:t>
      </w:r>
    </w:p>
    <w:p w14:paraId="52392E10" w14:textId="77777777" w:rsidR="00D40BD6" w:rsidRPr="00994E7A" w:rsidRDefault="00D40BD6" w:rsidP="00994E7A">
      <w:pPr>
        <w:ind w:left="426" w:hanging="426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3</w:t>
      </w:r>
      <w:r w:rsidRPr="00D40BD6">
        <w:rPr>
          <w:rFonts w:ascii="UnitPro-Light" w:hAnsi="UnitPro-Light" w:cs="UnitPro-Light"/>
          <w:b/>
          <w:sz w:val="20"/>
          <w:szCs w:val="20"/>
        </w:rPr>
        <w:t>]</w:t>
      </w:r>
      <w:r>
        <w:rPr>
          <w:rFonts w:ascii="UnitPro-Light" w:hAnsi="UnitPro-Light" w:cs="UnitPro-Light"/>
          <w:b/>
          <w:sz w:val="20"/>
          <w:szCs w:val="20"/>
        </w:rPr>
        <w:tab/>
        <w:t>Vymezení řešeného území</w:t>
      </w:r>
    </w:p>
    <w:p w14:paraId="76A8EE4E" w14:textId="77777777" w:rsidR="00D40BD6" w:rsidRPr="00994E7A" w:rsidRDefault="00D40BD6" w:rsidP="00994E7A">
      <w:pPr>
        <w:ind w:left="426" w:hanging="426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4</w:t>
      </w:r>
      <w:r w:rsidRPr="00D40BD6">
        <w:rPr>
          <w:rFonts w:ascii="UnitPro-Light" w:hAnsi="UnitPro-Light" w:cs="UnitPro-Light"/>
          <w:b/>
          <w:sz w:val="20"/>
          <w:szCs w:val="20"/>
        </w:rPr>
        <w:t>]</w:t>
      </w:r>
      <w:r>
        <w:rPr>
          <w:rFonts w:ascii="UnitPro-Light" w:hAnsi="UnitPro-Light" w:cs="UnitPro-Light"/>
          <w:b/>
          <w:sz w:val="20"/>
          <w:szCs w:val="20"/>
        </w:rPr>
        <w:tab/>
        <w:t>Podklady</w:t>
      </w:r>
    </w:p>
    <w:p w14:paraId="49CB2603" w14:textId="77777777" w:rsidR="00D40BD6" w:rsidRPr="00994E7A" w:rsidRDefault="00156D07" w:rsidP="00994E7A">
      <w:pPr>
        <w:ind w:left="426" w:hanging="426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5</w:t>
      </w:r>
      <w:r w:rsidR="00D40BD6" w:rsidRPr="00D40BD6">
        <w:rPr>
          <w:rFonts w:ascii="UnitPro-Light" w:hAnsi="UnitPro-Light" w:cs="UnitPro-Light"/>
          <w:b/>
          <w:sz w:val="20"/>
          <w:szCs w:val="20"/>
        </w:rPr>
        <w:t>]</w:t>
      </w:r>
      <w:r w:rsidR="00D40BD6">
        <w:rPr>
          <w:rFonts w:ascii="UnitPro-Light" w:hAnsi="UnitPro-Light" w:cs="UnitPro-Light"/>
          <w:b/>
          <w:sz w:val="20"/>
          <w:szCs w:val="20"/>
        </w:rPr>
        <w:tab/>
        <w:t>Konkrétní požadavky na řešení</w:t>
      </w:r>
    </w:p>
    <w:p w14:paraId="117E2EB7" w14:textId="77777777" w:rsidR="00D40BD6" w:rsidRPr="00994E7A" w:rsidRDefault="00156D07" w:rsidP="00994E7A">
      <w:pPr>
        <w:ind w:left="426" w:hanging="426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6</w:t>
      </w:r>
      <w:r w:rsidR="00D40BD6" w:rsidRPr="00D40BD6">
        <w:rPr>
          <w:rFonts w:ascii="UnitPro-Light" w:hAnsi="UnitPro-Light" w:cs="UnitPro-Light"/>
          <w:b/>
          <w:sz w:val="20"/>
          <w:szCs w:val="20"/>
        </w:rPr>
        <w:t>]</w:t>
      </w:r>
      <w:r w:rsidR="00D40BD6">
        <w:rPr>
          <w:rFonts w:ascii="UnitPro-Light" w:hAnsi="UnitPro-Light" w:cs="UnitPro-Light"/>
          <w:b/>
          <w:sz w:val="20"/>
          <w:szCs w:val="20"/>
        </w:rPr>
        <w:tab/>
        <w:t xml:space="preserve">Požadavky na formu obsahu </w:t>
      </w:r>
      <w:r w:rsidR="0085612F">
        <w:rPr>
          <w:rFonts w:ascii="UnitPro-Light" w:hAnsi="UnitPro-Light" w:cs="UnitPro-Light"/>
          <w:b/>
          <w:sz w:val="20"/>
          <w:szCs w:val="20"/>
        </w:rPr>
        <w:t>objemové studie</w:t>
      </w:r>
    </w:p>
    <w:p w14:paraId="30D2CBFE" w14:textId="77777777" w:rsidR="00156D07" w:rsidRDefault="00156D07">
      <w:pPr>
        <w:rPr>
          <w:rFonts w:ascii="UnitPro-Light" w:hAnsi="UnitPro-Light" w:cs="UnitPro-Light"/>
          <w:b/>
          <w:sz w:val="24"/>
          <w:szCs w:val="24"/>
        </w:rPr>
      </w:pPr>
      <w:r>
        <w:rPr>
          <w:rFonts w:ascii="UnitPro-Light" w:hAnsi="UnitPro-Light" w:cs="UnitPro-Light"/>
          <w:b/>
          <w:sz w:val="24"/>
          <w:szCs w:val="24"/>
        </w:rPr>
        <w:br w:type="page"/>
      </w:r>
    </w:p>
    <w:p w14:paraId="21E89AE1" w14:textId="77777777" w:rsidR="005B226E" w:rsidRPr="00443AD5" w:rsidRDefault="00BB6E38" w:rsidP="00156D07">
      <w:pPr>
        <w:spacing w:before="240" w:after="120" w:line="252" w:lineRule="auto"/>
        <w:rPr>
          <w:rFonts w:ascii="UnitPro-Light" w:hAnsi="UnitPro-Light" w:cs="UnitPro-Light"/>
          <w:b/>
          <w:sz w:val="24"/>
          <w:szCs w:val="24"/>
        </w:rPr>
      </w:pPr>
      <w:r>
        <w:rPr>
          <w:rFonts w:ascii="UnitPro-Light" w:hAnsi="UnitPro-Light" w:cs="UnitPro-Light"/>
          <w:b/>
          <w:sz w:val="24"/>
          <w:szCs w:val="24"/>
        </w:rPr>
        <w:lastRenderedPageBreak/>
        <w:t>[</w:t>
      </w:r>
      <w:r w:rsidR="00CA15AA" w:rsidRPr="00443AD5">
        <w:rPr>
          <w:rFonts w:ascii="UnitPro-Light" w:hAnsi="UnitPro-Light" w:cs="UnitPro-Light"/>
          <w:b/>
          <w:sz w:val="24"/>
          <w:szCs w:val="24"/>
        </w:rPr>
        <w:t>1</w:t>
      </w:r>
      <w:r w:rsidR="005B226E" w:rsidRPr="00443AD5">
        <w:rPr>
          <w:rFonts w:ascii="UnitPro-Light" w:hAnsi="UnitPro-Light" w:cs="UnitPro-Light"/>
          <w:b/>
          <w:sz w:val="24"/>
          <w:szCs w:val="24"/>
        </w:rPr>
        <w:t xml:space="preserve">] ÚČEL ZPRACOVÁNÍ </w:t>
      </w:r>
      <w:r w:rsidR="0085612F" w:rsidRPr="0085612F">
        <w:rPr>
          <w:rFonts w:ascii="UnitPro-Light" w:hAnsi="UnitPro-Light" w:cs="UnitPro-Light"/>
          <w:b/>
          <w:sz w:val="24"/>
          <w:szCs w:val="24"/>
        </w:rPr>
        <w:t>OBJEMOVÉ STUDIE</w:t>
      </w:r>
    </w:p>
    <w:p w14:paraId="738A67C7" w14:textId="77777777" w:rsidR="00FB7DF1" w:rsidRPr="00443AD5" w:rsidRDefault="00156D07" w:rsidP="00156D07">
      <w:pPr>
        <w:spacing w:before="60" w:after="0" w:line="252" w:lineRule="auto"/>
        <w:jc w:val="both"/>
        <w:rPr>
          <w:rFonts w:ascii="UnitPro-Light" w:hAnsi="UnitPro-Light" w:cs="UnitPro-Light"/>
          <w:sz w:val="20"/>
          <w:szCs w:val="20"/>
        </w:rPr>
      </w:pPr>
      <w:r w:rsidRPr="00156D07">
        <w:rPr>
          <w:rFonts w:ascii="UnitPro-Light" w:hAnsi="UnitPro-Light" w:cs="UnitPro-Light"/>
          <w:sz w:val="20"/>
          <w:szCs w:val="20"/>
        </w:rPr>
        <w:t xml:space="preserve">Usnesením Rady hlavního města Prahy č. 2798 ze dne 15. 11. 2016 bylo Institutu plánování a rozvoje uloženo zahájit práce na územní studii ke změně územního plánu Z 2531/00 Holešovice Bubny – Zátory. </w:t>
      </w:r>
      <w:r w:rsidR="0085612F">
        <w:rPr>
          <w:rFonts w:ascii="UnitPro-Light" w:hAnsi="UnitPro-Light" w:cs="UnitPro-Light"/>
          <w:sz w:val="20"/>
          <w:szCs w:val="20"/>
        </w:rPr>
        <w:t>O</w:t>
      </w:r>
      <w:r w:rsidRPr="00156D07">
        <w:rPr>
          <w:rFonts w:ascii="UnitPro-Light" w:hAnsi="UnitPro-Light" w:cs="UnitPro-Light"/>
          <w:sz w:val="20"/>
          <w:szCs w:val="20"/>
        </w:rPr>
        <w:t>bjemov</w:t>
      </w:r>
      <w:r w:rsidR="0085612F">
        <w:rPr>
          <w:rFonts w:ascii="UnitPro-Light" w:hAnsi="UnitPro-Light" w:cs="UnitPro-Light"/>
          <w:sz w:val="20"/>
          <w:szCs w:val="20"/>
        </w:rPr>
        <w:t xml:space="preserve">á studie </w:t>
      </w:r>
      <w:r w:rsidRPr="00156D07">
        <w:rPr>
          <w:rFonts w:ascii="UnitPro-Light" w:hAnsi="UnitPro-Light" w:cs="UnitPro-Light"/>
          <w:sz w:val="20"/>
          <w:szCs w:val="20"/>
        </w:rPr>
        <w:t>podrobněj</w:t>
      </w:r>
      <w:r w:rsidR="0085612F">
        <w:rPr>
          <w:rFonts w:ascii="UnitPro-Light" w:hAnsi="UnitPro-Light" w:cs="UnitPro-Light"/>
          <w:sz w:val="20"/>
          <w:szCs w:val="20"/>
        </w:rPr>
        <w:t>i</w:t>
      </w:r>
      <w:r w:rsidRPr="00156D07">
        <w:rPr>
          <w:rFonts w:ascii="UnitPro-Light" w:hAnsi="UnitPro-Light" w:cs="UnitPro-Light"/>
          <w:sz w:val="20"/>
          <w:szCs w:val="20"/>
        </w:rPr>
        <w:t xml:space="preserve"> prověří severní část VRÚ</w:t>
      </w:r>
      <w:r w:rsidR="0085612F">
        <w:rPr>
          <w:rFonts w:ascii="UnitPro-Light" w:hAnsi="UnitPro-Light" w:cs="UnitPro-Light"/>
          <w:sz w:val="20"/>
          <w:szCs w:val="20"/>
        </w:rPr>
        <w:t xml:space="preserve"> Holešovice a bude sloužit jako podklad pro územní studii</w:t>
      </w:r>
      <w:r w:rsidRPr="00156D07">
        <w:rPr>
          <w:rFonts w:ascii="UnitPro-Light" w:hAnsi="UnitPro-Light" w:cs="UnitPro-Light"/>
          <w:sz w:val="20"/>
          <w:szCs w:val="20"/>
        </w:rPr>
        <w:t>.</w:t>
      </w:r>
    </w:p>
    <w:p w14:paraId="1FBC266B" w14:textId="77777777" w:rsidR="00B80575" w:rsidRPr="00443AD5" w:rsidRDefault="00BB6E38" w:rsidP="00156D07">
      <w:pPr>
        <w:spacing w:before="240" w:after="120" w:line="252" w:lineRule="auto"/>
        <w:rPr>
          <w:rFonts w:ascii="UnitPro-Light" w:hAnsi="UnitPro-Light" w:cs="UnitPro-Light"/>
          <w:b/>
          <w:sz w:val="24"/>
          <w:szCs w:val="24"/>
        </w:rPr>
      </w:pPr>
      <w:r>
        <w:rPr>
          <w:rFonts w:ascii="UnitPro-Light" w:hAnsi="UnitPro-Light" w:cs="UnitPro-Light"/>
          <w:b/>
          <w:sz w:val="24"/>
          <w:szCs w:val="24"/>
        </w:rPr>
        <w:t>[</w:t>
      </w:r>
      <w:r w:rsidR="00CA15AA" w:rsidRPr="00443AD5">
        <w:rPr>
          <w:rFonts w:ascii="UnitPro-Light" w:hAnsi="UnitPro-Light" w:cs="UnitPro-Light"/>
          <w:b/>
          <w:sz w:val="24"/>
          <w:szCs w:val="24"/>
        </w:rPr>
        <w:t>2</w:t>
      </w:r>
      <w:r w:rsidR="00B80575" w:rsidRPr="00443AD5">
        <w:rPr>
          <w:rFonts w:ascii="UnitPro-Light" w:hAnsi="UnitPro-Light" w:cs="UnitPro-Light"/>
          <w:b/>
          <w:sz w:val="24"/>
          <w:szCs w:val="24"/>
        </w:rPr>
        <w:t xml:space="preserve">] CÍL ZPRACOVÁNÍ </w:t>
      </w:r>
      <w:r w:rsidR="0085612F" w:rsidRPr="0085612F">
        <w:rPr>
          <w:rFonts w:ascii="UnitPro-Light" w:hAnsi="UnitPro-Light" w:cs="UnitPro-Light"/>
          <w:b/>
          <w:sz w:val="24"/>
          <w:szCs w:val="24"/>
        </w:rPr>
        <w:t>OBJEMOVÉ STUDIE</w:t>
      </w:r>
    </w:p>
    <w:p w14:paraId="101AAAB8" w14:textId="51414421" w:rsidR="00256678" w:rsidRPr="00156D07" w:rsidRDefault="00156D07" w:rsidP="00156D07">
      <w:pPr>
        <w:spacing w:before="60" w:after="0" w:line="252" w:lineRule="auto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O</w:t>
      </w:r>
      <w:r w:rsidRPr="00156D07">
        <w:rPr>
          <w:rFonts w:ascii="UnitPro-Light" w:hAnsi="UnitPro-Light" w:cs="UnitPro-Light"/>
          <w:sz w:val="20"/>
          <w:szCs w:val="20"/>
        </w:rPr>
        <w:t>bjemov</w:t>
      </w:r>
      <w:r>
        <w:rPr>
          <w:rFonts w:ascii="UnitPro-Light" w:hAnsi="UnitPro-Light" w:cs="UnitPro-Light"/>
          <w:sz w:val="20"/>
          <w:szCs w:val="20"/>
        </w:rPr>
        <w:t>á</w:t>
      </w:r>
      <w:r w:rsidRPr="00156D07">
        <w:rPr>
          <w:rFonts w:ascii="UnitPro-Light" w:hAnsi="UnitPro-Light" w:cs="UnitPro-Light"/>
          <w:sz w:val="20"/>
          <w:szCs w:val="20"/>
        </w:rPr>
        <w:t xml:space="preserve"> studie podrobněj</w:t>
      </w:r>
      <w:r>
        <w:rPr>
          <w:rFonts w:ascii="UnitPro-Light" w:hAnsi="UnitPro-Light" w:cs="UnitPro-Light"/>
          <w:sz w:val="20"/>
          <w:szCs w:val="20"/>
        </w:rPr>
        <w:t>i</w:t>
      </w:r>
      <w:r w:rsidRPr="00156D07">
        <w:rPr>
          <w:rFonts w:ascii="UnitPro-Light" w:hAnsi="UnitPro-Light" w:cs="UnitPro-Light"/>
          <w:sz w:val="20"/>
          <w:szCs w:val="20"/>
        </w:rPr>
        <w:t xml:space="preserve"> prověří severní část VRÚ</w:t>
      </w:r>
      <w:r>
        <w:rPr>
          <w:rFonts w:ascii="UnitPro-Light" w:hAnsi="UnitPro-Light" w:cs="UnitPro-Light"/>
          <w:sz w:val="20"/>
          <w:szCs w:val="20"/>
        </w:rPr>
        <w:t xml:space="preserve"> </w:t>
      </w:r>
      <w:r w:rsidRPr="00156D07">
        <w:rPr>
          <w:rFonts w:ascii="UnitPro-Light" w:hAnsi="UnitPro-Light" w:cs="UnitPro-Light"/>
          <w:sz w:val="20"/>
          <w:szCs w:val="20"/>
        </w:rPr>
        <w:t>a možnosti umístění administrativních budov pro 10</w:t>
      </w:r>
      <w:r w:rsidR="00EC5D1B">
        <w:rPr>
          <w:rFonts w:ascii="UnitPro-Light" w:hAnsi="UnitPro-Light" w:cs="UnitPro-Light"/>
          <w:sz w:val="20"/>
          <w:szCs w:val="20"/>
        </w:rPr>
        <w:t> </w:t>
      </w:r>
      <w:r w:rsidRPr="00156D07">
        <w:rPr>
          <w:rFonts w:ascii="UnitPro-Light" w:hAnsi="UnitPro-Light" w:cs="UnitPro-Light"/>
          <w:sz w:val="20"/>
          <w:szCs w:val="20"/>
        </w:rPr>
        <w:t>000 pracovníků, včetně zázemí s předpokládanou kapacitou hrubých podlažních ploch (dále jen HPP) do 240</w:t>
      </w:r>
      <w:r w:rsidR="00EC5D1B">
        <w:rPr>
          <w:rFonts w:ascii="UnitPro-Light" w:hAnsi="UnitPro-Light" w:cs="UnitPro-Light"/>
          <w:sz w:val="20"/>
          <w:szCs w:val="20"/>
        </w:rPr>
        <w:t> </w:t>
      </w:r>
      <w:r w:rsidRPr="00156D07">
        <w:rPr>
          <w:rFonts w:ascii="UnitPro-Light" w:hAnsi="UnitPro-Light" w:cs="UnitPro-Light"/>
          <w:sz w:val="20"/>
          <w:szCs w:val="20"/>
        </w:rPr>
        <w:t>000 m</w:t>
      </w:r>
      <w:r w:rsidRPr="00156D07">
        <w:rPr>
          <w:rFonts w:ascii="UnitPro-Light" w:hAnsi="UnitPro-Light" w:cs="UnitPro-Light"/>
          <w:sz w:val="20"/>
          <w:szCs w:val="20"/>
          <w:vertAlign w:val="superscript"/>
        </w:rPr>
        <w:t>2</w:t>
      </w:r>
      <w:r>
        <w:rPr>
          <w:rFonts w:ascii="UnitPro-Light" w:hAnsi="UnitPro-Light" w:cs="UnitPro-Light"/>
          <w:sz w:val="20"/>
          <w:szCs w:val="20"/>
        </w:rPr>
        <w:t>.</w:t>
      </w:r>
    </w:p>
    <w:p w14:paraId="6A141222" w14:textId="77777777" w:rsidR="00B80575" w:rsidRPr="00443AD5" w:rsidRDefault="00BB6E38" w:rsidP="00156D07">
      <w:pPr>
        <w:spacing w:before="240" w:after="120" w:line="252" w:lineRule="auto"/>
        <w:rPr>
          <w:rFonts w:ascii="UnitPro-Light" w:hAnsi="UnitPro-Light" w:cs="UnitPro-Light"/>
          <w:b/>
          <w:sz w:val="24"/>
          <w:szCs w:val="24"/>
        </w:rPr>
      </w:pPr>
      <w:r>
        <w:rPr>
          <w:rFonts w:ascii="UnitPro-Light" w:hAnsi="UnitPro-Light" w:cs="UnitPro-Light"/>
          <w:b/>
          <w:sz w:val="24"/>
          <w:szCs w:val="24"/>
        </w:rPr>
        <w:t>[</w:t>
      </w:r>
      <w:r w:rsidR="00CA15AA" w:rsidRPr="00443AD5">
        <w:rPr>
          <w:rFonts w:ascii="UnitPro-Light" w:hAnsi="UnitPro-Light" w:cs="UnitPro-Light"/>
          <w:b/>
          <w:sz w:val="24"/>
          <w:szCs w:val="24"/>
        </w:rPr>
        <w:t>3</w:t>
      </w:r>
      <w:r w:rsidR="00B80575" w:rsidRPr="00443AD5">
        <w:rPr>
          <w:rFonts w:ascii="UnitPro-Light" w:hAnsi="UnitPro-Light" w:cs="UnitPro-Light"/>
          <w:b/>
          <w:sz w:val="24"/>
          <w:szCs w:val="24"/>
        </w:rPr>
        <w:t xml:space="preserve">] </w:t>
      </w:r>
      <w:r w:rsidR="00D470A7" w:rsidRPr="00443AD5">
        <w:rPr>
          <w:rFonts w:ascii="UnitPro-Light" w:hAnsi="UnitPro-Light" w:cs="UnitPro-Light"/>
          <w:b/>
          <w:sz w:val="24"/>
          <w:szCs w:val="24"/>
        </w:rPr>
        <w:t xml:space="preserve">VYMEZENÍ </w:t>
      </w:r>
      <w:r w:rsidR="00B80575" w:rsidRPr="00443AD5">
        <w:rPr>
          <w:rFonts w:ascii="UnitPro-Light" w:hAnsi="UnitPro-Light" w:cs="UnitPro-Light"/>
          <w:b/>
          <w:sz w:val="24"/>
          <w:szCs w:val="24"/>
        </w:rPr>
        <w:t>ŘEŠENÉ</w:t>
      </w:r>
      <w:r w:rsidR="00D470A7" w:rsidRPr="00443AD5">
        <w:rPr>
          <w:rFonts w:ascii="UnitPro-Light" w:hAnsi="UnitPro-Light" w:cs="UnitPro-Light"/>
          <w:b/>
          <w:sz w:val="24"/>
          <w:szCs w:val="24"/>
        </w:rPr>
        <w:t>HO ÚZEMÍ</w:t>
      </w:r>
    </w:p>
    <w:p w14:paraId="1F089286" w14:textId="77777777" w:rsidR="00782382" w:rsidRPr="00443AD5" w:rsidRDefault="00156D07" w:rsidP="00782382">
      <w:pPr>
        <w:spacing w:line="252" w:lineRule="auto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Území řešené objemovou ověřovací studií je na severu vymezeno železniční tratí a dále ulicemi Partyzánská, Plynární a Argentinská.</w:t>
      </w:r>
    </w:p>
    <w:p w14:paraId="26E9CEEF" w14:textId="77777777" w:rsidR="00782382" w:rsidRPr="00443AD5" w:rsidRDefault="00156D07" w:rsidP="00156D07">
      <w:pPr>
        <w:spacing w:before="240" w:after="120" w:line="252" w:lineRule="auto"/>
        <w:rPr>
          <w:rFonts w:ascii="UnitPro-Light" w:hAnsi="UnitPro-Light" w:cs="UnitPro-Light"/>
          <w:b/>
          <w:sz w:val="24"/>
          <w:szCs w:val="24"/>
        </w:rPr>
      </w:pPr>
      <w:r>
        <w:rPr>
          <w:rFonts w:ascii="UnitPro-Light" w:hAnsi="UnitPro-Light" w:cs="UnitPro-Light"/>
          <w:b/>
          <w:sz w:val="24"/>
          <w:szCs w:val="24"/>
        </w:rPr>
        <w:t xml:space="preserve"> </w:t>
      </w:r>
      <w:r w:rsidR="00BB6E38">
        <w:rPr>
          <w:rFonts w:ascii="UnitPro-Light" w:hAnsi="UnitPro-Light" w:cs="UnitPro-Light"/>
          <w:b/>
          <w:sz w:val="24"/>
          <w:szCs w:val="24"/>
        </w:rPr>
        <w:t>[</w:t>
      </w:r>
      <w:r w:rsidR="00FB5D1F" w:rsidRPr="00443AD5">
        <w:rPr>
          <w:rFonts w:ascii="UnitPro-Light" w:hAnsi="UnitPro-Light" w:cs="UnitPro-Light"/>
          <w:b/>
          <w:sz w:val="24"/>
          <w:szCs w:val="24"/>
        </w:rPr>
        <w:t>4</w:t>
      </w:r>
      <w:r w:rsidR="00782382" w:rsidRPr="00443AD5">
        <w:rPr>
          <w:rFonts w:ascii="UnitPro-Light" w:hAnsi="UnitPro-Light" w:cs="UnitPro-Light"/>
          <w:b/>
          <w:sz w:val="24"/>
          <w:szCs w:val="24"/>
        </w:rPr>
        <w:t>] PODKLADY</w:t>
      </w:r>
    </w:p>
    <w:p w14:paraId="72B47FC3" w14:textId="77777777" w:rsidR="006770C7" w:rsidRDefault="006770C7" w:rsidP="00156D07">
      <w:pPr>
        <w:pStyle w:val="Odstavecseseznamem"/>
        <w:numPr>
          <w:ilvl w:val="0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 xml:space="preserve">Mapové podklady, 3D model, </w:t>
      </w:r>
      <w:proofErr w:type="spellStart"/>
      <w:r w:rsidRPr="006770C7">
        <w:rPr>
          <w:rFonts w:ascii="UnitPro-Light" w:hAnsi="UnitPro-Light" w:cs="UnitPro-Light"/>
          <w:sz w:val="20"/>
          <w:szCs w:val="20"/>
        </w:rPr>
        <w:t>ortofotomapa</w:t>
      </w:r>
      <w:proofErr w:type="spellEnd"/>
      <w:r w:rsidR="00457867">
        <w:rPr>
          <w:rFonts w:ascii="UnitPro-Light" w:hAnsi="UnitPro-Light" w:cs="UnitPro-Light"/>
          <w:sz w:val="20"/>
          <w:szCs w:val="20"/>
        </w:rPr>
        <w:t xml:space="preserve">, </w:t>
      </w:r>
      <w:r w:rsidR="00457867" w:rsidRPr="006770C7">
        <w:rPr>
          <w:rFonts w:ascii="UnitPro-Light" w:hAnsi="UnitPro-Light" w:cs="UnitPro-Light"/>
          <w:sz w:val="20"/>
          <w:szCs w:val="20"/>
        </w:rPr>
        <w:t>schéma dopravního řešení</w:t>
      </w:r>
      <w:r w:rsidR="00457867">
        <w:rPr>
          <w:rFonts w:ascii="UnitPro-Light" w:hAnsi="UnitPro-Light" w:cs="UnitPro-Light"/>
          <w:sz w:val="20"/>
          <w:szCs w:val="20"/>
        </w:rPr>
        <w:t xml:space="preserve">, </w:t>
      </w:r>
      <w:r w:rsidR="00457867" w:rsidRPr="006770C7">
        <w:rPr>
          <w:rFonts w:ascii="UnitPro-Light" w:hAnsi="UnitPro-Light" w:cs="UnitPro-Light"/>
          <w:sz w:val="20"/>
          <w:szCs w:val="20"/>
        </w:rPr>
        <w:t>řešení vedení tramvajové tratě</w:t>
      </w:r>
      <w:r w:rsidR="00457867">
        <w:rPr>
          <w:rFonts w:ascii="UnitPro-Light" w:hAnsi="UnitPro-Light" w:cs="UnitPro-Light"/>
          <w:sz w:val="20"/>
          <w:szCs w:val="20"/>
        </w:rPr>
        <w:t>.</w:t>
      </w:r>
    </w:p>
    <w:p w14:paraId="11964CFC" w14:textId="77777777" w:rsidR="00457867" w:rsidRPr="006770C7" w:rsidRDefault="00457867" w:rsidP="00457867">
      <w:pPr>
        <w:pStyle w:val="Odstavecseseznamem"/>
        <w:numPr>
          <w:ilvl w:val="0"/>
          <w:numId w:val="2"/>
        </w:numPr>
        <w:spacing w:before="60" w:after="60" w:line="252" w:lineRule="auto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Zveřejněná verze návrhu Metropolitního plánu (</w:t>
      </w:r>
      <w:r w:rsidRPr="00457867">
        <w:rPr>
          <w:rFonts w:ascii="UnitPro-Light" w:hAnsi="UnitPro-Light" w:cs="UnitPro-Light"/>
          <w:sz w:val="20"/>
          <w:szCs w:val="20"/>
        </w:rPr>
        <w:t>http://plan.iprpraha.cz/</w:t>
      </w:r>
      <w:proofErr w:type="spellStart"/>
      <w:r w:rsidRPr="00457867">
        <w:rPr>
          <w:rFonts w:ascii="UnitPro-Light" w:hAnsi="UnitPro-Light" w:cs="UnitPro-Light"/>
          <w:sz w:val="20"/>
          <w:szCs w:val="20"/>
        </w:rPr>
        <w:t>cs</w:t>
      </w:r>
      <w:proofErr w:type="spellEnd"/>
      <w:r w:rsidRPr="00457867">
        <w:rPr>
          <w:rFonts w:ascii="UnitPro-Light" w:hAnsi="UnitPro-Light" w:cs="UnitPro-Light"/>
          <w:sz w:val="20"/>
          <w:szCs w:val="20"/>
        </w:rPr>
        <w:t>/</w:t>
      </w:r>
      <w:proofErr w:type="spellStart"/>
      <w:r w:rsidRPr="00457867">
        <w:rPr>
          <w:rFonts w:ascii="UnitPro-Light" w:hAnsi="UnitPro-Light" w:cs="UnitPro-Light"/>
          <w:sz w:val="20"/>
          <w:szCs w:val="20"/>
        </w:rPr>
        <w:t>upp</w:t>
      </w:r>
      <w:proofErr w:type="spellEnd"/>
      <w:r w:rsidRPr="00457867">
        <w:rPr>
          <w:rFonts w:ascii="UnitPro-Light" w:hAnsi="UnitPro-Light" w:cs="UnitPro-Light"/>
          <w:sz w:val="20"/>
          <w:szCs w:val="20"/>
        </w:rPr>
        <w:t>-dokumentace</w:t>
      </w:r>
      <w:r>
        <w:rPr>
          <w:rFonts w:ascii="UnitPro-Light" w:hAnsi="UnitPro-Light" w:cs="UnitPro-Light"/>
          <w:sz w:val="20"/>
          <w:szCs w:val="20"/>
        </w:rPr>
        <w:t>).</w:t>
      </w:r>
    </w:p>
    <w:p w14:paraId="4E141DD0" w14:textId="77777777" w:rsidR="006770C7" w:rsidRPr="006770C7" w:rsidRDefault="006770C7" w:rsidP="00156D07">
      <w:pPr>
        <w:pStyle w:val="Odstavecseseznamem"/>
        <w:numPr>
          <w:ilvl w:val="0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Na vyžádání zhotovitele mohou být dostupné podklady doplněny.</w:t>
      </w:r>
    </w:p>
    <w:p w14:paraId="74C88C3A" w14:textId="77777777" w:rsidR="00F66CDD" w:rsidRPr="00443AD5" w:rsidRDefault="00727AF1" w:rsidP="00156D07">
      <w:pPr>
        <w:spacing w:before="240" w:after="120" w:line="252" w:lineRule="auto"/>
        <w:rPr>
          <w:rFonts w:ascii="UnitPro-Light" w:hAnsi="UnitPro-Light" w:cs="UnitPro-Light"/>
          <w:b/>
          <w:sz w:val="24"/>
          <w:szCs w:val="24"/>
        </w:rPr>
      </w:pPr>
      <w:r>
        <w:rPr>
          <w:rFonts w:ascii="UnitPro-Light" w:hAnsi="UnitPro-Light" w:cs="UnitPro-Light"/>
          <w:b/>
          <w:sz w:val="24"/>
          <w:szCs w:val="24"/>
        </w:rPr>
        <w:t xml:space="preserve"> </w:t>
      </w:r>
      <w:r w:rsidR="00BB6E38">
        <w:rPr>
          <w:rFonts w:ascii="UnitPro-Light" w:hAnsi="UnitPro-Light" w:cs="UnitPro-Light"/>
          <w:b/>
          <w:sz w:val="24"/>
          <w:szCs w:val="24"/>
        </w:rPr>
        <w:t>[</w:t>
      </w:r>
      <w:r>
        <w:rPr>
          <w:rFonts w:ascii="UnitPro-Light" w:hAnsi="UnitPro-Light" w:cs="UnitPro-Light"/>
          <w:b/>
          <w:sz w:val="24"/>
          <w:szCs w:val="24"/>
        </w:rPr>
        <w:t>5</w:t>
      </w:r>
      <w:r w:rsidR="00F66CDD" w:rsidRPr="00443AD5">
        <w:rPr>
          <w:rFonts w:ascii="UnitPro-Light" w:hAnsi="UnitPro-Light" w:cs="UnitPro-Light"/>
          <w:b/>
          <w:sz w:val="24"/>
          <w:szCs w:val="24"/>
        </w:rPr>
        <w:t xml:space="preserve">] </w:t>
      </w:r>
      <w:r w:rsidR="0005334F" w:rsidRPr="00443AD5">
        <w:rPr>
          <w:rFonts w:ascii="UnitPro-Light" w:hAnsi="UnitPro-Light" w:cs="UnitPro-Light"/>
          <w:b/>
          <w:sz w:val="24"/>
          <w:szCs w:val="24"/>
        </w:rPr>
        <w:t xml:space="preserve">KONKRÉTNÍ POŽADAVKY </w:t>
      </w:r>
      <w:r w:rsidR="00E765F7" w:rsidRPr="00443AD5">
        <w:rPr>
          <w:rFonts w:ascii="UnitPro-Light" w:hAnsi="UnitPro-Light" w:cs="UnitPro-Light"/>
          <w:b/>
          <w:sz w:val="24"/>
          <w:szCs w:val="24"/>
        </w:rPr>
        <w:t>NA ŘEŠEN</w:t>
      </w:r>
      <w:r w:rsidR="0005334F" w:rsidRPr="00443AD5">
        <w:rPr>
          <w:rFonts w:ascii="UnitPro-Light" w:hAnsi="UnitPro-Light" w:cs="UnitPro-Light"/>
          <w:b/>
          <w:sz w:val="24"/>
          <w:szCs w:val="24"/>
        </w:rPr>
        <w:t>Í</w:t>
      </w:r>
    </w:p>
    <w:p w14:paraId="4CB87AD7" w14:textId="77777777" w:rsidR="00727AF1" w:rsidRPr="006770C7" w:rsidRDefault="00727AF1" w:rsidP="00156D0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Studie navrhne zástavbu řešeného území, ve kterém prověří i možnost umístění administrativních budov pro 10 000 pracovníků (státní správy), včetně zázemí (předpokládané HPP pro tento účel nepřesáhne 240</w:t>
      </w:r>
      <w:r w:rsidR="001C16BD">
        <w:rPr>
          <w:rFonts w:ascii="UnitPro-Light" w:hAnsi="UnitPro-Light" w:cs="UnitPro-Light"/>
          <w:sz w:val="20"/>
          <w:szCs w:val="20"/>
        </w:rPr>
        <w:t> </w:t>
      </w:r>
      <w:r w:rsidRPr="006770C7">
        <w:rPr>
          <w:rFonts w:ascii="UnitPro-Light" w:hAnsi="UnitPro-Light" w:cs="UnitPro-Light"/>
          <w:sz w:val="20"/>
          <w:szCs w:val="20"/>
        </w:rPr>
        <w:t>000 m</w:t>
      </w:r>
      <w:r w:rsidRPr="006770C7">
        <w:rPr>
          <w:rFonts w:ascii="UnitPro-Light" w:hAnsi="UnitPro-Light" w:cs="UnitPro-Light"/>
          <w:sz w:val="20"/>
          <w:szCs w:val="20"/>
          <w:vertAlign w:val="superscript"/>
        </w:rPr>
        <w:t>2</w:t>
      </w:r>
      <w:r w:rsidRPr="006770C7">
        <w:rPr>
          <w:rFonts w:ascii="UnitPro-Light" w:hAnsi="UnitPro-Light" w:cs="UnitPro-Light"/>
          <w:sz w:val="20"/>
          <w:szCs w:val="20"/>
        </w:rPr>
        <w:t>). Preferovaná poloha pro toto využití je mezi ulicí Vrbenského a železniční tratí. Ve zbylé ploše bude navržena smíšená městská zástavba.</w:t>
      </w:r>
    </w:p>
    <w:p w14:paraId="5C4D67FD" w14:textId="77777777" w:rsidR="00727AF1" w:rsidRPr="006770C7" w:rsidRDefault="00727AF1" w:rsidP="00156D0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Administrativní budovy budou rozpracovány detailněji (základní rozvržení objemů, kapacit a funkčního uspořádání stavby).</w:t>
      </w:r>
    </w:p>
    <w:p w14:paraId="209B459B" w14:textId="77777777" w:rsidR="00727AF1" w:rsidRPr="006770C7" w:rsidRDefault="00727AF1" w:rsidP="00156D0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Do návrhu bude zakomponován provoz nádraží Praha – Holešovice (začlenění nádražních prostor do navržené zástavby, včetně prověření možné redukce provozních prostor nádraží). Studie zváží zachování / odstranění stávající výškové nádražní budovy.</w:t>
      </w:r>
    </w:p>
    <w:p w14:paraId="7FCA05F9" w14:textId="4FDF8466" w:rsidR="00727AF1" w:rsidRPr="006770C7" w:rsidRDefault="00727AF1" w:rsidP="00156D0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 xml:space="preserve">Studie vymezí uliční prostranství a plochy náměstí – vymezení uličních a stavebních čar. Studie bude respektovat parkovou plochu na nároží Plynární a Rajské, </w:t>
      </w:r>
      <w:proofErr w:type="spellStart"/>
      <w:r w:rsidRPr="006770C7">
        <w:rPr>
          <w:rFonts w:ascii="UnitPro-Light" w:hAnsi="UnitPro-Light" w:cs="UnitPro-Light"/>
          <w:sz w:val="20"/>
          <w:szCs w:val="20"/>
        </w:rPr>
        <w:t>parc</w:t>
      </w:r>
      <w:proofErr w:type="spellEnd"/>
      <w:r w:rsidRPr="006770C7">
        <w:rPr>
          <w:rFonts w:ascii="UnitPro-Light" w:hAnsi="UnitPro-Light" w:cs="UnitPro-Light"/>
          <w:sz w:val="20"/>
          <w:szCs w:val="20"/>
        </w:rPr>
        <w:t xml:space="preserve">. </w:t>
      </w:r>
      <w:proofErr w:type="gramStart"/>
      <w:r w:rsidRPr="006770C7">
        <w:rPr>
          <w:rFonts w:ascii="UnitPro-Light" w:hAnsi="UnitPro-Light" w:cs="UnitPro-Light"/>
          <w:sz w:val="20"/>
          <w:szCs w:val="20"/>
        </w:rPr>
        <w:t>č.</w:t>
      </w:r>
      <w:proofErr w:type="gramEnd"/>
      <w:r w:rsidRPr="006770C7">
        <w:rPr>
          <w:rFonts w:ascii="UnitPro-Light" w:hAnsi="UnitPro-Light" w:cs="UnitPro-Light"/>
          <w:sz w:val="20"/>
          <w:szCs w:val="20"/>
        </w:rPr>
        <w:t xml:space="preserve"> 308, k. ú . Holešovice (za školou)</w:t>
      </w:r>
      <w:r w:rsidR="00DD585E">
        <w:rPr>
          <w:rFonts w:ascii="UnitPro-Light" w:hAnsi="UnitPro-Light" w:cs="UnitPro-Light"/>
          <w:sz w:val="20"/>
          <w:szCs w:val="20"/>
        </w:rPr>
        <w:t>.</w:t>
      </w:r>
    </w:p>
    <w:p w14:paraId="04542A48" w14:textId="77777777" w:rsidR="00727AF1" w:rsidRPr="006770C7" w:rsidRDefault="00727AF1" w:rsidP="00156D0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Studie navrhne uspořádání výškových dominant.</w:t>
      </w:r>
    </w:p>
    <w:p w14:paraId="2BE6B358" w14:textId="77777777" w:rsidR="00727AF1" w:rsidRPr="006770C7" w:rsidRDefault="00727AF1" w:rsidP="00156D0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Návrh musí respektovat stávající mimoúrovňové vedení ulice Vrbenského, současně však počítat s budoucí možnou přestavbou křižovatky na úrovňovou (odstranění přemostění ul. Argentinská).</w:t>
      </w:r>
    </w:p>
    <w:p w14:paraId="4C7B10BB" w14:textId="77777777" w:rsidR="00727AF1" w:rsidRPr="006770C7" w:rsidRDefault="00727AF1" w:rsidP="00156D0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Studie musí umožnit / respektovat návrh nového trasování ulice Jankovcova (dle ÚP i MP).</w:t>
      </w:r>
    </w:p>
    <w:p w14:paraId="283DC701" w14:textId="57A2A9A8" w:rsidR="00727AF1" w:rsidRPr="006770C7" w:rsidRDefault="00DD585E" w:rsidP="00156D0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Požadováno je</w:t>
      </w:r>
      <w:r w:rsidRPr="006770C7">
        <w:rPr>
          <w:rFonts w:ascii="UnitPro-Light" w:hAnsi="UnitPro-Light" w:cs="UnitPro-Light"/>
          <w:sz w:val="20"/>
          <w:szCs w:val="20"/>
        </w:rPr>
        <w:t xml:space="preserve"> </w:t>
      </w:r>
      <w:r w:rsidR="00727AF1" w:rsidRPr="006770C7">
        <w:rPr>
          <w:rFonts w:ascii="UnitPro-Light" w:hAnsi="UnitPro-Light" w:cs="UnitPro-Light"/>
          <w:sz w:val="20"/>
          <w:szCs w:val="20"/>
        </w:rPr>
        <w:t xml:space="preserve">zajištění optimální prostupnosti území. </w:t>
      </w:r>
      <w:r>
        <w:rPr>
          <w:rFonts w:ascii="UnitPro-Light" w:hAnsi="UnitPro-Light" w:cs="UnitPro-Light"/>
          <w:sz w:val="20"/>
          <w:szCs w:val="20"/>
        </w:rPr>
        <w:t>Dalším požadavkem je</w:t>
      </w:r>
      <w:r w:rsidR="00727AF1" w:rsidRPr="006770C7">
        <w:rPr>
          <w:rFonts w:ascii="UnitPro-Light" w:hAnsi="UnitPro-Light" w:cs="UnitPro-Light"/>
          <w:sz w:val="20"/>
          <w:szCs w:val="20"/>
        </w:rPr>
        <w:t>, aby přes železniční těleso byly vedeny dva prostupy (podchody) do severní části území (mezi tratí a řekou), z nichž jeden v místě stávajícího nádražního podchodu.</w:t>
      </w:r>
    </w:p>
    <w:p w14:paraId="65082882" w14:textId="1653771D" w:rsidR="00727AF1" w:rsidRPr="006770C7" w:rsidRDefault="00AE77F1" w:rsidP="00156D0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Požadováno je</w:t>
      </w:r>
      <w:r w:rsidR="00727AF1" w:rsidRPr="006770C7">
        <w:rPr>
          <w:rFonts w:ascii="UnitPro-Light" w:hAnsi="UnitPro-Light" w:cs="UnitPro-Light"/>
          <w:sz w:val="20"/>
          <w:szCs w:val="20"/>
        </w:rPr>
        <w:t>, aby zástavba lemující hlavní veřejná prostranství umožňovala otevřený parter.</w:t>
      </w:r>
    </w:p>
    <w:p w14:paraId="0506F772" w14:textId="77777777" w:rsidR="00727AF1" w:rsidRPr="006770C7" w:rsidRDefault="00727AF1" w:rsidP="00457867">
      <w:pPr>
        <w:pStyle w:val="Odstavecseseznamem"/>
        <w:numPr>
          <w:ilvl w:val="0"/>
          <w:numId w:val="3"/>
        </w:numPr>
        <w:spacing w:before="60" w:after="60" w:line="252" w:lineRule="auto"/>
        <w:ind w:left="426" w:hanging="142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Návrh bude obsahovat schéma dopravního řešení (dle podkladu), včetně míst vjezdů do objektů.</w:t>
      </w:r>
    </w:p>
    <w:p w14:paraId="774F7952" w14:textId="77777777" w:rsidR="00727AF1" w:rsidRPr="006770C7" w:rsidRDefault="00727AF1" w:rsidP="0045786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43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Návrh bude obsahovat řešení vedení tramvajové tratě (dle podkladu), včetně rozmístění zastávek.</w:t>
      </w:r>
    </w:p>
    <w:p w14:paraId="3EEE45BC" w14:textId="77777777" w:rsidR="00727AF1" w:rsidRPr="006770C7" w:rsidRDefault="00727AF1" w:rsidP="0045786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43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 xml:space="preserve">Studie navrhne / doporučí etapizaci výstavby. </w:t>
      </w:r>
    </w:p>
    <w:p w14:paraId="55F61C61" w14:textId="77777777" w:rsidR="00727AF1" w:rsidRPr="006770C7" w:rsidRDefault="00727AF1" w:rsidP="00457867">
      <w:pPr>
        <w:pStyle w:val="Odstavecseseznamem"/>
        <w:numPr>
          <w:ilvl w:val="0"/>
          <w:numId w:val="3"/>
        </w:numPr>
        <w:spacing w:before="60" w:after="60" w:line="252" w:lineRule="auto"/>
        <w:ind w:left="714" w:hanging="43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Návrh bude primárně respektovat objemové a výškové (v části až 12 NP) a kapacitní regulativy návrhu Metropolitního plánu (Transformační plocha 411/070/2334 - rozloha: 132 030 m</w:t>
      </w:r>
      <w:r w:rsidRPr="006770C7">
        <w:rPr>
          <w:rFonts w:ascii="UnitPro-Light" w:hAnsi="UnitPro-Light" w:cs="UnitPro-Light"/>
          <w:sz w:val="20"/>
          <w:szCs w:val="20"/>
          <w:vertAlign w:val="superscript"/>
        </w:rPr>
        <w:t>2</w:t>
      </w:r>
      <w:r w:rsidRPr="006770C7">
        <w:rPr>
          <w:rFonts w:ascii="UnitPro-Light" w:hAnsi="UnitPro-Light" w:cs="UnitPro-Light"/>
          <w:sz w:val="20"/>
          <w:szCs w:val="20"/>
        </w:rPr>
        <w:t xml:space="preserve">) – HPP dle MP (dle </w:t>
      </w:r>
      <w:proofErr w:type="spellStart"/>
      <w:r w:rsidRPr="006770C7">
        <w:rPr>
          <w:rFonts w:ascii="UnitPro-Light" w:hAnsi="UnitPro-Light" w:cs="UnitPro-Light"/>
          <w:sz w:val="20"/>
          <w:szCs w:val="20"/>
        </w:rPr>
        <w:t>Bn</w:t>
      </w:r>
      <w:proofErr w:type="spellEnd"/>
      <w:r w:rsidRPr="006770C7">
        <w:rPr>
          <w:rFonts w:ascii="UnitPro-Light" w:hAnsi="UnitPro-Light" w:cs="UnitPro-Light"/>
          <w:sz w:val="20"/>
          <w:szCs w:val="20"/>
        </w:rPr>
        <w:t xml:space="preserve"> 70% zastavění stavebního bloku) 488 438,0 m</w:t>
      </w:r>
      <w:r w:rsidRPr="006770C7">
        <w:rPr>
          <w:rFonts w:ascii="UnitPro-Light" w:hAnsi="UnitPro-Light" w:cs="UnitPro-Light"/>
          <w:sz w:val="20"/>
          <w:szCs w:val="20"/>
          <w:vertAlign w:val="superscript"/>
        </w:rPr>
        <w:t>2</w:t>
      </w:r>
      <w:r w:rsidRPr="006770C7">
        <w:rPr>
          <w:rFonts w:ascii="UnitPro-Light" w:hAnsi="UnitPro-Light" w:cs="UnitPro-Light"/>
          <w:sz w:val="20"/>
          <w:szCs w:val="20"/>
        </w:rPr>
        <w:t>. V případě, že studie prokáže odchylku od regulativů MP, může navrhnou</w:t>
      </w:r>
      <w:r w:rsidR="00457867">
        <w:rPr>
          <w:rFonts w:ascii="UnitPro-Light" w:hAnsi="UnitPro-Light" w:cs="UnitPro-Light"/>
          <w:sz w:val="20"/>
          <w:szCs w:val="20"/>
        </w:rPr>
        <w:t>t</w:t>
      </w:r>
      <w:r w:rsidRPr="006770C7">
        <w:rPr>
          <w:rFonts w:ascii="UnitPro-Light" w:hAnsi="UnitPro-Light" w:cs="UnitPro-Light"/>
          <w:sz w:val="20"/>
          <w:szCs w:val="20"/>
        </w:rPr>
        <w:t xml:space="preserve"> jejich korekci.</w:t>
      </w:r>
    </w:p>
    <w:p w14:paraId="5DABA255" w14:textId="77777777" w:rsidR="008723A1" w:rsidRDefault="008723A1">
      <w:pPr>
        <w:rPr>
          <w:rFonts w:ascii="UnitPro-Light" w:hAnsi="UnitPro-Light" w:cs="UnitPro-Light"/>
          <w:b/>
          <w:sz w:val="24"/>
          <w:szCs w:val="24"/>
        </w:rPr>
      </w:pPr>
      <w:r>
        <w:rPr>
          <w:rFonts w:ascii="UnitPro-Light" w:hAnsi="UnitPro-Light" w:cs="UnitPro-Light"/>
          <w:b/>
          <w:sz w:val="24"/>
          <w:szCs w:val="24"/>
        </w:rPr>
        <w:br w:type="page"/>
      </w:r>
    </w:p>
    <w:p w14:paraId="1C7F82B4" w14:textId="77777777" w:rsidR="00BA71C1" w:rsidRPr="00443AD5" w:rsidRDefault="006770C7" w:rsidP="00156D07">
      <w:pPr>
        <w:spacing w:before="240" w:after="120" w:line="252" w:lineRule="auto"/>
        <w:rPr>
          <w:rFonts w:ascii="UnitPro-Light" w:hAnsi="UnitPro-Light" w:cs="UnitPro-Light"/>
          <w:b/>
          <w:sz w:val="24"/>
          <w:szCs w:val="24"/>
        </w:rPr>
      </w:pPr>
      <w:r>
        <w:rPr>
          <w:rFonts w:ascii="UnitPro-Light" w:hAnsi="UnitPro-Light" w:cs="UnitPro-Light"/>
          <w:b/>
          <w:sz w:val="24"/>
          <w:szCs w:val="24"/>
        </w:rPr>
        <w:lastRenderedPageBreak/>
        <w:t xml:space="preserve"> </w:t>
      </w:r>
      <w:r w:rsidR="00BB6E38">
        <w:rPr>
          <w:rFonts w:ascii="UnitPro-Light" w:hAnsi="UnitPro-Light" w:cs="UnitPro-Light"/>
          <w:b/>
          <w:sz w:val="24"/>
          <w:szCs w:val="24"/>
        </w:rPr>
        <w:t>[</w:t>
      </w:r>
      <w:r w:rsidR="00156D07">
        <w:rPr>
          <w:rFonts w:ascii="UnitPro-Light" w:hAnsi="UnitPro-Light" w:cs="UnitPro-Light"/>
          <w:b/>
          <w:sz w:val="24"/>
          <w:szCs w:val="24"/>
        </w:rPr>
        <w:t>6</w:t>
      </w:r>
      <w:r w:rsidR="00BA71C1" w:rsidRPr="00443AD5">
        <w:rPr>
          <w:rFonts w:ascii="UnitPro-Light" w:hAnsi="UnitPro-Light" w:cs="UnitPro-Light"/>
          <w:b/>
          <w:sz w:val="24"/>
          <w:szCs w:val="24"/>
        </w:rPr>
        <w:t xml:space="preserve">] POŽADAVKY NA OBSAH </w:t>
      </w:r>
      <w:r w:rsidR="0085612F" w:rsidRPr="0085612F">
        <w:rPr>
          <w:rFonts w:ascii="UnitPro-Light" w:hAnsi="UnitPro-Light" w:cs="UnitPro-Light"/>
          <w:b/>
          <w:sz w:val="24"/>
          <w:szCs w:val="24"/>
        </w:rPr>
        <w:t>OBJEMOVÉ STUDIE</w:t>
      </w:r>
    </w:p>
    <w:p w14:paraId="62C5F57A" w14:textId="77777777" w:rsidR="001C1F78" w:rsidRPr="00443AD5" w:rsidRDefault="00457867" w:rsidP="00776160">
      <w:pPr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O</w:t>
      </w:r>
      <w:r w:rsidRPr="00156D07">
        <w:rPr>
          <w:rFonts w:ascii="UnitPro-Light" w:hAnsi="UnitPro-Light" w:cs="UnitPro-Light"/>
          <w:sz w:val="20"/>
          <w:szCs w:val="20"/>
        </w:rPr>
        <w:t>bjemov</w:t>
      </w:r>
      <w:r>
        <w:rPr>
          <w:rFonts w:ascii="UnitPro-Light" w:hAnsi="UnitPro-Light" w:cs="UnitPro-Light"/>
          <w:sz w:val="20"/>
          <w:szCs w:val="20"/>
        </w:rPr>
        <w:t>á</w:t>
      </w:r>
      <w:r w:rsidRPr="00156D07">
        <w:rPr>
          <w:rFonts w:ascii="UnitPro-Light" w:hAnsi="UnitPro-Light" w:cs="UnitPro-Light"/>
          <w:sz w:val="20"/>
          <w:szCs w:val="20"/>
        </w:rPr>
        <w:t xml:space="preserve"> studie </w:t>
      </w:r>
      <w:r w:rsidR="0084099A" w:rsidRPr="00443AD5">
        <w:rPr>
          <w:rFonts w:ascii="UnitPro-Light" w:hAnsi="UnitPro-Light" w:cs="UnitPro-Light"/>
          <w:sz w:val="20"/>
          <w:szCs w:val="20"/>
        </w:rPr>
        <w:t>bude obsahovat textovou a grafickou část:</w:t>
      </w:r>
    </w:p>
    <w:p w14:paraId="5F672B1A" w14:textId="77777777" w:rsidR="0084099A" w:rsidRPr="00443AD5" w:rsidRDefault="0084099A" w:rsidP="0084099A">
      <w:pPr>
        <w:pStyle w:val="Odstavecseseznamem"/>
        <w:numPr>
          <w:ilvl w:val="0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443AD5">
        <w:rPr>
          <w:rFonts w:ascii="UnitPro-Light" w:hAnsi="UnitPro-Light" w:cs="UnitPro-Light"/>
          <w:sz w:val="20"/>
          <w:szCs w:val="20"/>
        </w:rPr>
        <w:t>textová část</w:t>
      </w:r>
      <w:r w:rsidR="00E63DB8" w:rsidRPr="00443AD5">
        <w:rPr>
          <w:rFonts w:ascii="UnitPro-Light" w:hAnsi="UnitPro-Light" w:cs="UnitPro-Light"/>
          <w:sz w:val="20"/>
          <w:szCs w:val="20"/>
        </w:rPr>
        <w:t xml:space="preserve"> bude obsahovat:</w:t>
      </w:r>
    </w:p>
    <w:p w14:paraId="13ED5FDC" w14:textId="77777777" w:rsidR="0084099A" w:rsidRPr="00443AD5" w:rsidRDefault="0084099A" w:rsidP="00156D07">
      <w:pPr>
        <w:pStyle w:val="Odstavecseseznamem"/>
        <w:numPr>
          <w:ilvl w:val="1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443AD5">
        <w:rPr>
          <w:rFonts w:ascii="UnitPro-Light" w:hAnsi="UnitPro-Light" w:cs="UnitPro-Light"/>
          <w:sz w:val="20"/>
          <w:szCs w:val="20"/>
        </w:rPr>
        <w:t>popis a zdůvodnění navrženého řešení;</w:t>
      </w:r>
    </w:p>
    <w:p w14:paraId="1483457A" w14:textId="77777777" w:rsidR="0084099A" w:rsidRPr="00443AD5" w:rsidRDefault="0084099A" w:rsidP="00156D07">
      <w:pPr>
        <w:pStyle w:val="Odstavecseseznamem"/>
        <w:numPr>
          <w:ilvl w:val="1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443AD5">
        <w:rPr>
          <w:rFonts w:ascii="UnitPro-Light" w:hAnsi="UnitPro-Light" w:cs="UnitPro-Light"/>
          <w:sz w:val="20"/>
          <w:szCs w:val="20"/>
        </w:rPr>
        <w:t>kapacitní bilanc</w:t>
      </w:r>
      <w:r w:rsidR="00E63DB8" w:rsidRPr="00443AD5">
        <w:rPr>
          <w:rFonts w:ascii="UnitPro-Light" w:hAnsi="UnitPro-Light" w:cs="UnitPro-Light"/>
          <w:sz w:val="20"/>
          <w:szCs w:val="20"/>
        </w:rPr>
        <w:t>i</w:t>
      </w:r>
      <w:r w:rsidRPr="00443AD5">
        <w:rPr>
          <w:rFonts w:ascii="UnitPro-Light" w:hAnsi="UnitPro-Light" w:cs="UnitPro-Light"/>
          <w:sz w:val="20"/>
          <w:szCs w:val="20"/>
        </w:rPr>
        <w:t>;</w:t>
      </w:r>
    </w:p>
    <w:p w14:paraId="0B0D28E6" w14:textId="77777777" w:rsidR="0084099A" w:rsidRPr="00443AD5" w:rsidRDefault="0084099A" w:rsidP="0084099A">
      <w:pPr>
        <w:pStyle w:val="Odstavecseseznamem"/>
        <w:numPr>
          <w:ilvl w:val="0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443AD5">
        <w:rPr>
          <w:rFonts w:ascii="UnitPro-Light" w:hAnsi="UnitPro-Light" w:cs="UnitPro-Light"/>
          <w:sz w:val="20"/>
          <w:szCs w:val="20"/>
        </w:rPr>
        <w:t>grafická část</w:t>
      </w:r>
      <w:r w:rsidR="00E63DB8" w:rsidRPr="00443AD5">
        <w:rPr>
          <w:rFonts w:ascii="UnitPro-Light" w:hAnsi="UnitPro-Light" w:cs="UnitPro-Light"/>
          <w:sz w:val="20"/>
          <w:szCs w:val="20"/>
        </w:rPr>
        <w:t xml:space="preserve"> bude obsahovat:</w:t>
      </w:r>
    </w:p>
    <w:p w14:paraId="12E6AF49" w14:textId="77777777" w:rsidR="007A69EA" w:rsidRPr="006770C7" w:rsidRDefault="007A69EA" w:rsidP="007A69EA">
      <w:pPr>
        <w:pStyle w:val="Odstavecseseznamem"/>
        <w:numPr>
          <w:ilvl w:val="1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Situace M 1:1000</w:t>
      </w:r>
    </w:p>
    <w:p w14:paraId="36DF520C" w14:textId="77777777" w:rsidR="007A69EA" w:rsidRPr="006770C7" w:rsidRDefault="007A69EA" w:rsidP="007A69EA">
      <w:pPr>
        <w:pStyle w:val="Odstavecseseznamem"/>
        <w:numPr>
          <w:ilvl w:val="1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 xml:space="preserve">3D model – </w:t>
      </w:r>
      <w:proofErr w:type="spellStart"/>
      <w:r w:rsidRPr="006770C7">
        <w:rPr>
          <w:rFonts w:ascii="UnitPro-Light" w:hAnsi="UnitPro-Light" w:cs="UnitPro-Light"/>
          <w:sz w:val="20"/>
          <w:szCs w:val="20"/>
        </w:rPr>
        <w:t>nadhledové</w:t>
      </w:r>
      <w:proofErr w:type="spellEnd"/>
      <w:r w:rsidRPr="006770C7">
        <w:rPr>
          <w:rFonts w:ascii="UnitPro-Light" w:hAnsi="UnitPro-Light" w:cs="UnitPro-Light"/>
          <w:sz w:val="20"/>
          <w:szCs w:val="20"/>
        </w:rPr>
        <w:t xml:space="preserve"> perspektivy</w:t>
      </w:r>
    </w:p>
    <w:p w14:paraId="305B57A0" w14:textId="77777777" w:rsidR="007A69EA" w:rsidRPr="006770C7" w:rsidRDefault="007A69EA" w:rsidP="007A69EA">
      <w:pPr>
        <w:pStyle w:val="Odstavecseseznamem"/>
        <w:numPr>
          <w:ilvl w:val="1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Schémata vnitřního provozního uspořádání administrativního komplexu</w:t>
      </w:r>
    </w:p>
    <w:p w14:paraId="3B3D509E" w14:textId="77777777" w:rsidR="007A69EA" w:rsidRPr="006770C7" w:rsidRDefault="007A69EA" w:rsidP="007A69EA">
      <w:pPr>
        <w:pStyle w:val="Odstavecseseznamem"/>
        <w:numPr>
          <w:ilvl w:val="1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Rozvinutý pohled z ulice Plynární</w:t>
      </w:r>
    </w:p>
    <w:p w14:paraId="3A4A9FC8" w14:textId="77777777" w:rsidR="007A69EA" w:rsidRPr="006770C7" w:rsidRDefault="007A69EA" w:rsidP="007A69EA">
      <w:pPr>
        <w:pStyle w:val="Odstavecseseznamem"/>
        <w:numPr>
          <w:ilvl w:val="1"/>
          <w:numId w:val="2"/>
        </w:numPr>
        <w:spacing w:before="60" w:after="60" w:line="252" w:lineRule="auto"/>
        <w:ind w:hanging="35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770C7">
        <w:rPr>
          <w:rFonts w:ascii="UnitPro-Light" w:hAnsi="UnitPro-Light" w:cs="UnitPro-Light"/>
          <w:sz w:val="20"/>
          <w:szCs w:val="20"/>
        </w:rPr>
        <w:t>Severojižní řez znázorňující vztah k nádraží</w:t>
      </w:r>
    </w:p>
    <w:sectPr w:rsidR="007A69EA" w:rsidRPr="006770C7" w:rsidSect="00180B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AC894" w14:textId="77777777" w:rsidR="00D80682" w:rsidRDefault="00D80682" w:rsidP="005A5E47">
      <w:pPr>
        <w:spacing w:after="0" w:line="240" w:lineRule="auto"/>
      </w:pPr>
      <w:r>
        <w:separator/>
      </w:r>
    </w:p>
  </w:endnote>
  <w:endnote w:type="continuationSeparator" w:id="0">
    <w:p w14:paraId="50B5C754" w14:textId="77777777" w:rsidR="00D80682" w:rsidRDefault="00D80682" w:rsidP="005A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757592"/>
      <w:docPartObj>
        <w:docPartGallery w:val="Page Numbers (Bottom of Page)"/>
        <w:docPartUnique/>
      </w:docPartObj>
    </w:sdtPr>
    <w:sdtEndPr>
      <w:rPr>
        <w:rFonts w:ascii="UnitPro-Light" w:hAnsi="UnitPro-Light" w:cs="UnitPro-Light"/>
        <w:color w:val="7F7F7F" w:themeColor="text1" w:themeTint="80"/>
        <w:sz w:val="18"/>
        <w:szCs w:val="18"/>
      </w:rPr>
    </w:sdtEndPr>
    <w:sdtContent>
      <w:sdt>
        <w:sdtPr>
          <w:rPr>
            <w:rFonts w:ascii="UnitPro-Light" w:hAnsi="UnitPro-Light" w:cs="UnitPro-Light"/>
            <w:color w:val="7F7F7F" w:themeColor="text1" w:themeTint="80"/>
            <w:sz w:val="18"/>
            <w:szCs w:val="18"/>
          </w:rPr>
          <w:id w:val="649333156"/>
          <w:docPartObj>
            <w:docPartGallery w:val="Page Numbers (Top of Page)"/>
            <w:docPartUnique/>
          </w:docPartObj>
        </w:sdtPr>
        <w:sdtEndPr/>
        <w:sdtContent>
          <w:p w14:paraId="0168C561" w14:textId="77777777" w:rsidR="00365666" w:rsidRDefault="00365666" w:rsidP="00365666">
            <w:pPr>
              <w:pStyle w:val="Zpat"/>
              <w:pBdr>
                <w:top w:val="single" w:sz="4" w:space="1" w:color="7F7F7F" w:themeColor="text1" w:themeTint="80"/>
              </w:pBdr>
              <w:rPr>
                <w:rFonts w:ascii="UnitPro-Light" w:hAnsi="UnitPro-Light" w:cs="UnitPro-Light"/>
                <w:color w:val="7F7F7F" w:themeColor="text1" w:themeTint="80"/>
                <w:sz w:val="18"/>
                <w:szCs w:val="18"/>
              </w:rPr>
            </w:pP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180B8E">
              <w:rPr>
                <w:rFonts w:ascii="UnitPro-Light" w:hAnsi="UnitPro-Light" w:cs="UnitPro-Light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365666">
              <w:rPr>
                <w:rFonts w:ascii="UnitPro-Light" w:hAnsi="UnitPro-Light" w:cs="UnitPro-Light"/>
                <w:color w:val="7F7F7F" w:themeColor="text1" w:themeTint="80"/>
                <w:sz w:val="18"/>
                <w:szCs w:val="18"/>
              </w:rPr>
              <w:t xml:space="preserve"> </w:t>
            </w:r>
            <w:r w:rsidRPr="00365666">
              <w:rPr>
                <w:rFonts w:ascii="UnitPro-Light" w:hAnsi="UnitPro-Light" w:cs="UnitPro-Light"/>
                <w:b/>
                <w:color w:val="7F7F7F" w:themeColor="text1" w:themeTint="80"/>
                <w:sz w:val="18"/>
                <w:szCs w:val="18"/>
              </w:rPr>
              <w:t xml:space="preserve">/ </w:t>
            </w: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57867">
              <w:rPr>
                <w:rFonts w:ascii="UnitPro-Light" w:hAnsi="UnitPro-Light" w:cs="UnitPro-Light"/>
                <w:b/>
                <w:bCs/>
                <w:noProof/>
                <w:color w:val="7F7F7F" w:themeColor="text1" w:themeTint="80"/>
                <w:sz w:val="18"/>
                <w:szCs w:val="18"/>
              </w:rPr>
              <w:t>4</w:t>
            </w: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14:paraId="2B68D489" w14:textId="77777777" w:rsidR="00365666" w:rsidRDefault="0036566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034769"/>
      <w:docPartObj>
        <w:docPartGallery w:val="Page Numbers (Bottom of Page)"/>
        <w:docPartUnique/>
      </w:docPartObj>
    </w:sdtPr>
    <w:sdtEndPr>
      <w:rPr>
        <w:rFonts w:ascii="UnitPro-Light" w:hAnsi="UnitPro-Light" w:cs="UnitPro-Light"/>
        <w:color w:val="7F7F7F" w:themeColor="text1" w:themeTint="80"/>
        <w:sz w:val="18"/>
        <w:szCs w:val="18"/>
      </w:rPr>
    </w:sdtEndPr>
    <w:sdtContent>
      <w:sdt>
        <w:sdtPr>
          <w:rPr>
            <w:rFonts w:ascii="UnitPro-Light" w:hAnsi="UnitPro-Light" w:cs="UnitPro-Light"/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8EDC1D" w14:textId="3D988D5F" w:rsidR="00365666" w:rsidRPr="00365666" w:rsidRDefault="00365666" w:rsidP="00180B8E">
            <w:pPr>
              <w:pStyle w:val="Zpat"/>
              <w:pBdr>
                <w:top w:val="single" w:sz="4" w:space="1" w:color="7F7F7F" w:themeColor="text1" w:themeTint="80"/>
              </w:pBdr>
              <w:jc w:val="center"/>
              <w:rPr>
                <w:rFonts w:ascii="UnitPro-Light" w:hAnsi="UnitPro-Light" w:cs="UnitPro-Light"/>
                <w:color w:val="7F7F7F" w:themeColor="text1" w:themeTint="80"/>
                <w:sz w:val="18"/>
                <w:szCs w:val="18"/>
              </w:rPr>
            </w:pP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F32089">
              <w:rPr>
                <w:rFonts w:ascii="UnitPro-Light" w:hAnsi="UnitPro-Light" w:cs="UnitPro-Light"/>
                <w:b/>
                <w:bCs/>
                <w:noProof/>
                <w:color w:val="7F7F7F" w:themeColor="text1" w:themeTint="80"/>
                <w:sz w:val="18"/>
                <w:szCs w:val="18"/>
              </w:rPr>
              <w:t>3</w:t>
            </w:r>
            <w:r w:rsidRPr="00365666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365666">
              <w:rPr>
                <w:rFonts w:ascii="UnitPro-Light" w:hAnsi="UnitPro-Light" w:cs="UnitPro-Light"/>
                <w:color w:val="7F7F7F" w:themeColor="text1" w:themeTint="80"/>
                <w:sz w:val="18"/>
                <w:szCs w:val="18"/>
              </w:rPr>
              <w:t xml:space="preserve"> </w:t>
            </w:r>
            <w:r w:rsidRPr="00365666">
              <w:rPr>
                <w:rFonts w:ascii="UnitPro-Light" w:hAnsi="UnitPro-Light" w:cs="UnitPro-Light"/>
                <w:b/>
                <w:color w:val="7F7F7F" w:themeColor="text1" w:themeTint="80"/>
                <w:sz w:val="18"/>
                <w:szCs w:val="18"/>
              </w:rPr>
              <w:t xml:space="preserve">/ </w:t>
            </w:r>
            <w:r w:rsidR="00DD585E">
              <w:rPr>
                <w:rFonts w:ascii="UnitPro-Light" w:hAnsi="UnitPro-Light" w:cs="UnitPro-Light"/>
                <w:b/>
                <w:bCs/>
                <w:color w:val="7F7F7F" w:themeColor="text1" w:themeTint="80"/>
                <w:sz w:val="18"/>
                <w:szCs w:val="18"/>
              </w:rPr>
              <w:t>3</w:t>
            </w:r>
          </w:p>
        </w:sdtContent>
      </w:sdt>
    </w:sdtContent>
  </w:sdt>
  <w:p w14:paraId="5F9EF6CF" w14:textId="77777777" w:rsidR="00365666" w:rsidRDefault="003656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0326D" w14:textId="77777777" w:rsidR="00D80682" w:rsidRDefault="00D80682" w:rsidP="005A5E47">
      <w:pPr>
        <w:spacing w:after="0" w:line="240" w:lineRule="auto"/>
      </w:pPr>
      <w:r>
        <w:separator/>
      </w:r>
    </w:p>
  </w:footnote>
  <w:footnote w:type="continuationSeparator" w:id="0">
    <w:p w14:paraId="67166690" w14:textId="77777777" w:rsidR="00D80682" w:rsidRDefault="00D80682" w:rsidP="005A5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E57A" w14:textId="77777777" w:rsidR="00365666" w:rsidRPr="00365666" w:rsidRDefault="00365666" w:rsidP="00365666">
    <w:pPr>
      <w:pStyle w:val="Zhlav"/>
      <w:pBdr>
        <w:bottom w:val="single" w:sz="4" w:space="1" w:color="7F7F7F" w:themeColor="text1" w:themeTint="80"/>
      </w:pBdr>
      <w:rPr>
        <w:rFonts w:ascii="UnitPro-Light" w:hAnsi="UnitPro-Light" w:cs="UnitPro-Light"/>
        <w:color w:val="7F7F7F" w:themeColor="text1" w:themeTint="80"/>
        <w:sz w:val="18"/>
        <w:szCs w:val="18"/>
      </w:rPr>
    </w:pPr>
    <w:r w:rsidRPr="00365666">
      <w:rPr>
        <w:rFonts w:ascii="UnitPro-Light" w:hAnsi="UnitPro-Light" w:cs="UnitPro-Light"/>
        <w:color w:val="7F7F7F" w:themeColor="text1" w:themeTint="80"/>
        <w:sz w:val="18"/>
        <w:szCs w:val="18"/>
      </w:rPr>
      <w:t xml:space="preserve">Zadání urbanistické studie s regulačními prvky </w:t>
    </w:r>
    <w:r w:rsidRPr="00365666">
      <w:rPr>
        <w:rFonts w:ascii="UnitPro-Light" w:hAnsi="UnitPro-Light" w:cs="UnitPro-Light"/>
        <w:b/>
        <w:color w:val="7F7F7F" w:themeColor="text1" w:themeTint="80"/>
        <w:sz w:val="18"/>
        <w:szCs w:val="18"/>
      </w:rPr>
      <w:t>Rohanský ostrov</w:t>
    </w:r>
  </w:p>
  <w:p w14:paraId="1A0A3DE2" w14:textId="77777777" w:rsidR="00365666" w:rsidRDefault="003656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EA41D" w14:textId="679AED90" w:rsidR="00365666" w:rsidRPr="00365666" w:rsidRDefault="001C16BD" w:rsidP="00180B8E">
    <w:pPr>
      <w:pStyle w:val="Zhlav"/>
      <w:pBdr>
        <w:bottom w:val="single" w:sz="4" w:space="1" w:color="7F7F7F" w:themeColor="text1" w:themeTint="80"/>
      </w:pBdr>
      <w:jc w:val="center"/>
      <w:rPr>
        <w:rFonts w:ascii="UnitPro-Light" w:hAnsi="UnitPro-Light" w:cs="UnitPro-Light"/>
        <w:color w:val="7F7F7F" w:themeColor="text1" w:themeTint="80"/>
        <w:sz w:val="18"/>
        <w:szCs w:val="18"/>
      </w:rPr>
    </w:pPr>
    <w:r>
      <w:rPr>
        <w:rFonts w:ascii="UnitPro-Light" w:hAnsi="UnitPro-Light" w:cs="UnitPro-Light"/>
        <w:color w:val="7F7F7F" w:themeColor="text1" w:themeTint="80"/>
        <w:sz w:val="18"/>
        <w:szCs w:val="18"/>
      </w:rPr>
      <w:t>Zadání objemové studie severní části VRÚ Holešovice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B5E6" w14:textId="2E3FF730" w:rsidR="00F32089" w:rsidRDefault="00F32089" w:rsidP="00F32089">
    <w:pPr>
      <w:pStyle w:val="Zhlav"/>
      <w:jc w:val="right"/>
    </w:pPr>
    <w:r>
      <w:t>ZAK 18-0071 – 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AE4"/>
    <w:multiLevelType w:val="hybridMultilevel"/>
    <w:tmpl w:val="FFEA373C"/>
    <w:lvl w:ilvl="0" w:tplc="8A9027E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17EF6"/>
    <w:multiLevelType w:val="hybridMultilevel"/>
    <w:tmpl w:val="D4E4E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2253B"/>
    <w:multiLevelType w:val="hybridMultilevel"/>
    <w:tmpl w:val="FFEA373C"/>
    <w:lvl w:ilvl="0" w:tplc="8A9027E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81E23"/>
    <w:multiLevelType w:val="hybridMultilevel"/>
    <w:tmpl w:val="934A0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80E08"/>
    <w:multiLevelType w:val="hybridMultilevel"/>
    <w:tmpl w:val="190E7F2A"/>
    <w:lvl w:ilvl="0" w:tplc="1FDA3D54"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94"/>
    <w:rsid w:val="00013E14"/>
    <w:rsid w:val="0005334F"/>
    <w:rsid w:val="00070397"/>
    <w:rsid w:val="00096416"/>
    <w:rsid w:val="000C51FA"/>
    <w:rsid w:val="000F1E73"/>
    <w:rsid w:val="000F212C"/>
    <w:rsid w:val="001009D7"/>
    <w:rsid w:val="0011109D"/>
    <w:rsid w:val="001113F3"/>
    <w:rsid w:val="00121879"/>
    <w:rsid w:val="00142589"/>
    <w:rsid w:val="00156D07"/>
    <w:rsid w:val="00170A5E"/>
    <w:rsid w:val="0017718C"/>
    <w:rsid w:val="00180B8E"/>
    <w:rsid w:val="0018128A"/>
    <w:rsid w:val="00181A9B"/>
    <w:rsid w:val="00193E65"/>
    <w:rsid w:val="001A123B"/>
    <w:rsid w:val="001A1B83"/>
    <w:rsid w:val="001A44C2"/>
    <w:rsid w:val="001C16BD"/>
    <w:rsid w:val="001C1F78"/>
    <w:rsid w:val="001C6455"/>
    <w:rsid w:val="001D0F0D"/>
    <w:rsid w:val="001D6646"/>
    <w:rsid w:val="001E0252"/>
    <w:rsid w:val="001E33F8"/>
    <w:rsid w:val="001E690D"/>
    <w:rsid w:val="002044CD"/>
    <w:rsid w:val="002047C5"/>
    <w:rsid w:val="00240B89"/>
    <w:rsid w:val="00256678"/>
    <w:rsid w:val="00256DEC"/>
    <w:rsid w:val="002A50F3"/>
    <w:rsid w:val="002E1901"/>
    <w:rsid w:val="002F45E8"/>
    <w:rsid w:val="002F75C5"/>
    <w:rsid w:val="002F78EF"/>
    <w:rsid w:val="0033402F"/>
    <w:rsid w:val="0033576D"/>
    <w:rsid w:val="00361811"/>
    <w:rsid w:val="00365666"/>
    <w:rsid w:val="00370DA0"/>
    <w:rsid w:val="003726C4"/>
    <w:rsid w:val="00381912"/>
    <w:rsid w:val="00386B61"/>
    <w:rsid w:val="003D031F"/>
    <w:rsid w:val="003D7BF8"/>
    <w:rsid w:val="003F6928"/>
    <w:rsid w:val="00423E7A"/>
    <w:rsid w:val="0042732E"/>
    <w:rsid w:val="00443AD5"/>
    <w:rsid w:val="00457867"/>
    <w:rsid w:val="0046056A"/>
    <w:rsid w:val="00480836"/>
    <w:rsid w:val="004D4571"/>
    <w:rsid w:val="004F7D6E"/>
    <w:rsid w:val="00505143"/>
    <w:rsid w:val="0051441D"/>
    <w:rsid w:val="00523F57"/>
    <w:rsid w:val="00533118"/>
    <w:rsid w:val="00535191"/>
    <w:rsid w:val="00546296"/>
    <w:rsid w:val="00573E6F"/>
    <w:rsid w:val="0058062F"/>
    <w:rsid w:val="005912D2"/>
    <w:rsid w:val="00594981"/>
    <w:rsid w:val="005A5E47"/>
    <w:rsid w:val="005B226E"/>
    <w:rsid w:val="005B256E"/>
    <w:rsid w:val="005B73F0"/>
    <w:rsid w:val="005C65CC"/>
    <w:rsid w:val="00602362"/>
    <w:rsid w:val="00606833"/>
    <w:rsid w:val="00625A21"/>
    <w:rsid w:val="00625C5C"/>
    <w:rsid w:val="00675A19"/>
    <w:rsid w:val="006770C7"/>
    <w:rsid w:val="006860B8"/>
    <w:rsid w:val="0069559F"/>
    <w:rsid w:val="006B5AB9"/>
    <w:rsid w:val="006C1373"/>
    <w:rsid w:val="006C7AC4"/>
    <w:rsid w:val="006E1591"/>
    <w:rsid w:val="006E3385"/>
    <w:rsid w:val="006F0999"/>
    <w:rsid w:val="006F3DF2"/>
    <w:rsid w:val="006F79B7"/>
    <w:rsid w:val="00706345"/>
    <w:rsid w:val="00727AF1"/>
    <w:rsid w:val="007412C0"/>
    <w:rsid w:val="00755B03"/>
    <w:rsid w:val="00763E28"/>
    <w:rsid w:val="00776160"/>
    <w:rsid w:val="00782382"/>
    <w:rsid w:val="007A69EA"/>
    <w:rsid w:val="007D006A"/>
    <w:rsid w:val="007F2901"/>
    <w:rsid w:val="007F6266"/>
    <w:rsid w:val="008119F1"/>
    <w:rsid w:val="0081750F"/>
    <w:rsid w:val="008351C6"/>
    <w:rsid w:val="0084099A"/>
    <w:rsid w:val="00841088"/>
    <w:rsid w:val="008443AD"/>
    <w:rsid w:val="008449CE"/>
    <w:rsid w:val="00850738"/>
    <w:rsid w:val="0085612F"/>
    <w:rsid w:val="0086000D"/>
    <w:rsid w:val="00866D6C"/>
    <w:rsid w:val="00872352"/>
    <w:rsid w:val="008723A1"/>
    <w:rsid w:val="0089567A"/>
    <w:rsid w:val="008C78BE"/>
    <w:rsid w:val="008D159C"/>
    <w:rsid w:val="008F1299"/>
    <w:rsid w:val="009927E7"/>
    <w:rsid w:val="00994E7A"/>
    <w:rsid w:val="009D583C"/>
    <w:rsid w:val="009E2ADE"/>
    <w:rsid w:val="009E5F96"/>
    <w:rsid w:val="009F03EC"/>
    <w:rsid w:val="00A076E2"/>
    <w:rsid w:val="00A24DE6"/>
    <w:rsid w:val="00A45B43"/>
    <w:rsid w:val="00A469C2"/>
    <w:rsid w:val="00A619FF"/>
    <w:rsid w:val="00A8377E"/>
    <w:rsid w:val="00A93679"/>
    <w:rsid w:val="00A947B1"/>
    <w:rsid w:val="00AA4EF0"/>
    <w:rsid w:val="00AB61FE"/>
    <w:rsid w:val="00AE5C77"/>
    <w:rsid w:val="00AE77F1"/>
    <w:rsid w:val="00AF2948"/>
    <w:rsid w:val="00AF5B79"/>
    <w:rsid w:val="00B02E5A"/>
    <w:rsid w:val="00B139FC"/>
    <w:rsid w:val="00B16CE8"/>
    <w:rsid w:val="00B30DDF"/>
    <w:rsid w:val="00B35394"/>
    <w:rsid w:val="00B62520"/>
    <w:rsid w:val="00B71EA9"/>
    <w:rsid w:val="00B80575"/>
    <w:rsid w:val="00B965AB"/>
    <w:rsid w:val="00BA6B54"/>
    <w:rsid w:val="00BA71C1"/>
    <w:rsid w:val="00BB6E38"/>
    <w:rsid w:val="00BD341B"/>
    <w:rsid w:val="00BD7B93"/>
    <w:rsid w:val="00BD7B9C"/>
    <w:rsid w:val="00BF7400"/>
    <w:rsid w:val="00C0696A"/>
    <w:rsid w:val="00C44169"/>
    <w:rsid w:val="00C64AB6"/>
    <w:rsid w:val="00C72E07"/>
    <w:rsid w:val="00C77F85"/>
    <w:rsid w:val="00C81619"/>
    <w:rsid w:val="00C85298"/>
    <w:rsid w:val="00C97F5D"/>
    <w:rsid w:val="00CA15AA"/>
    <w:rsid w:val="00CB1454"/>
    <w:rsid w:val="00CF0B21"/>
    <w:rsid w:val="00D0761C"/>
    <w:rsid w:val="00D210B7"/>
    <w:rsid w:val="00D26A5D"/>
    <w:rsid w:val="00D40BD6"/>
    <w:rsid w:val="00D470A7"/>
    <w:rsid w:val="00D62745"/>
    <w:rsid w:val="00D76D7D"/>
    <w:rsid w:val="00D80682"/>
    <w:rsid w:val="00D858CC"/>
    <w:rsid w:val="00D90E97"/>
    <w:rsid w:val="00DA1373"/>
    <w:rsid w:val="00DB21CB"/>
    <w:rsid w:val="00DC644B"/>
    <w:rsid w:val="00DD0C09"/>
    <w:rsid w:val="00DD585E"/>
    <w:rsid w:val="00DE0E47"/>
    <w:rsid w:val="00E20162"/>
    <w:rsid w:val="00E24D1A"/>
    <w:rsid w:val="00E52627"/>
    <w:rsid w:val="00E555FC"/>
    <w:rsid w:val="00E63DB8"/>
    <w:rsid w:val="00E765F7"/>
    <w:rsid w:val="00E832A2"/>
    <w:rsid w:val="00EA04BC"/>
    <w:rsid w:val="00EC5D1B"/>
    <w:rsid w:val="00ED47EF"/>
    <w:rsid w:val="00EE4F45"/>
    <w:rsid w:val="00EF3294"/>
    <w:rsid w:val="00EF66A3"/>
    <w:rsid w:val="00F02D3A"/>
    <w:rsid w:val="00F16A48"/>
    <w:rsid w:val="00F200E7"/>
    <w:rsid w:val="00F23103"/>
    <w:rsid w:val="00F319BC"/>
    <w:rsid w:val="00F32089"/>
    <w:rsid w:val="00F42736"/>
    <w:rsid w:val="00F50C33"/>
    <w:rsid w:val="00F512EE"/>
    <w:rsid w:val="00F60D3C"/>
    <w:rsid w:val="00F66CDD"/>
    <w:rsid w:val="00F84CB9"/>
    <w:rsid w:val="00FB253F"/>
    <w:rsid w:val="00FB5D1F"/>
    <w:rsid w:val="00FB7DF1"/>
    <w:rsid w:val="00FC4B77"/>
    <w:rsid w:val="00FC751F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,"/>
  <w:listSeparator w:val=";"/>
  <w14:docId w14:val="06BB6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2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26E"/>
    <w:pPr>
      <w:ind w:left="720"/>
      <w:contextualSpacing/>
    </w:pPr>
  </w:style>
  <w:style w:type="table" w:styleId="Mkatabulky">
    <w:name w:val="Table Grid"/>
    <w:basedOn w:val="Normlntabulka"/>
    <w:uiPriority w:val="39"/>
    <w:rsid w:val="0084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9C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526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26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26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2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4108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A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E47"/>
  </w:style>
  <w:style w:type="paragraph" w:styleId="Zpat">
    <w:name w:val="footer"/>
    <w:basedOn w:val="Normln"/>
    <w:link w:val="ZpatChar"/>
    <w:uiPriority w:val="99"/>
    <w:unhideWhenUsed/>
    <w:rsid w:val="005A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2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26E"/>
    <w:pPr>
      <w:ind w:left="720"/>
      <w:contextualSpacing/>
    </w:pPr>
  </w:style>
  <w:style w:type="table" w:styleId="Mkatabulky">
    <w:name w:val="Table Grid"/>
    <w:basedOn w:val="Normlntabulka"/>
    <w:uiPriority w:val="39"/>
    <w:rsid w:val="0084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9C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526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26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26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2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4108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A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E47"/>
  </w:style>
  <w:style w:type="paragraph" w:styleId="Zpat">
    <w:name w:val="footer"/>
    <w:basedOn w:val="Normln"/>
    <w:link w:val="ZpatChar"/>
    <w:uiPriority w:val="99"/>
    <w:unhideWhenUsed/>
    <w:rsid w:val="005A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6BBF-F109-4C5C-AB62-43697912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Križan Luboš Ing. arch. (IPR/SPM)</dc:creator>
  <cp:keywords/>
  <dc:description/>
  <cp:lastModifiedBy>Vávrová Eva Ing. (IPR/SPE)</cp:lastModifiedBy>
  <cp:revision>4</cp:revision>
  <cp:lastPrinted>2018-03-01T12:00:00Z</cp:lastPrinted>
  <dcterms:created xsi:type="dcterms:W3CDTF">2018-03-02T13:52:00Z</dcterms:created>
  <dcterms:modified xsi:type="dcterms:W3CDTF">2018-03-07T10:18:00Z</dcterms:modified>
</cp:coreProperties>
</file>