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B6B27" w:rsidR="00A96C43" w:rsidP="007B6B27" w:rsidRDefault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P-2018/060</w:t>
      </w:r>
    </w:p>
    <w:p w:rsidRPr="00445CE7" w:rsidR="007B6B27" w:rsidP="007B6B27" w:rsidRDefault="007B6B27">
      <w:pPr>
        <w:jc w:val="center"/>
        <w:rPr>
          <w:sz w:val="12"/>
        </w:rPr>
      </w:pPr>
    </w:p>
    <w:p w:rsidRPr="007B6B27" w:rsidR="007B6B27" w:rsidP="007B6B27" w:rsidRDefault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Pr="007B6B27" w:rsidR="007B6B27" w:rsidP="007B6B27" w:rsidRDefault="007B6B27">
      <w:pPr>
        <w:jc w:val="center"/>
      </w:pPr>
      <w:r w:rsidRPr="007B6B27">
        <w:t>IČ: 00023264 DIČ: CZ00023264</w:t>
      </w:r>
    </w:p>
    <w:p w:rsidRPr="007B6B27" w:rsidR="007B6B27" w:rsidP="007B6B27" w:rsidRDefault="007B6B27">
      <w:pPr>
        <w:jc w:val="center"/>
      </w:pPr>
      <w:r w:rsidRPr="007B6B27">
        <w:t>zastoupená: Michal Medek, obchodní náměstek</w:t>
      </w:r>
    </w:p>
    <w:p w:rsidRPr="007B6B27"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7B6B27">
      <w:pPr>
        <w:jc w:val="center"/>
      </w:pPr>
      <w:r w:rsidRPr="007B6B27">
        <w:t>a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FF4087">
      <w:pPr>
        <w:jc w:val="center"/>
        <w:rPr>
          <w:b/>
        </w:rPr>
      </w:pPr>
      <w:r>
        <w:rPr>
          <w:b/>
        </w:rPr>
        <w:t>Prague International Marathon, spol. s r.o.</w:t>
      </w:r>
      <w:r w:rsidRPr="007B6B27" w:rsidR="007B6B27">
        <w:rPr>
          <w:b/>
        </w:rPr>
        <w:t xml:space="preserve">, </w:t>
      </w:r>
      <w:r>
        <w:rPr>
          <w:b/>
        </w:rPr>
        <w:t>Františka Křižíka 461/11, 17000 Praha 7 Holešovice</w:t>
      </w:r>
    </w:p>
    <w:p w:rsidRPr="007B6B27" w:rsidR="007B6B27" w:rsidP="007B6B27" w:rsidRDefault="007B6B27">
      <w:pPr>
        <w:jc w:val="center"/>
      </w:pPr>
      <w:r w:rsidRPr="007B6B27">
        <w:t xml:space="preserve">IČ: </w:t>
      </w:r>
      <w:r w:rsidR="00FF4087">
        <w:t>63673738            </w:t>
      </w:r>
      <w:r w:rsidRPr="007B6B27">
        <w:t xml:space="preserve"> DIČ: </w:t>
      </w:r>
      <w:r w:rsidR="00FF4087">
        <w:t>CZ63673738          </w:t>
      </w:r>
      <w:r w:rsidRPr="007B6B27">
        <w:t xml:space="preserve"> Banka: </w:t>
      </w:r>
      <w:r w:rsidR="00FF4087">
        <w:t/>
      </w:r>
    </w:p>
    <w:p w:rsidRPr="007B6B27" w:rsidR="007B6B27" w:rsidP="007B6B27" w:rsidRDefault="007B6B27">
      <w:pPr>
        <w:jc w:val="center"/>
      </w:pPr>
      <w:r w:rsidRPr="007B6B27">
        <w:t xml:space="preserve">zastoupený/á: </w:t>
      </w:r>
      <w:r w:rsidR="00FF4087">
        <w:t>Carlo Capalbo</w:t>
      </w:r>
    </w:p>
    <w:p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P="007B6B27" w:rsidRDefault="007B6B27"/>
    <w:p w:rsidRPr="00445CE7" w:rsidR="007B6B27" w:rsidP="007B6B27" w:rsidRDefault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Pr="00445CE7" w:rsidR="007B6B27" w:rsidP="007B6B27" w:rsidRDefault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2E5665" w:rsidP="002E5665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Pr="00445CE7" w:rsidR="002E5665" w:rsidP="002E5665" w:rsidRDefault="002E5665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2E5665" w:rsidRDefault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Pr="00445CE7" w:rsidR="005B628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Pr="00445CE7" w:rsidR="005B628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Pr="00445CE7" w:rsidR="007B6B27">
        <w:rPr>
          <w:rFonts w:ascii="Arial Narrow" w:hAnsi="Arial Narrow"/>
        </w:rPr>
        <w:t xml:space="preserve"> </w:t>
      </w:r>
    </w:p>
    <w:p w:rsidRPr="00445CE7" w:rsidR="002E5665" w:rsidP="002E5665" w:rsidRDefault="002E5665">
      <w:pPr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Pr="00445CE7" w:rsidR="00445CE7" w:rsidP="00445CE7" w:rsidRDefault="00445CE7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E75800" w:rsidRDefault="00445CE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P="007B6B27" w:rsidRDefault="007B6B27">
      <w:r w:rsidRPr="007B6B27">
        <w:t xml:space="preserve"> </w:t>
      </w:r>
    </w:p>
    <w:p w:rsidRPr="007B6B27" w:rsidR="00E75800" w:rsidP="007B6B27" w:rsidRDefault="00E75800"/>
    <w:p w:rsidRPr="007B6B27" w:rsidR="007B6B27" w:rsidP="007B6B27" w:rsidRDefault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7B6B27" w:rsidP="007B6B27" w:rsidRDefault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Pr="007B6B27" w:rsidR="00921B98" w:rsidP="00921B98" w:rsidRDefault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P-2018/060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  <w:tblCaption w:val="PREDMET"/>
      </w:tblPr>
      <w:tblGrid xmlns:w="http://schemas.openxmlformats.org/wordprocessingml/2006/main">
        <w:gridCol w:w="3085"/>
        <w:gridCol w:w="4394"/>
        <w:gridCol w:w="3686"/>
      </w:tblGrid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TV technika na střeše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Střecha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připojení elektřiny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Mimo budovu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parkování vozů TV přenos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Kočárový vjezd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1095 -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Schodiště před hlavním vchodem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muži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ženy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2036 -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tiskové středisko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Schodiště před hlavním vchodem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doping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1095 -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VIP zóna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Zádveří Dvořákovy síně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VIP zóna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Respirium č. 2065 -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otevření vstupní branky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Služební vchod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1095 -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Pr="00634D5A"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016" w:type="dxa"/>
        <w:tblLayout w:type="fixed"/>
        <w:tblLook w:val="04A0"/>
        <w:tblCaption w:val="CENA"/>
      </w:tblPr>
      <w:tblGrid xmlns:w="http://schemas.openxmlformats.org/wordprocessingml/2006/main">
        <w:gridCol w:w="6204"/>
        <w:gridCol w:w="850"/>
        <w:gridCol w:w="1559"/>
        <w:gridCol w:w="993"/>
        <w:gridCol w:w="1410"/>
      </w:tblGrid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1/2 maraton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312C70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  <w:bookmarkStart w:name="_GoBack" w:id="0"/>
            <w:bookmarkEnd w:id="0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95 000,00 Kč</w:t>
            </w:r>
          </w:p>
        </w:tc>
      </w:tr>
    </w:tbl>
    <w:p w:rsidR="00A24C52" w:rsidP="007B6B27" w:rsidRDefault="00A24C52"/>
    <w:p w:rsidR="00A24C52" w:rsidP="007B6B27" w:rsidRDefault="002D6B73">
      <w:r>
        <w:t/>
      </w:r>
    </w:p>
    <w:p w:rsidR="00A24C52" w:rsidP="007B6B27" w:rsidRDefault="00A24C52"/>
    <w:p w:rsidR="00A24C52" w:rsidP="007B6B27" w:rsidRDefault="00A24C52"/>
    <w:p w:rsidRPr="007B6B27" w:rsidR="00A24C52" w:rsidP="00A24C52" w:rsidRDefault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A24C52" w:rsidP="00A24C52" w:rsidRDefault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Pr="007B6B27" w:rsidR="00A24C52" w:rsidP="00A24C52" w:rsidRDefault="00A24C52">
      <w:r w:rsidRPr="007B6B27">
        <w:t xml:space="preserve"> </w:t>
      </w:r>
    </w:p>
    <w:p w:rsidR="00A24C52" w:rsidP="00A24C52" w:rsidRDefault="00A24C52"/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Pr="007B6B27" w:rsidR="00A24C52" w:rsidP="007B6B27" w:rsidRDefault="00A24C52"/>
    <w:sectPr w:rsidRPr="007B6B27" w:rsidR="00A24C52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Bělohradský Jiří</cp:lastModifiedBy>
  <cp:revision>6</cp:revision>
  <dcterms:created xsi:type="dcterms:W3CDTF">2017-05-05T12:39:00Z</dcterms:created>
  <dcterms:modified xsi:type="dcterms:W3CDTF">2017-07-27T12:24:00Z</dcterms:modified>
</cp:coreProperties>
</file>