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36" w:rsidRDefault="00040136"/>
    <w:p w:rsidR="000376BA" w:rsidRPr="00446ED3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NAŠE ZN.:</w:t>
      </w:r>
      <w:r>
        <w:rPr>
          <w:sz w:val="24"/>
        </w:rPr>
        <w:tab/>
      </w:r>
      <w:r w:rsidR="004A7428" w:rsidRPr="00111C20">
        <w:rPr>
          <w:sz w:val="24"/>
        </w:rPr>
        <w:t>SŠINFIS/</w:t>
      </w:r>
      <w:r w:rsidR="006C7F05">
        <w:rPr>
          <w:sz w:val="24"/>
        </w:rPr>
        <w:t>522</w:t>
      </w:r>
      <w:r w:rsidR="004C0253">
        <w:rPr>
          <w:sz w:val="24"/>
        </w:rPr>
        <w:t>/18</w:t>
      </w:r>
      <w:r>
        <w:rPr>
          <w:sz w:val="24"/>
        </w:rPr>
        <w:tab/>
      </w:r>
    </w:p>
    <w:p w:rsidR="000376BA" w:rsidRPr="00446ED3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9F7190">
        <w:rPr>
          <w:sz w:val="24"/>
        </w:rPr>
        <w:t xml:space="preserve"> </w:t>
      </w:r>
    </w:p>
    <w:p w:rsidR="000376BA" w:rsidRPr="00234E26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VYŘIZUJE:</w:t>
      </w:r>
      <w:r>
        <w:rPr>
          <w:sz w:val="24"/>
        </w:rPr>
        <w:tab/>
      </w:r>
      <w:r w:rsidR="00A430CF">
        <w:rPr>
          <w:sz w:val="24"/>
        </w:rPr>
        <w:t>Martin Novotný</w:t>
      </w:r>
      <w:r w:rsidR="00A842A7">
        <w:rPr>
          <w:sz w:val="24"/>
        </w:rPr>
        <w:t xml:space="preserve"> </w:t>
      </w:r>
      <w:r>
        <w:rPr>
          <w:sz w:val="24"/>
        </w:rPr>
        <w:tab/>
      </w:r>
      <w:proofErr w:type="spellStart"/>
      <w:r w:rsidR="00CB0CB1" w:rsidRPr="00CB0CB1">
        <w:rPr>
          <w:sz w:val="24"/>
        </w:rPr>
        <w:t>Edufor</w:t>
      </w:r>
      <w:proofErr w:type="spellEnd"/>
      <w:r w:rsidR="00043F8D" w:rsidRPr="00CB0CB1">
        <w:rPr>
          <w:sz w:val="24"/>
        </w:rPr>
        <w:t xml:space="preserve"> </w:t>
      </w:r>
      <w:r w:rsidR="00CB0CB1">
        <w:rPr>
          <w:sz w:val="24"/>
        </w:rPr>
        <w:t>s.r.o.</w:t>
      </w:r>
    </w:p>
    <w:p w:rsidR="000376BA" w:rsidRPr="00234E26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TEL.:</w:t>
      </w:r>
      <w:r>
        <w:rPr>
          <w:sz w:val="24"/>
        </w:rPr>
        <w:tab/>
        <w:t>377</w:t>
      </w:r>
      <w:r w:rsidR="00CB0CB1">
        <w:rPr>
          <w:sz w:val="24"/>
        </w:rPr>
        <w:t> 477 517</w:t>
      </w:r>
      <w:r>
        <w:rPr>
          <w:sz w:val="24"/>
        </w:rPr>
        <w:tab/>
      </w:r>
      <w:r w:rsidR="00CB0CB1">
        <w:rPr>
          <w:sz w:val="24"/>
        </w:rPr>
        <w:t>Příborská 518</w:t>
      </w:r>
    </w:p>
    <w:p w:rsidR="000376BA" w:rsidRPr="00234E26" w:rsidRDefault="0000619E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</w:rPr>
      </w:pPr>
      <w:r>
        <w:rPr>
          <w:rFonts w:ascii="Arial" w:hAnsi="Arial"/>
          <w:sz w:val="16"/>
        </w:rPr>
        <w:t>E-MAIL:</w:t>
      </w:r>
      <w:r>
        <w:rPr>
          <w:sz w:val="24"/>
        </w:rPr>
        <w:tab/>
      </w:r>
      <w:hyperlink r:id="rId10" w:history="1">
        <w:r w:rsidR="00CB0CB1" w:rsidRPr="003F6037">
          <w:rPr>
            <w:rStyle w:val="Hypertextovodkaz"/>
            <w:sz w:val="24"/>
          </w:rPr>
          <w:t>novotny@ssinfis.cz</w:t>
        </w:r>
      </w:hyperlink>
      <w:r>
        <w:rPr>
          <w:rFonts w:ascii="Arial" w:hAnsi="Arial"/>
          <w:sz w:val="16"/>
        </w:rPr>
        <w:tab/>
      </w:r>
      <w:r w:rsidR="00043F8D" w:rsidRPr="00043F8D">
        <w:rPr>
          <w:sz w:val="24"/>
        </w:rPr>
        <w:t xml:space="preserve">199 00 </w:t>
      </w:r>
      <w:r w:rsidR="00043F8D">
        <w:rPr>
          <w:sz w:val="24"/>
        </w:rPr>
        <w:t xml:space="preserve"> </w:t>
      </w:r>
      <w:r w:rsidR="00043F8D" w:rsidRPr="00043F8D">
        <w:rPr>
          <w:sz w:val="24"/>
        </w:rPr>
        <w:t>Praha 9</w:t>
      </w:r>
      <w:r w:rsidR="00FF2083">
        <w:rPr>
          <w:sz w:val="24"/>
        </w:rPr>
        <w:tab/>
      </w:r>
      <w:r w:rsidR="0034630A">
        <w:rPr>
          <w:sz w:val="24"/>
        </w:rPr>
        <w:t xml:space="preserve"> </w:t>
      </w:r>
    </w:p>
    <w:p w:rsidR="00234E26" w:rsidRDefault="0000619E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="Arial" w:hAnsi="Arial" w:cs="Arial"/>
          <w:color w:val="3F3F4A"/>
          <w:sz w:val="18"/>
          <w:szCs w:val="18"/>
        </w:rPr>
      </w:pPr>
      <w:r>
        <w:rPr>
          <w:rFonts w:ascii="Arial" w:hAnsi="Arial"/>
          <w:sz w:val="16"/>
        </w:rPr>
        <w:t>DATUM:</w:t>
      </w:r>
      <w:r>
        <w:rPr>
          <w:sz w:val="24"/>
        </w:rPr>
        <w:tab/>
      </w:r>
      <w:r w:rsidR="006C7F05">
        <w:rPr>
          <w:sz w:val="24"/>
        </w:rPr>
        <w:t>26</w:t>
      </w:r>
      <w:r w:rsidR="006100A5">
        <w:rPr>
          <w:sz w:val="24"/>
        </w:rPr>
        <w:t>. 3. 2018</w:t>
      </w:r>
      <w:r w:rsidR="000376BA">
        <w:rPr>
          <w:sz w:val="24"/>
        </w:rPr>
        <w:tab/>
      </w:r>
    </w:p>
    <w:p w:rsidR="000376BA" w:rsidRPr="008D01D4" w:rsidRDefault="000376BA" w:rsidP="000376BA">
      <w:pPr>
        <w:tabs>
          <w:tab w:val="left" w:pos="1418"/>
          <w:tab w:val="left" w:pos="5812"/>
        </w:tabs>
        <w:spacing w:line="240" w:lineRule="exact"/>
        <w:ind w:left="5812" w:hanging="5812"/>
        <w:rPr>
          <w:sz w:val="24"/>
          <w:szCs w:val="24"/>
        </w:rPr>
      </w:pPr>
      <w:r>
        <w:rPr>
          <w:sz w:val="24"/>
        </w:rPr>
        <w:tab/>
      </w:r>
    </w:p>
    <w:p w:rsidR="00234E26" w:rsidRPr="008D01D4" w:rsidRDefault="00234E26" w:rsidP="009F7190">
      <w:pPr>
        <w:jc w:val="both"/>
        <w:rPr>
          <w:b/>
          <w:sz w:val="24"/>
          <w:szCs w:val="24"/>
        </w:rPr>
      </w:pPr>
    </w:p>
    <w:p w:rsidR="00AF483F" w:rsidRPr="00A430CF" w:rsidRDefault="00A430CF" w:rsidP="00AF483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Objednávka</w:t>
      </w:r>
      <w:r w:rsidR="006100A5" w:rsidRPr="008D01D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didaktických pomůcek – </w:t>
      </w:r>
      <w:r w:rsidR="006C7F05">
        <w:rPr>
          <w:b/>
          <w:sz w:val="24"/>
          <w:szCs w:val="24"/>
        </w:rPr>
        <w:t>měřidla fyzikálních veličin</w:t>
      </w:r>
      <w:r w:rsidRPr="00A430CF">
        <w:rPr>
          <w:b/>
          <w:sz w:val="24"/>
          <w:szCs w:val="24"/>
        </w:rPr>
        <w:t xml:space="preserve"> pro realizaci klíčových aktivit projektu CZ.02.3.68/0.0/</w:t>
      </w:r>
      <w:r w:rsidR="006C7F05">
        <w:rPr>
          <w:b/>
          <w:sz w:val="24"/>
          <w:szCs w:val="24"/>
        </w:rPr>
        <w:t>0.0/</w:t>
      </w:r>
      <w:r w:rsidRPr="00A430CF">
        <w:rPr>
          <w:b/>
          <w:sz w:val="24"/>
          <w:szCs w:val="24"/>
        </w:rPr>
        <w:t>16_034/0008356 Podpora odborného vzdělávání v P</w:t>
      </w:r>
      <w:r>
        <w:rPr>
          <w:b/>
          <w:sz w:val="24"/>
          <w:szCs w:val="24"/>
        </w:rPr>
        <w:t>K</w:t>
      </w:r>
    </w:p>
    <w:p w:rsidR="00234E26" w:rsidRPr="008D01D4" w:rsidRDefault="00234E26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Pěkný den,  </w:t>
      </w:r>
    </w:p>
    <w:p w:rsidR="006100A5" w:rsidRPr="008D01D4" w:rsidRDefault="006100A5" w:rsidP="00783145">
      <w:pPr>
        <w:jc w:val="both"/>
        <w:rPr>
          <w:sz w:val="24"/>
          <w:szCs w:val="24"/>
        </w:rPr>
      </w:pPr>
    </w:p>
    <w:p w:rsidR="007013E3" w:rsidRDefault="00CB0CB1" w:rsidP="0078314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Pr="008D01D4">
        <w:rPr>
          <w:sz w:val="24"/>
          <w:szCs w:val="24"/>
        </w:rPr>
        <w:t>realiz</w:t>
      </w:r>
      <w:r>
        <w:rPr>
          <w:sz w:val="24"/>
          <w:szCs w:val="24"/>
        </w:rPr>
        <w:t>aci</w:t>
      </w:r>
      <w:r w:rsidRPr="008D01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jedné z klíčových aktivit </w:t>
      </w:r>
      <w:r w:rsidRPr="008D01D4">
        <w:rPr>
          <w:sz w:val="24"/>
          <w:szCs w:val="24"/>
        </w:rPr>
        <w:t>projekt</w:t>
      </w:r>
      <w:r>
        <w:rPr>
          <w:sz w:val="24"/>
          <w:szCs w:val="24"/>
        </w:rPr>
        <w:t>u</w:t>
      </w:r>
      <w:r w:rsidRPr="008D01D4">
        <w:rPr>
          <w:sz w:val="24"/>
          <w:szCs w:val="24"/>
        </w:rPr>
        <w:t xml:space="preserve"> CZ.02.3.68/0.0/</w:t>
      </w:r>
      <w:r w:rsidR="006C7F05">
        <w:rPr>
          <w:sz w:val="24"/>
          <w:szCs w:val="24"/>
        </w:rPr>
        <w:t>0.0/</w:t>
      </w:r>
      <w:r w:rsidRPr="008D01D4">
        <w:rPr>
          <w:sz w:val="24"/>
          <w:szCs w:val="24"/>
        </w:rPr>
        <w:t>16_034/0008356</w:t>
      </w:r>
      <w:r>
        <w:rPr>
          <w:sz w:val="24"/>
          <w:szCs w:val="24"/>
        </w:rPr>
        <w:t xml:space="preserve"> </w:t>
      </w:r>
      <w:r w:rsidRPr="008D01D4">
        <w:rPr>
          <w:sz w:val="24"/>
          <w:szCs w:val="24"/>
        </w:rPr>
        <w:t>Podpora odborného vzdělávání v Plzeňském kraji</w:t>
      </w:r>
      <w:r w:rsidR="004D34C3" w:rsidRPr="008D01D4">
        <w:rPr>
          <w:sz w:val="24"/>
          <w:szCs w:val="24"/>
        </w:rPr>
        <w:t xml:space="preserve"> bychom Vás chtěli požádat o </w:t>
      </w:r>
      <w:r>
        <w:rPr>
          <w:sz w:val="24"/>
          <w:szCs w:val="24"/>
        </w:rPr>
        <w:t>dodávku</w:t>
      </w:r>
      <w:r w:rsidR="004D34C3" w:rsidRPr="008D01D4">
        <w:rPr>
          <w:sz w:val="24"/>
          <w:szCs w:val="24"/>
        </w:rPr>
        <w:t xml:space="preserve"> zařízení dle níže uvedené specifikace</w:t>
      </w:r>
      <w:r w:rsidR="00E82AFE">
        <w:rPr>
          <w:sz w:val="24"/>
          <w:szCs w:val="24"/>
        </w:rPr>
        <w:t xml:space="preserve"> (uvedené ceny jsou včetně DPH)</w:t>
      </w:r>
      <w:bookmarkStart w:id="0" w:name="_GoBack"/>
      <w:bookmarkEnd w:id="0"/>
      <w:r>
        <w:rPr>
          <w:sz w:val="24"/>
          <w:szCs w:val="24"/>
        </w:rPr>
        <w:t>:</w:t>
      </w:r>
    </w:p>
    <w:p w:rsidR="006100A5" w:rsidRDefault="006100A5" w:rsidP="00783145">
      <w:pPr>
        <w:jc w:val="both"/>
        <w:rPr>
          <w:sz w:val="24"/>
          <w:szCs w:val="24"/>
        </w:rPr>
      </w:pP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179"/>
        <w:gridCol w:w="1134"/>
        <w:gridCol w:w="567"/>
        <w:gridCol w:w="1418"/>
      </w:tblGrid>
      <w:tr w:rsidR="00BD382E" w:rsidRPr="00BD382E" w:rsidTr="00BD382E">
        <w:trPr>
          <w:trHeight w:val="60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LQ-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Stream</w:t>
            </w:r>
            <w:proofErr w:type="spellEnd"/>
          </w:p>
        </w:tc>
        <w:tc>
          <w:tcPr>
            <w:tcW w:w="51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 xml:space="preserve">Rozhraní umožňující jak bezdrátové připojení senzorů pomocí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Bluetooth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(pro tablety a chytré telefony), tak klasické připojení přes USB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11 970 Kč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11 970 Kč</w:t>
            </w:r>
          </w:p>
        </w:tc>
      </w:tr>
      <w:tr w:rsidR="00BD382E" w:rsidRPr="00BD382E" w:rsidTr="00BD382E">
        <w:trPr>
          <w:trHeight w:val="6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DCP-BTA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Jednoduchý ampérmetr vhodný k měření proudů v nízkonapěťových stejnosměrných i střídavých obvodech. ± 0,6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2 189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2 189 Kč</w:t>
            </w:r>
          </w:p>
        </w:tc>
      </w:tr>
      <w:tr w:rsidR="00BD382E" w:rsidRPr="00BD382E" w:rsidTr="00BD382E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DVP-BTA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Voltmetr vhodný pro univerzální použití v nízkonapěťových stejnosměrných i střídavých obvodech. Na rozdíl od voltmetru VP-BTA nemá společné uzemnění, lze tedy bez problémů používat více těchto voltmetrů současně. ± 6,0 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2 189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2 189 Kč</w:t>
            </w:r>
          </w:p>
        </w:tc>
      </w:tr>
      <w:tr w:rsidR="00BD382E" w:rsidRPr="00BD382E" w:rsidTr="00BD38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DFS-BTA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Uni</w:t>
            </w:r>
            <w:r>
              <w:rPr>
                <w:rFonts w:ascii="Calibri" w:hAnsi="Calibri" w:cs="Calibri"/>
                <w:color w:val="000000"/>
              </w:rPr>
              <w:t xml:space="preserve">verzální </w:t>
            </w:r>
            <w:proofErr w:type="spellStart"/>
            <w:r>
              <w:rPr>
                <w:rFonts w:ascii="Calibri" w:hAnsi="Calibri" w:cs="Calibri"/>
                <w:color w:val="000000"/>
              </w:rPr>
              <w:t>dvourozsahový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siloměr </w:t>
            </w:r>
            <w:r w:rsidRPr="00BD382E">
              <w:rPr>
                <w:rFonts w:ascii="Calibri" w:hAnsi="Calibri" w:cs="Calibri"/>
                <w:color w:val="000000"/>
              </w:rPr>
              <w:t>se 2 rozsahy pro měření síly v tlaku i v tahu. +/-50N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5 985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5 985 Kč</w:t>
            </w:r>
          </w:p>
        </w:tc>
      </w:tr>
      <w:tr w:rsidR="00BD382E" w:rsidRPr="00BD382E" w:rsidTr="00BD382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TCA-BTA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proofErr w:type="spellStart"/>
            <w:r w:rsidRPr="00BD382E">
              <w:rPr>
                <w:rFonts w:ascii="Calibri" w:hAnsi="Calibri" w:cs="Calibri"/>
                <w:color w:val="000000"/>
              </w:rPr>
              <w:t>Thermocouple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– termočlánek, teploměr od -200 °C do +1400 °C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3 985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3 985 Kč</w:t>
            </w:r>
          </w:p>
        </w:tc>
      </w:tr>
      <w:tr w:rsidR="00BD382E" w:rsidRPr="00BD382E" w:rsidTr="00BD382E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OHSK-2201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Laboratorní váhy - vážení (7 jednotek), počítání kusů (s automatickou optimalizací), podržení hodnoty na displeji, procentuální vážení, totalizace, stanovení hustoty nebo specifické hmotnosti vážením s háčkem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8 789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8 789 Kč</w:t>
            </w:r>
          </w:p>
        </w:tc>
      </w:tr>
      <w:tr w:rsidR="00BD382E" w:rsidRPr="00BD382E" w:rsidTr="00BD382E">
        <w:trPr>
          <w:trHeight w:val="9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OHSK-USB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 xml:space="preserve">Zásuvný modul do vah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Ohaus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řady Scout SKX sloužící k připojení vah k počítači nebo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LabQuestu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2 pomocí USB. S takto připojenými vahami pak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LabQuest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2 a software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Logger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Pro dokáží pracovat stejně jako s klasickými senzory Vernier.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2 596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2 596 Kč</w:t>
            </w:r>
          </w:p>
        </w:tc>
      </w:tr>
      <w:tr w:rsidR="00BD382E" w:rsidRPr="00BD382E" w:rsidTr="00BD382E">
        <w:trPr>
          <w:trHeight w:val="24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lastRenderedPageBreak/>
              <w:t>PS-EDU</w:t>
            </w:r>
          </w:p>
        </w:tc>
        <w:tc>
          <w:tcPr>
            <w:tcW w:w="51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 xml:space="preserve">Relativně nízká cena a možnost připojení k </w:t>
            </w:r>
            <w:proofErr w:type="spellStart"/>
            <w:r w:rsidRPr="00BD382E">
              <w:rPr>
                <w:rFonts w:ascii="Calibri" w:hAnsi="Calibri" w:cs="Calibri"/>
                <w:color w:val="000000"/>
              </w:rPr>
              <w:t>LabQuestu</w:t>
            </w:r>
            <w:proofErr w:type="spellEnd"/>
            <w:r w:rsidRPr="00BD382E">
              <w:rPr>
                <w:rFonts w:ascii="Calibri" w:hAnsi="Calibri" w:cs="Calibri"/>
                <w:color w:val="000000"/>
              </w:rPr>
              <w:t xml:space="preserve"> 2 i k počítači. Rozlišení 2592 × 1944 bodů může přijít vhod při pořizování fotografií. Dá se použít jako elektronická lupa se zvětšením cca 10×, ale také jako mikroskop se zvět</w:t>
            </w:r>
            <w:r>
              <w:rPr>
                <w:rFonts w:ascii="Calibri" w:hAnsi="Calibri" w:cs="Calibri"/>
                <w:color w:val="000000"/>
              </w:rPr>
              <w:t>šením 300×. Při pozorování stru</w:t>
            </w:r>
            <w:r w:rsidRPr="00BD382E">
              <w:rPr>
                <w:rFonts w:ascii="Calibri" w:hAnsi="Calibri" w:cs="Calibri"/>
                <w:color w:val="000000"/>
              </w:rPr>
              <w:t>k</w:t>
            </w:r>
            <w:r>
              <w:rPr>
                <w:rFonts w:ascii="Calibri" w:hAnsi="Calibri" w:cs="Calibri"/>
                <w:color w:val="000000"/>
              </w:rPr>
              <w:t>t</w:t>
            </w:r>
            <w:r w:rsidRPr="00BD382E">
              <w:rPr>
                <w:rFonts w:ascii="Calibri" w:hAnsi="Calibri" w:cs="Calibri"/>
                <w:color w:val="000000"/>
              </w:rPr>
              <w:t>ury textilií, listů rostlin apod. lze intenzitu světla plynule regulovat. Světlo se dá také úplně vypnout, například při pozorování pixelů na displeji mobilu či počítače. Mikroskop je vybaven stojánkem s mikrometrickým zaostřovacím šroubem. Při práci v terénu nebo při prohlížení specifických objektů (například vousy na tváři) se dá mikroskop ze stojánku sundat.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6 985 Kč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CC"/>
            <w:noWrap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</w:rPr>
            </w:pPr>
            <w:r w:rsidRPr="00BD382E">
              <w:rPr>
                <w:rFonts w:ascii="Calibri" w:hAnsi="Calibri" w:cs="Calibri"/>
                <w:color w:val="000000"/>
              </w:rPr>
              <w:t>6 985 Kč</w:t>
            </w:r>
          </w:p>
        </w:tc>
      </w:tr>
      <w:tr w:rsidR="006C7F05" w:rsidRPr="006C7F05" w:rsidTr="00BD382E">
        <w:trPr>
          <w:trHeight w:val="4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82E" w:rsidRPr="00BD382E" w:rsidRDefault="00BD382E" w:rsidP="00BD382E">
            <w:pPr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382E" w:rsidRPr="006C7F05" w:rsidRDefault="00BD382E" w:rsidP="00BD382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Calibri" w:hAnsi="Calibri" w:cs="Calibri"/>
                <w:b/>
                <w:sz w:val="32"/>
                <w:szCs w:val="32"/>
              </w:rPr>
            </w:pPr>
            <w:r w:rsidRPr="006C7F05">
              <w:rPr>
                <w:rFonts w:ascii="Calibri" w:hAnsi="Calibri" w:cs="Calibri"/>
                <w:b/>
                <w:sz w:val="32"/>
                <w:szCs w:val="32"/>
              </w:rPr>
              <w:t>44 688 Kč</w:t>
            </w:r>
          </w:p>
        </w:tc>
      </w:tr>
    </w:tbl>
    <w:p w:rsidR="00A430CF" w:rsidRDefault="00A430CF" w:rsidP="00783145">
      <w:pPr>
        <w:jc w:val="both"/>
        <w:rPr>
          <w:sz w:val="24"/>
          <w:szCs w:val="24"/>
        </w:rPr>
      </w:pPr>
    </w:p>
    <w:p w:rsidR="00A430CF" w:rsidRPr="008D01D4" w:rsidRDefault="00A430CF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6C7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Prosím uvést do faktury text: </w:t>
      </w:r>
    </w:p>
    <w:p w:rsidR="006C7F05" w:rsidRDefault="006C7F05" w:rsidP="006C7F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Na základě Vámi zaslané objednávky čj. SŠINFIS/52</w:t>
      </w:r>
      <w:r>
        <w:rPr>
          <w:b/>
          <w:i/>
          <w:sz w:val="24"/>
          <w:szCs w:val="24"/>
        </w:rPr>
        <w:t>2</w:t>
      </w:r>
      <w:r>
        <w:rPr>
          <w:b/>
          <w:i/>
          <w:sz w:val="24"/>
          <w:szCs w:val="24"/>
        </w:rPr>
        <w:t xml:space="preserve">/18 Vám fakturujeme </w:t>
      </w:r>
      <w:r>
        <w:rPr>
          <w:b/>
          <w:i/>
          <w:sz w:val="24"/>
          <w:szCs w:val="24"/>
        </w:rPr>
        <w:t>měřidla fyzikálních veličin</w:t>
      </w:r>
      <w:r>
        <w:rPr>
          <w:b/>
          <w:i/>
          <w:sz w:val="24"/>
          <w:szCs w:val="24"/>
        </w:rPr>
        <w:t xml:space="preserve"> pro realizaci klíčových aktivit projektu CZ.02.3.68/0.0/0.0/16_034/0008356 Podpora odborného vzdělávání v Plzeňském kraji.  </w:t>
      </w:r>
    </w:p>
    <w:p w:rsidR="006C7F05" w:rsidRDefault="006C7F05" w:rsidP="006C7F05">
      <w:pPr>
        <w:jc w:val="both"/>
        <w:rPr>
          <w:b/>
          <w:sz w:val="24"/>
          <w:szCs w:val="24"/>
        </w:rPr>
      </w:pPr>
    </w:p>
    <w:p w:rsidR="006C7F05" w:rsidRDefault="006C7F05" w:rsidP="006C7F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Fakturační údaje najdete v zápatí objednávky. </w:t>
      </w:r>
    </w:p>
    <w:p w:rsidR="006C7F05" w:rsidRDefault="006C7F05" w:rsidP="006C7F05">
      <w:pPr>
        <w:jc w:val="both"/>
        <w:rPr>
          <w:sz w:val="24"/>
          <w:szCs w:val="24"/>
        </w:rPr>
      </w:pPr>
    </w:p>
    <w:p w:rsidR="006C7F05" w:rsidRDefault="006C7F05" w:rsidP="006C7F05">
      <w:pPr>
        <w:jc w:val="both"/>
        <w:rPr>
          <w:sz w:val="24"/>
          <w:szCs w:val="24"/>
        </w:rPr>
      </w:pPr>
      <w:r>
        <w:rPr>
          <w:sz w:val="24"/>
          <w:szCs w:val="24"/>
        </w:rPr>
        <w:t>Žádám Vás o potvrzení přijetí objednávky pro její zveřejnění v registru smluv.</w:t>
      </w:r>
    </w:p>
    <w:p w:rsidR="006C7F05" w:rsidRDefault="006C7F05" w:rsidP="006C7F0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C7F05" w:rsidRDefault="006C7F05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Děkujeme a těšíme se na případnou spolupráci.</w:t>
      </w:r>
    </w:p>
    <w:p w:rsidR="006100A5" w:rsidRPr="008D01D4" w:rsidRDefault="006100A5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S</w:t>
      </w:r>
      <w:r w:rsidR="00A725FC" w:rsidRPr="008D01D4">
        <w:rPr>
          <w:sz w:val="24"/>
          <w:szCs w:val="24"/>
        </w:rPr>
        <w:t> </w:t>
      </w:r>
      <w:r w:rsidRPr="008D01D4">
        <w:rPr>
          <w:sz w:val="24"/>
          <w:szCs w:val="24"/>
        </w:rPr>
        <w:t>pozdravem</w:t>
      </w:r>
    </w:p>
    <w:p w:rsidR="00A725FC" w:rsidRPr="008D01D4" w:rsidRDefault="00A725FC" w:rsidP="00783145">
      <w:pPr>
        <w:jc w:val="both"/>
        <w:rPr>
          <w:sz w:val="24"/>
          <w:szCs w:val="24"/>
        </w:rPr>
      </w:pPr>
    </w:p>
    <w:p w:rsidR="00A725FC" w:rsidRPr="008D01D4" w:rsidRDefault="00A725FC" w:rsidP="00783145">
      <w:pPr>
        <w:jc w:val="both"/>
        <w:rPr>
          <w:sz w:val="24"/>
          <w:szCs w:val="24"/>
        </w:rPr>
      </w:pPr>
    </w:p>
    <w:p w:rsidR="00A725FC" w:rsidRPr="008D01D4" w:rsidRDefault="00A725FC" w:rsidP="00783145">
      <w:pPr>
        <w:jc w:val="both"/>
        <w:rPr>
          <w:sz w:val="24"/>
          <w:szCs w:val="24"/>
        </w:rPr>
      </w:pP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>RNDr. Lenka Holubová</w:t>
      </w:r>
    </w:p>
    <w:p w:rsidR="006100A5" w:rsidRPr="008D01D4" w:rsidRDefault="006100A5" w:rsidP="00783145">
      <w:pPr>
        <w:jc w:val="both"/>
        <w:rPr>
          <w:sz w:val="24"/>
          <w:szCs w:val="24"/>
        </w:rPr>
      </w:pPr>
      <w:r w:rsidRPr="008D01D4">
        <w:rPr>
          <w:sz w:val="24"/>
          <w:szCs w:val="24"/>
        </w:rPr>
        <w:t xml:space="preserve">ředitelka školy </w:t>
      </w:r>
    </w:p>
    <w:p w:rsidR="00595B67" w:rsidRDefault="00595B67" w:rsidP="00783145">
      <w:pPr>
        <w:jc w:val="both"/>
        <w:rPr>
          <w:sz w:val="24"/>
          <w:szCs w:val="24"/>
        </w:rPr>
      </w:pPr>
    </w:p>
    <w:sectPr w:rsidR="00595B67" w:rsidSect="00BD382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6F01" w:rsidRDefault="00546F01">
      <w:r>
        <w:separator/>
      </w:r>
    </w:p>
  </w:endnote>
  <w:endnote w:type="continuationSeparator" w:id="0">
    <w:p w:rsidR="00546F01" w:rsidRDefault="0054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6BA" w:rsidRDefault="001C0C0D" w:rsidP="00E0526E">
    <w:pPr>
      <w:pStyle w:val="Zpat"/>
      <w:jc w:val="both"/>
      <w:rPr>
        <w:b/>
        <w:color w:val="FF9900"/>
      </w:rPr>
    </w:pPr>
    <w:r>
      <w:rPr>
        <w:b/>
        <w:noProof/>
        <w:color w:val="FF990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37465</wp:posOffset>
              </wp:positionV>
              <wp:extent cx="5829300" cy="0"/>
              <wp:effectExtent l="9525" t="8890" r="9525" b="1016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5FB77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5pt" to="459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qP7EgIAACg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"/>
          </w:pict>
        </mc:Fallback>
      </mc:AlternateContent>
    </w:r>
  </w:p>
  <w:p w:rsidR="000376BA" w:rsidRDefault="000376BA" w:rsidP="00E0526E">
    <w:pPr>
      <w:pStyle w:val="Zpat"/>
      <w:jc w:val="both"/>
      <w:rPr>
        <w:b/>
        <w:color w:val="FF9900"/>
      </w:rPr>
    </w:pPr>
    <w:r w:rsidRPr="00B1798C">
      <w:rPr>
        <w:b/>
        <w:color w:val="FF9900"/>
        <w:sz w:val="16"/>
        <w:szCs w:val="16"/>
      </w:rPr>
      <w:t>BANKOVNÍ SPOJENÍ</w:t>
    </w:r>
    <w:r w:rsidRPr="00E0526E">
      <w:rPr>
        <w:b/>
        <w:color w:val="FF9900"/>
      </w:rPr>
      <w:t xml:space="preserve">   </w:t>
    </w:r>
    <w:r>
      <w:rPr>
        <w:b/>
        <w:color w:val="FF9900"/>
      </w:rPr>
      <w:tab/>
      <w:t>IČ</w:t>
    </w:r>
    <w:r>
      <w:rPr>
        <w:b/>
        <w:color w:val="FF9900"/>
      </w:rPr>
      <w:tab/>
      <w:t xml:space="preserve">DIČ    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>39030-311/0100 KB Plzeň</w:t>
    </w:r>
    <w:r>
      <w:rPr>
        <w:b/>
        <w:color w:val="FF9900"/>
      </w:rPr>
      <w:tab/>
      <w:t>00574406</w:t>
    </w:r>
    <w:r>
      <w:rPr>
        <w:b/>
        <w:color w:val="FF9900"/>
      </w:rPr>
      <w:tab/>
      <w:t>CZ00574406</w:t>
    </w:r>
  </w:p>
  <w:p w:rsidR="000376BA" w:rsidRDefault="000376BA" w:rsidP="00E0526E">
    <w:pPr>
      <w:pStyle w:val="Zpat"/>
      <w:jc w:val="both"/>
      <w:rPr>
        <w:b/>
        <w:color w:val="FF9900"/>
      </w:rPr>
    </w:pPr>
    <w:r>
      <w:rPr>
        <w:b/>
        <w:color w:val="FF9900"/>
      </w:rPr>
      <w:tab/>
      <w:t>www.ssinfis.cz</w:t>
    </w:r>
  </w:p>
  <w:p w:rsidR="006100A5" w:rsidRPr="00E0526E" w:rsidRDefault="006100A5" w:rsidP="006100A5">
    <w:pPr>
      <w:pStyle w:val="Zpat"/>
      <w:jc w:val="center"/>
      <w:rPr>
        <w:b/>
        <w:color w:val="FF99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6F01" w:rsidRDefault="00546F01">
      <w:r>
        <w:separator/>
      </w:r>
    </w:p>
  </w:footnote>
  <w:footnote w:type="continuationSeparator" w:id="0">
    <w:p w:rsidR="00546F01" w:rsidRDefault="0054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253" w:rsidRDefault="004C0253" w:rsidP="00E0526E">
    <w:pPr>
      <w:pStyle w:val="Zhlav"/>
      <w:jc w:val="center"/>
      <w:rPr>
        <w:noProof/>
      </w:rPr>
    </w:pPr>
    <w:r>
      <w:rPr>
        <w:noProof/>
      </w:rPr>
      <w:drawing>
        <wp:inline distT="0" distB="0" distL="0" distR="0" wp14:anchorId="74885FCD" wp14:editId="2ED0353C">
          <wp:extent cx="4609465" cy="1027430"/>
          <wp:effectExtent l="19050" t="0" r="635" b="0"/>
          <wp:docPr id="3" name="obrázek 1" descr="C:\Users\krenkovae\Data\1.KAP\Publicita\logolink_MSMT_VVV_hor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enkovae\Data\1.KAP\Publicita\logolink_MSMT_VVV_hor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9465" cy="1027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C0253" w:rsidRDefault="004C0253" w:rsidP="00E0526E">
    <w:pPr>
      <w:pStyle w:val="Zhlav"/>
      <w:jc w:val="center"/>
      <w:rPr>
        <w:noProof/>
      </w:rPr>
    </w:pPr>
  </w:p>
  <w:p w:rsidR="000376BA" w:rsidRDefault="001C0C0D" w:rsidP="00E0526E">
    <w:pPr>
      <w:pStyle w:val="Zhlav"/>
      <w:jc w:val="center"/>
    </w:pPr>
    <w:r>
      <w:rPr>
        <w:noProof/>
      </w:rPr>
      <w:drawing>
        <wp:inline distT="0" distB="0" distL="0" distR="0">
          <wp:extent cx="5716905" cy="485140"/>
          <wp:effectExtent l="0" t="0" r="0" b="0"/>
          <wp:docPr id="1" name="obrázek 1" descr="LogoSSINFIS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SINFIS_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690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0FF8"/>
    <w:multiLevelType w:val="hybridMultilevel"/>
    <w:tmpl w:val="8800FEF0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1" w15:restartNumberingAfterBreak="0">
    <w:nsid w:val="1E5E3927"/>
    <w:multiLevelType w:val="hybridMultilevel"/>
    <w:tmpl w:val="907C80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55D10"/>
    <w:multiLevelType w:val="hybridMultilevel"/>
    <w:tmpl w:val="F808E46E"/>
    <w:lvl w:ilvl="0" w:tplc="96A00692">
      <w:numFmt w:val="bullet"/>
      <w:lvlText w:val="·"/>
      <w:lvlJc w:val="left"/>
      <w:pPr>
        <w:ind w:left="109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6FE4E8C"/>
    <w:multiLevelType w:val="hybridMultilevel"/>
    <w:tmpl w:val="2EEC940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581551"/>
    <w:multiLevelType w:val="hybridMultilevel"/>
    <w:tmpl w:val="E9528E0A"/>
    <w:lvl w:ilvl="0" w:tplc="0405000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17" w:hanging="360"/>
      </w:pPr>
      <w:rPr>
        <w:rFonts w:ascii="Wingdings" w:hAnsi="Wingdings" w:hint="default"/>
      </w:rPr>
    </w:lvl>
  </w:abstractNum>
  <w:abstractNum w:abstractNumId="5" w15:restartNumberingAfterBreak="0">
    <w:nsid w:val="5E191F1E"/>
    <w:multiLevelType w:val="hybridMultilevel"/>
    <w:tmpl w:val="097C4CC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E9621E"/>
    <w:multiLevelType w:val="hybridMultilevel"/>
    <w:tmpl w:val="75A481AA"/>
    <w:lvl w:ilvl="0" w:tplc="96A00692">
      <w:numFmt w:val="bullet"/>
      <w:lvlText w:val="·"/>
      <w:lvlJc w:val="left"/>
      <w:pPr>
        <w:ind w:left="735" w:hanging="375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83B0C"/>
    <w:multiLevelType w:val="hybridMultilevel"/>
    <w:tmpl w:val="F4F86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CD19FB"/>
    <w:multiLevelType w:val="hybridMultilevel"/>
    <w:tmpl w:val="E3E8F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60"/>
    <w:rsid w:val="000028B7"/>
    <w:rsid w:val="0000619E"/>
    <w:rsid w:val="000205C0"/>
    <w:rsid w:val="000376BA"/>
    <w:rsid w:val="00040136"/>
    <w:rsid w:val="00043F8D"/>
    <w:rsid w:val="0006101C"/>
    <w:rsid w:val="000C65BE"/>
    <w:rsid w:val="000D0D95"/>
    <w:rsid w:val="00111C20"/>
    <w:rsid w:val="00117937"/>
    <w:rsid w:val="00135A71"/>
    <w:rsid w:val="0014330D"/>
    <w:rsid w:val="00186853"/>
    <w:rsid w:val="001C0C0D"/>
    <w:rsid w:val="002342E3"/>
    <w:rsid w:val="00234E26"/>
    <w:rsid w:val="002642C2"/>
    <w:rsid w:val="00294A55"/>
    <w:rsid w:val="00302E2D"/>
    <w:rsid w:val="0033365A"/>
    <w:rsid w:val="0034630A"/>
    <w:rsid w:val="00354BAF"/>
    <w:rsid w:val="003B5111"/>
    <w:rsid w:val="003E039F"/>
    <w:rsid w:val="004A02E8"/>
    <w:rsid w:val="004A12F4"/>
    <w:rsid w:val="004A7428"/>
    <w:rsid w:val="004C0253"/>
    <w:rsid w:val="004C542E"/>
    <w:rsid w:val="004D34C3"/>
    <w:rsid w:val="004F43CD"/>
    <w:rsid w:val="00546F01"/>
    <w:rsid w:val="00547D85"/>
    <w:rsid w:val="0057672C"/>
    <w:rsid w:val="00595B67"/>
    <w:rsid w:val="005A5E88"/>
    <w:rsid w:val="005A6987"/>
    <w:rsid w:val="005C00A0"/>
    <w:rsid w:val="005E4330"/>
    <w:rsid w:val="006100A5"/>
    <w:rsid w:val="00643753"/>
    <w:rsid w:val="00646C93"/>
    <w:rsid w:val="00671BC3"/>
    <w:rsid w:val="006804A9"/>
    <w:rsid w:val="006A0488"/>
    <w:rsid w:val="006C7F05"/>
    <w:rsid w:val="006D284D"/>
    <w:rsid w:val="007013E3"/>
    <w:rsid w:val="00716EB9"/>
    <w:rsid w:val="00733329"/>
    <w:rsid w:val="007352AB"/>
    <w:rsid w:val="00742360"/>
    <w:rsid w:val="00770897"/>
    <w:rsid w:val="00783145"/>
    <w:rsid w:val="007D7D54"/>
    <w:rsid w:val="007F02C9"/>
    <w:rsid w:val="0085690E"/>
    <w:rsid w:val="00860822"/>
    <w:rsid w:val="00873883"/>
    <w:rsid w:val="008764F4"/>
    <w:rsid w:val="00882D77"/>
    <w:rsid w:val="008C23FA"/>
    <w:rsid w:val="008D01D4"/>
    <w:rsid w:val="00926DE7"/>
    <w:rsid w:val="009529CF"/>
    <w:rsid w:val="00990F7B"/>
    <w:rsid w:val="009F7190"/>
    <w:rsid w:val="00A11E96"/>
    <w:rsid w:val="00A430CF"/>
    <w:rsid w:val="00A725FC"/>
    <w:rsid w:val="00A842A7"/>
    <w:rsid w:val="00A854AC"/>
    <w:rsid w:val="00AD2C78"/>
    <w:rsid w:val="00AF483F"/>
    <w:rsid w:val="00B1798C"/>
    <w:rsid w:val="00B22114"/>
    <w:rsid w:val="00B37809"/>
    <w:rsid w:val="00B47E0A"/>
    <w:rsid w:val="00B47E33"/>
    <w:rsid w:val="00BA3112"/>
    <w:rsid w:val="00BA45D8"/>
    <w:rsid w:val="00BC3803"/>
    <w:rsid w:val="00BD382E"/>
    <w:rsid w:val="00BE281F"/>
    <w:rsid w:val="00BF15B9"/>
    <w:rsid w:val="00CB0CB1"/>
    <w:rsid w:val="00CD24CB"/>
    <w:rsid w:val="00CF29DC"/>
    <w:rsid w:val="00D02DD9"/>
    <w:rsid w:val="00D112B7"/>
    <w:rsid w:val="00D35606"/>
    <w:rsid w:val="00D35C87"/>
    <w:rsid w:val="00D57FD4"/>
    <w:rsid w:val="00D83321"/>
    <w:rsid w:val="00D96770"/>
    <w:rsid w:val="00DD091C"/>
    <w:rsid w:val="00E0526E"/>
    <w:rsid w:val="00E2402A"/>
    <w:rsid w:val="00E6333C"/>
    <w:rsid w:val="00E6624E"/>
    <w:rsid w:val="00E82AFE"/>
    <w:rsid w:val="00E92FC1"/>
    <w:rsid w:val="00E979E2"/>
    <w:rsid w:val="00F00B1B"/>
    <w:rsid w:val="00F30FA6"/>
    <w:rsid w:val="00F3182A"/>
    <w:rsid w:val="00F5719D"/>
    <w:rsid w:val="00F71F73"/>
    <w:rsid w:val="00F83AB2"/>
    <w:rsid w:val="00FA2054"/>
    <w:rsid w:val="00FF09BE"/>
    <w:rsid w:val="00FF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F1620D8"/>
  <w15:chartTrackingRefBased/>
  <w15:docId w15:val="{4E8C6D7A-3FA5-4461-AA24-8641D973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76BA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link w:val="Nadpis1Char"/>
    <w:uiPriority w:val="9"/>
    <w:qFormat/>
    <w:rsid w:val="00783145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F48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052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0526E"/>
    <w:pPr>
      <w:tabs>
        <w:tab w:val="center" w:pos="4536"/>
        <w:tab w:val="right" w:pos="9072"/>
      </w:tabs>
    </w:pPr>
  </w:style>
  <w:style w:type="character" w:styleId="Hypertextovodkaz">
    <w:name w:val="Hyperlink"/>
    <w:rsid w:val="00E0526E"/>
    <w:rPr>
      <w:color w:val="0000FF"/>
      <w:u w:val="single"/>
    </w:rPr>
  </w:style>
  <w:style w:type="paragraph" w:styleId="Zkladntext">
    <w:name w:val="Body Text"/>
    <w:basedOn w:val="Normln"/>
    <w:rsid w:val="000376BA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Zkladntext3">
    <w:name w:val="Body Text 3"/>
    <w:basedOn w:val="Normln"/>
    <w:rsid w:val="000376BA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link w:val="TextbublinyChar"/>
    <w:rsid w:val="00002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028B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100A5"/>
    <w:pPr>
      <w:overflowPunct/>
      <w:autoSpaceDE/>
      <w:autoSpaceDN/>
      <w:adjustRightInd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783145"/>
    <w:rPr>
      <w:b/>
      <w:bCs/>
      <w:kern w:val="36"/>
      <w:sz w:val="48"/>
      <w:szCs w:val="48"/>
    </w:rPr>
  </w:style>
  <w:style w:type="character" w:customStyle="1" w:styleId="Nadpis3Char">
    <w:name w:val="Nadpis 3 Char"/>
    <w:basedOn w:val="Standardnpsmoodstavce"/>
    <w:link w:val="Nadpis3"/>
    <w:semiHidden/>
    <w:rsid w:val="00AF48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novotny@ssinfis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Nov&#225;%20slo&#382;ka\SSINFIS_Dopis&#344;editelk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FF8AA2FFE8E84CA96F90D4BB31477F" ma:contentTypeVersion="0" ma:contentTypeDescription="Vytvořit nový dokument" ma:contentTypeScope="" ma:versionID="cbc307d347029d0afea68bad9cecb0a5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7DB91B9-4363-466D-AEA1-7110A0F588FB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BBB03E-5E5F-44D6-9D2C-91720348BB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0A844-71DA-46F7-926D-588D4E254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SSINFIS_DopisŘeditelky</Template>
  <TotalTime>28</TotalTime>
  <Pages>2</Pages>
  <Words>447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NAŠE ZN</vt:lpstr>
    </vt:vector>
  </TitlesOfParts>
  <Company>SOŠ poštovní a SOU poštovní Plzeň</Company>
  <LinksUpToDate>false</LinksUpToDate>
  <CharactersWithSpaces>3054</CharactersWithSpaces>
  <SharedDoc>false</SharedDoc>
  <HLinks>
    <vt:vector size="6" baseType="variant">
      <vt:variant>
        <vt:i4>852007</vt:i4>
      </vt:variant>
      <vt:variant>
        <vt:i4>0</vt:i4>
      </vt:variant>
      <vt:variant>
        <vt:i4>0</vt:i4>
      </vt:variant>
      <vt:variant>
        <vt:i4>5</vt:i4>
      </vt:variant>
      <vt:variant>
        <vt:lpwstr>mailto:info@ssinfis.cz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NAŠE ZN</dc:title>
  <dc:subject/>
  <dc:creator>J Holub</dc:creator>
  <cp:keywords/>
  <cp:lastModifiedBy>Lenka Holubová</cp:lastModifiedBy>
  <cp:revision>4</cp:revision>
  <cp:lastPrinted>2018-03-26T11:34:00Z</cp:lastPrinted>
  <dcterms:created xsi:type="dcterms:W3CDTF">2018-03-26T11:15:00Z</dcterms:created>
  <dcterms:modified xsi:type="dcterms:W3CDTF">2018-03-26T11:52:00Z</dcterms:modified>
</cp:coreProperties>
</file>