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9" w:rsidRDefault="006A36A9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 w:rsidRPr="00214E72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KUPNÍ SMLOUVA</w:t>
      </w:r>
    </w:p>
    <w:p w:rsidR="00FE69B7" w:rsidRPr="00214E72" w:rsidRDefault="00297E4A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SZZ/</w:t>
      </w:r>
      <w:r w:rsidR="00DB5435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2017/xx/xx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kern w:val="1"/>
          <w:sz w:val="18"/>
          <w:lang w:eastAsia="hi-IN" w:bidi="hi-IN"/>
        </w:rPr>
      </w:pPr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3F632F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6A36A9" w:rsidRPr="003F632F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="005E516B" w:rsidRPr="003F632F">
        <w:rPr>
          <w:rFonts w:ascii="Calibri" w:eastAsia="SimSun" w:hAnsi="Calibri"/>
          <w:b/>
          <w:kern w:val="1"/>
          <w:sz w:val="20"/>
          <w:lang w:eastAsia="hi-IN" w:bidi="hi-IN"/>
        </w:rPr>
        <w:t xml:space="preserve">TECOM </w:t>
      </w:r>
      <w:r w:rsidR="003F632F" w:rsidRPr="003F632F">
        <w:rPr>
          <w:rFonts w:ascii="Calibri" w:eastAsia="SimSun" w:hAnsi="Calibri"/>
          <w:b/>
          <w:kern w:val="1"/>
          <w:sz w:val="20"/>
          <w:lang w:eastAsia="hi-IN" w:bidi="hi-IN"/>
        </w:rPr>
        <w:t>Analytical Systems CS spol. s r.o.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zapsaná 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v obchodním rejstříku vedeném Městským soudem v Praze, oddíl C, vložka 7284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K Fialce 276/35, 155 00  Praha 5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15889785</w:t>
      </w:r>
    </w:p>
    <w:p w:rsidR="006A36A9" w:rsidRPr="003F632F" w:rsidRDefault="003F632F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 xml:space="preserve">DIČ: </w:t>
      </w:r>
      <w:r w:rsidR="006A36A9" w:rsidRPr="003F632F">
        <w:rPr>
          <w:rFonts w:ascii="Calibri" w:eastAsia="SimSun" w:hAnsi="Calibri"/>
          <w:kern w:val="1"/>
          <w:sz w:val="20"/>
          <w:lang w:eastAsia="hi-IN" w:bidi="hi-IN"/>
        </w:rPr>
        <w:t>CZ</w:t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>15889785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UniCredit</w:t>
      </w:r>
      <w:proofErr w:type="spellEnd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Bank </w:t>
      </w:r>
      <w:proofErr w:type="spellStart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Czech</w:t>
      </w:r>
      <w:proofErr w:type="spellEnd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Republic</w:t>
      </w:r>
      <w:proofErr w:type="spellEnd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and</w:t>
      </w:r>
      <w:proofErr w:type="spellEnd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>Slovakia</w:t>
      </w:r>
      <w:proofErr w:type="spellEnd"/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, a.s, </w:t>
      </w:r>
      <w:r w:rsidR="0021122C">
        <w:rPr>
          <w:rFonts w:ascii="Calibri" w:eastAsia="SimSun" w:hAnsi="Calibri"/>
          <w:kern w:val="1"/>
          <w:sz w:val="20"/>
          <w:lang w:eastAsia="hi-IN" w:bidi="hi-IN"/>
        </w:rPr>
        <w:t>XXXXXXX/XXXXXX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Lenkou Habalovou, prokuristou společnosti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Bc. Kateřina Krátká</w:t>
      </w:r>
    </w:p>
    <w:p w:rsidR="006A36A9" w:rsidRPr="003F632F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21122C">
        <w:rPr>
          <w:rFonts w:ascii="Calibri" w:eastAsia="SimSun" w:hAnsi="Calibri"/>
          <w:kern w:val="1"/>
          <w:sz w:val="20"/>
          <w:lang w:eastAsia="hi-IN" w:bidi="hi-IN"/>
        </w:rPr>
        <w:t xml:space="preserve">XXX </w:t>
      </w:r>
      <w:proofErr w:type="spellStart"/>
      <w:r w:rsidR="0021122C">
        <w:rPr>
          <w:rFonts w:ascii="Calibri" w:eastAsia="SimSun" w:hAnsi="Calibri"/>
          <w:kern w:val="1"/>
          <w:sz w:val="20"/>
          <w:lang w:eastAsia="hi-IN" w:bidi="hi-IN"/>
        </w:rPr>
        <w:t>XXX</w:t>
      </w:r>
      <w:proofErr w:type="spellEnd"/>
      <w:r w:rsidR="0021122C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21122C">
        <w:rPr>
          <w:rFonts w:ascii="Calibri" w:eastAsia="SimSun" w:hAnsi="Calibri"/>
          <w:kern w:val="1"/>
          <w:sz w:val="20"/>
          <w:lang w:eastAsia="hi-IN" w:bidi="hi-IN"/>
        </w:rPr>
        <w:t>XXX</w:t>
      </w:r>
      <w:proofErr w:type="spellEnd"/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3F632F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="003F632F" w:rsidRP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B274A3" w:rsidRPr="00B274A3">
        <w:rPr>
          <w:rFonts w:ascii="Calibri" w:eastAsia="SimSun" w:hAnsi="Calibri"/>
          <w:kern w:val="1"/>
          <w:sz w:val="20"/>
          <w:lang w:eastAsia="hi-IN" w:bidi="hi-IN"/>
        </w:rPr>
        <w:t>XXXXXXXX.XXXXXX</w:t>
      </w:r>
      <w:r w:rsidR="00B274A3">
        <w:rPr>
          <w:rFonts w:ascii="Calibri" w:eastAsia="SimSun" w:hAnsi="Calibri"/>
          <w:kern w:val="1"/>
          <w:sz w:val="20"/>
          <w:lang w:eastAsia="hi-IN" w:bidi="hi-IN"/>
        </w:rPr>
        <w:t>@XXXXXXXX.XX</w:t>
      </w:r>
      <w:r w:rsidR="003F632F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297E4A" w:rsidRPr="00214E72" w:rsidRDefault="006A36A9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297E4A" w:rsidRPr="00214E72">
        <w:rPr>
          <w:rFonts w:ascii="Calibri" w:eastAsia="SimSun" w:hAnsi="Calibri"/>
          <w:b/>
          <w:kern w:val="1"/>
          <w:sz w:val="20"/>
          <w:lang w:eastAsia="hi-IN" w:bidi="hi-IN"/>
        </w:rPr>
        <w:t>Sdružené zdravotnické zařízení Krnov, příspěvková organizace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Pr, vložka 876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se sídlem: I. P. Pavlova 552/9, Pod Bezručovým vrchem, 794 01 Krnov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IČ: 00844641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Pr="00214E72">
        <w:rPr>
          <w:rFonts w:ascii="Calibri" w:eastAsia="SimSun" w:hAnsi="Calibri"/>
          <w:kern w:val="1"/>
          <w:sz w:val="16"/>
          <w:szCs w:val="16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00844641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>
        <w:rPr>
          <w:rFonts w:ascii="Calibri" w:eastAsia="SimSun" w:hAnsi="Calibri"/>
          <w:kern w:val="1"/>
          <w:sz w:val="20"/>
          <w:lang w:eastAsia="hi-IN" w:bidi="hi-IN"/>
        </w:rPr>
        <w:t xml:space="preserve">Česká spořitelna, a.s., </w:t>
      </w:r>
      <w:proofErr w:type="spellStart"/>
      <w:r w:rsidR="0021122C">
        <w:rPr>
          <w:rFonts w:ascii="Calibri" w:eastAsia="SimSun" w:hAnsi="Calibri"/>
          <w:kern w:val="1"/>
          <w:sz w:val="20"/>
          <w:lang w:eastAsia="hi-IN" w:bidi="hi-IN"/>
        </w:rPr>
        <w:t>XXXXXXXx</w:t>
      </w:r>
      <w:proofErr w:type="spellEnd"/>
      <w:r w:rsidR="0021122C">
        <w:rPr>
          <w:rFonts w:ascii="Calibri" w:eastAsia="SimSun" w:hAnsi="Calibri"/>
          <w:kern w:val="1"/>
          <w:sz w:val="20"/>
          <w:lang w:eastAsia="hi-IN" w:bidi="hi-IN"/>
        </w:rPr>
        <w:t>/XXXXXXX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zastoupená: MUDr. Ladislavem Václavcem, MBA, ředitelem</w:t>
      </w:r>
    </w:p>
    <w:p w:rsidR="006A36A9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="006A36A9"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FE69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techniku,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9302E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nemocniční systém monitorování glukózy StatStrip,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je</w:t>
      </w:r>
      <w:r w:rsidR="005E45F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hož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.pdf, .jpg),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IIa, IIb a nebo III), je-li relevantní, toto prohlášení bude opatřeno razítkem a podpisem zástupce prodávajícího. V případě, že prodávající dodá zboží zařazené do třídy IIb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97E4A">
        <w:rPr>
          <w:rFonts w:ascii="Calibri" w:eastAsia="SimSun" w:hAnsi="Calibri"/>
          <w:kern w:val="1"/>
          <w:sz w:val="20"/>
          <w:szCs w:val="20"/>
          <w:lang w:eastAsia="hi-IN" w:bidi="hi-IN"/>
        </w:rPr>
        <w:t>Sdruženého zdravotnického zařízení Krnov, pří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="002112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XXX </w:t>
      </w:r>
      <w:proofErr w:type="spellStart"/>
      <w:r w:rsidR="0021122C">
        <w:rPr>
          <w:rFonts w:ascii="Calibri" w:eastAsia="SimSun" w:hAnsi="Calibri"/>
          <w:kern w:val="1"/>
          <w:sz w:val="20"/>
          <w:szCs w:val="20"/>
          <w:lang w:eastAsia="hi-IN" w:bidi="hi-IN"/>
        </w:rPr>
        <w:t>XXX</w:t>
      </w:r>
      <w:proofErr w:type="spellEnd"/>
      <w:r w:rsidR="002112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proofErr w:type="spellStart"/>
      <w:r w:rsidR="0021122C">
        <w:rPr>
          <w:rFonts w:ascii="Calibri" w:eastAsia="SimSun" w:hAnsi="Calibri"/>
          <w:kern w:val="1"/>
          <w:sz w:val="20"/>
          <w:szCs w:val="20"/>
          <w:lang w:eastAsia="hi-IN" w:bidi="hi-IN"/>
        </w:rPr>
        <w:t>XXX</w:t>
      </w:r>
      <w:proofErr w:type="spellEnd"/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>, email:</w:t>
      </w:r>
      <w:proofErr w:type="spellStart"/>
      <w:r w:rsidR="00B274A3">
        <w:t>xxxxxxxxxxxxxx</w:t>
      </w:r>
      <w:proofErr w:type="spellEnd"/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5F2A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490 000 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5F2A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102 900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0C350E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21%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5F2A1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592 900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Pořízení zdravotnického vybavení pro </w:t>
      </w:r>
      <w:r w:rsidR="00297E4A">
        <w:rPr>
          <w:rFonts w:ascii="Calibri" w:eastAsia="SimSun" w:hAnsi="Calibri"/>
          <w:color w:val="000000"/>
          <w:kern w:val="1"/>
          <w:sz w:val="20"/>
          <w:lang w:eastAsia="hi-IN" w:bidi="hi-IN"/>
        </w:rPr>
        <w:t>Sdružené zdravotnické zařízení Krnov,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 p. 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47</w:t>
      </w: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)</w:t>
      </w:r>
    </w:p>
    <w:p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ZZ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01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ZZ Krnov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případě, že prodávající bude fakturovat dodávky, které nepodléhají režimu přenesené daňové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na:</w:t>
      </w:r>
    </w:p>
    <w:p w:rsidR="00913E17" w:rsidRPr="000C350E" w:rsidRDefault="000C350E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0C350E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 xml:space="preserve">e-mail: </w:t>
      </w:r>
      <w:hyperlink r:id="rId7" w:history="1">
        <w:r w:rsidRPr="000C350E">
          <w:rPr>
            <w:rStyle w:val="Hypertextovodkaz"/>
            <w:rFonts w:ascii="Calibri" w:eastAsia="SimSun" w:hAnsi="Calibri"/>
            <w:b/>
            <w:kern w:val="1"/>
            <w:sz w:val="20"/>
            <w:szCs w:val="20"/>
            <w:lang w:eastAsia="hi-IN" w:bidi="hi-IN"/>
          </w:rPr>
          <w:t>jan.studnicka@tecom-as.com</w:t>
        </w:r>
      </w:hyperlink>
      <w:r w:rsidRPr="000C350E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913E17" w:rsidRPr="000C350E" w:rsidRDefault="000C350E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0C350E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adresu: TECOM Analytical Systems CS spol. s r.o., K Fialce 276/35, Praha 5, 155 00</w:t>
      </w:r>
    </w:p>
    <w:p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musí kupujícímu neprodleně sdělit, v jakém termínu nastoupí k odstranění vad(y) s tím,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datum a místo sepsání protokolu,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FE69B7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Pozáruční servis</w:t>
      </w:r>
    </w:p>
    <w:p w:rsidR="00913E17" w:rsidRDefault="00913E17" w:rsidP="00913E17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poskytne kupujícímu (v případě jeho požad</w:t>
      </w:r>
      <w:r w:rsidR="00B46E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avku) pozáruční servis na zboží, minimálně na 4 roky po ukončení záruky,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s těmito podmínkami:</w:t>
      </w:r>
    </w:p>
    <w:p w:rsidR="00913E17" w:rsidRPr="00FE69B7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FE69B7">
        <w:rPr>
          <w:rFonts w:ascii="Calibri" w:eastAsia="SimSun" w:hAnsi="Calibri"/>
          <w:kern w:val="1"/>
          <w:lang w:eastAsia="hi-IN" w:bidi="hi-IN"/>
        </w:rPr>
        <w:t>dopravné – cena za 1 výjezd do místa plnění</w:t>
      </w:r>
      <w:r w:rsidR="00D026F4">
        <w:rPr>
          <w:rFonts w:ascii="Calibri" w:eastAsia="SimSun" w:hAnsi="Calibri"/>
          <w:kern w:val="1"/>
          <w:lang w:eastAsia="hi-IN" w:bidi="hi-IN"/>
        </w:rPr>
        <w:t xml:space="preserve"> – bude účtováno ve výši</w:t>
      </w:r>
      <w:r w:rsidR="00832958">
        <w:rPr>
          <w:rFonts w:ascii="Calibri" w:eastAsia="SimSun" w:hAnsi="Calibri"/>
          <w:kern w:val="1"/>
          <w:lang w:eastAsia="hi-IN" w:bidi="hi-IN"/>
        </w:rPr>
        <w:t xml:space="preserve"> XXXXX</w:t>
      </w:r>
      <w:r w:rsidRPr="00362583">
        <w:rPr>
          <w:rFonts w:ascii="Calibri" w:eastAsia="SimSun" w:hAnsi="Calibri"/>
          <w:kern w:val="1"/>
          <w:lang w:eastAsia="hi-IN" w:bidi="hi-IN"/>
        </w:rPr>
        <w:t xml:space="preserve"> Kč + platná DPH</w:t>
      </w:r>
      <w:r w:rsidR="00362583" w:rsidRPr="00362583">
        <w:rPr>
          <w:rFonts w:ascii="Calibri" w:eastAsia="SimSun" w:hAnsi="Calibri"/>
          <w:kern w:val="1"/>
          <w:lang w:eastAsia="hi-IN" w:bidi="hi-IN"/>
        </w:rPr>
        <w:t xml:space="preserve"> </w:t>
      </w:r>
    </w:p>
    <w:p w:rsidR="00913E17" w:rsidRPr="00362583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>
        <w:rPr>
          <w:rFonts w:ascii="Calibri" w:eastAsia="SimSun" w:hAnsi="Calibri"/>
          <w:kern w:val="1"/>
          <w:lang w:eastAsia="hi-IN" w:bidi="hi-IN"/>
        </w:rPr>
        <w:t xml:space="preserve">servisní práce budou účtovány ve výši </w:t>
      </w:r>
      <w:r w:rsidR="00832958">
        <w:rPr>
          <w:rFonts w:ascii="Calibri" w:eastAsia="SimSun" w:hAnsi="Calibri"/>
          <w:kern w:val="1"/>
          <w:lang w:eastAsia="hi-IN" w:bidi="hi-IN"/>
        </w:rPr>
        <w:t>XXX</w:t>
      </w:r>
      <w:r w:rsidR="00362583">
        <w:rPr>
          <w:rFonts w:ascii="Calibri" w:eastAsia="SimSun" w:hAnsi="Calibri"/>
          <w:kern w:val="1"/>
          <w:lang w:eastAsia="hi-IN" w:bidi="hi-IN"/>
        </w:rPr>
        <w:t xml:space="preserve"> Kč/1 hod. + platná DPH</w:t>
      </w:r>
    </w:p>
    <w:p w:rsidR="006A36A9" w:rsidRPr="00913E17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913E17">
        <w:rPr>
          <w:rFonts w:ascii="Calibri" w:eastAsia="SimSun" w:hAnsi="Calibri"/>
          <w:kern w:val="1"/>
          <w:lang w:eastAsia="hi-IN" w:bidi="hi-IN"/>
        </w:rPr>
        <w:t xml:space="preserve">pravidelná OÚ (PBTK) bude účtována ve výši </w:t>
      </w:r>
      <w:r w:rsidR="00832958">
        <w:rPr>
          <w:rFonts w:ascii="Calibri" w:eastAsia="SimSun" w:hAnsi="Calibri"/>
          <w:kern w:val="1"/>
          <w:lang w:eastAsia="hi-IN" w:bidi="hi-IN"/>
        </w:rPr>
        <w:t>XXXXX</w:t>
      </w:r>
      <w:r w:rsidR="00362583">
        <w:rPr>
          <w:rFonts w:ascii="Calibri" w:eastAsia="SimSun" w:hAnsi="Calibri"/>
          <w:kern w:val="1"/>
          <w:lang w:eastAsia="hi-IN" w:bidi="hi-IN"/>
        </w:rPr>
        <w:t xml:space="preserve"> </w:t>
      </w:r>
      <w:r w:rsidRPr="00362583">
        <w:rPr>
          <w:rFonts w:ascii="Calibri" w:eastAsia="SimSun" w:hAnsi="Calibri"/>
          <w:kern w:val="1"/>
          <w:lang w:eastAsia="hi-IN" w:bidi="hi-IN"/>
        </w:rPr>
        <w:t>K</w:t>
      </w:r>
      <w:r w:rsidR="00362583">
        <w:rPr>
          <w:rFonts w:ascii="Calibri" w:eastAsia="SimSun" w:hAnsi="Calibri"/>
          <w:kern w:val="1"/>
          <w:lang w:eastAsia="hi-IN" w:bidi="hi-IN"/>
        </w:rPr>
        <w:t>č + platná DPH</w:t>
      </w:r>
    </w:p>
    <w:p w:rsidR="00913E17" w:rsidRDefault="00913E1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neodstraní vadu zboží ve stanovené lhůtě, je povinen zaplatit kupujícímu smluvní pokutu ve výši 0,2 % z  kupní ceny včetně  DPH, stanovené v čl. V odst. 1 této smlouvy, za každý i jen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:rsidR="006A36A9" w:rsidRPr="00A36F2B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metadat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:rsidR="006A36A9" w:rsidRPr="00A36F2B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2: Cenová kalkulace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3: Pozáruční servis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9C0E66" w:rsidRPr="00214E72" w:rsidRDefault="009C0E66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9C0E66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4: Cena reagencií a spotřebního materiálu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5"/>
        <w:gridCol w:w="1331"/>
        <w:gridCol w:w="4261"/>
      </w:tblGrid>
      <w:tr w:rsidR="006A36A9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6A66D0" w:rsidRPr="00A81615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A81615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A81615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A81615" w:rsidRDefault="00A81615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V Praze </w:t>
            </w:r>
            <w:r w:rsidR="006A36A9"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dne </w:t>
            </w:r>
            <w:r w:rsidR="0072282E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05</w:t>
            </w:r>
            <w:r w:rsidR="007C2A9B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. 03</w:t>
            </w:r>
            <w:r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. 2018</w:t>
            </w:r>
          </w:p>
        </w:tc>
      </w:tr>
      <w:tr w:rsidR="00324C1F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324C1F" w:rsidRPr="00A81615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A81615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:rsidR="006A36A9" w:rsidRPr="00A81615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A81615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…………………………..</w:t>
            </w:r>
          </w:p>
          <w:p w:rsidR="006A36A9" w:rsidRPr="00A81615" w:rsidRDefault="00A81615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A8161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Lenka Habalová, prokurista společnosti</w:t>
            </w:r>
          </w:p>
        </w:tc>
      </w:tr>
    </w:tbl>
    <w:p w:rsidR="00C22CBD" w:rsidRDefault="00C22CBD"/>
    <w:p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:rsidR="00DB06E1" w:rsidRDefault="00DB06E1">
      <w:pPr>
        <w:rPr>
          <w:rFonts w:asciiTheme="minorHAnsi" w:eastAsia="SimSun" w:hAnsiTheme="minorHAnsi"/>
          <w:b/>
          <w:kern w:val="2"/>
          <w:lang w:eastAsia="hi-IN" w:bidi="hi-IN"/>
        </w:rPr>
      </w:pPr>
    </w:p>
    <w:p w:rsidR="00C22CBD" w:rsidRPr="00CE23A8" w:rsidRDefault="00C22CBD">
      <w:pPr>
        <w:rPr>
          <w:rFonts w:asciiTheme="minorHAnsi" w:eastAsia="SimSun" w:hAnsiTheme="minorHAnsi"/>
          <w:b/>
          <w:kern w:val="2"/>
          <w:lang w:eastAsia="hi-IN" w:bidi="hi-IN"/>
        </w:rPr>
      </w:pPr>
      <w:r w:rsidRPr="00CE23A8">
        <w:rPr>
          <w:rFonts w:asciiTheme="minorHAnsi" w:eastAsia="SimSun" w:hAnsiTheme="minorHAnsi"/>
          <w:b/>
          <w:kern w:val="2"/>
          <w:lang w:eastAsia="hi-IN" w:bidi="hi-IN"/>
        </w:rPr>
        <w:t xml:space="preserve">Příloha č. 1 </w:t>
      </w:r>
      <w:r w:rsidR="00A45DE6" w:rsidRPr="00CE23A8">
        <w:rPr>
          <w:rFonts w:asciiTheme="minorHAnsi" w:eastAsia="SimSun" w:hAnsiTheme="minorHAnsi"/>
          <w:b/>
          <w:kern w:val="2"/>
          <w:lang w:eastAsia="hi-IN" w:bidi="hi-IN"/>
        </w:rPr>
        <w:t xml:space="preserve">- </w:t>
      </w:r>
      <w:r w:rsidRPr="00CE23A8">
        <w:rPr>
          <w:rFonts w:asciiTheme="minorHAnsi" w:eastAsia="SimSun" w:hAnsiTheme="minorHAnsi"/>
          <w:b/>
          <w:kern w:val="2"/>
          <w:lang w:eastAsia="hi-IN" w:bidi="hi-IN"/>
        </w:rPr>
        <w:t xml:space="preserve">Specifikace zboží </w:t>
      </w:r>
    </w:p>
    <w:p w:rsidR="00C22CBD" w:rsidRPr="00CE23A8" w:rsidRDefault="00C22CBD">
      <w:pPr>
        <w:rPr>
          <w:rFonts w:asciiTheme="minorHAnsi" w:hAnsiTheme="minorHAnsi"/>
        </w:rPr>
      </w:pPr>
    </w:p>
    <w:p w:rsidR="00A45DE6" w:rsidRPr="00CE23A8" w:rsidRDefault="00A45DE6">
      <w:pPr>
        <w:rPr>
          <w:rFonts w:asciiTheme="minorHAnsi" w:hAnsiTheme="minorHAnsi"/>
        </w:rPr>
      </w:pPr>
    </w:p>
    <w:p w:rsidR="00CE23A8" w:rsidRPr="00CE23A8" w:rsidRDefault="002E5FB6" w:rsidP="00CE23A8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</w:rPr>
      </w:pPr>
      <w:r w:rsidRPr="00CE23A8">
        <w:rPr>
          <w:rFonts w:asciiTheme="minorHAnsi" w:hAnsiTheme="minorHAnsi"/>
        </w:rPr>
        <w:t xml:space="preserve">25 ks síťových glukometrů StatStrip s bezdrátovým datovým připojením </w:t>
      </w:r>
    </w:p>
    <w:p w:rsidR="00CE23A8" w:rsidRPr="00CE23A8" w:rsidRDefault="002E5FB6" w:rsidP="00CE23A8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</w:rPr>
      </w:pPr>
      <w:r w:rsidRPr="00CE23A8">
        <w:rPr>
          <w:rFonts w:asciiTheme="minorHAnsi" w:hAnsiTheme="minorHAnsi"/>
        </w:rPr>
        <w:t>25 ks dokovacích stanic</w:t>
      </w:r>
    </w:p>
    <w:p w:rsidR="00CE23A8" w:rsidRPr="00CE23A8" w:rsidRDefault="00CE23A8" w:rsidP="00CE23A8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</w:rPr>
      </w:pPr>
      <w:r w:rsidRPr="00CE23A8">
        <w:rPr>
          <w:rFonts w:asciiTheme="minorHAnsi" w:hAnsiTheme="minorHAnsi"/>
        </w:rPr>
        <w:t>25 ks síť</w:t>
      </w:r>
      <w:r w:rsidR="002E5FB6" w:rsidRPr="00CE23A8">
        <w:rPr>
          <w:rFonts w:asciiTheme="minorHAnsi" w:hAnsiTheme="minorHAnsi"/>
        </w:rPr>
        <w:t>ových adaptérů k dokovacím stanicím</w:t>
      </w:r>
    </w:p>
    <w:p w:rsidR="00A45DE6" w:rsidRDefault="00CE23A8" w:rsidP="00CE23A8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</w:rPr>
      </w:pPr>
      <w:r w:rsidRPr="00CE23A8">
        <w:rPr>
          <w:rFonts w:asciiTheme="minorHAnsi" w:hAnsiTheme="minorHAnsi"/>
        </w:rPr>
        <w:t>s</w:t>
      </w:r>
      <w:r w:rsidR="002E5FB6" w:rsidRPr="00CE23A8">
        <w:rPr>
          <w:rFonts w:asciiTheme="minorHAnsi" w:hAnsiTheme="minorHAnsi"/>
        </w:rPr>
        <w:t xml:space="preserve">erver s operačním systémem a nainstalovaným softwarovým managerem NovaNet pro sběr dat </w:t>
      </w:r>
      <w:r>
        <w:rPr>
          <w:rFonts w:asciiTheme="minorHAnsi" w:hAnsiTheme="minorHAnsi"/>
        </w:rPr>
        <w:t xml:space="preserve">                        </w:t>
      </w:r>
      <w:r w:rsidR="002E5FB6" w:rsidRPr="00CE23A8">
        <w:rPr>
          <w:rFonts w:asciiTheme="minorHAnsi" w:hAnsiTheme="minorHAnsi"/>
        </w:rPr>
        <w:t>a přenos výsledků do LIS/NIS, realizace přenosu výsledků do LIS/NIS</w:t>
      </w:r>
    </w:p>
    <w:p w:rsidR="00421317" w:rsidRDefault="00421317" w:rsidP="00421317">
      <w:pPr>
        <w:spacing w:line="360" w:lineRule="auto"/>
        <w:jc w:val="both"/>
        <w:rPr>
          <w:rFonts w:asciiTheme="minorHAnsi" w:hAnsiTheme="minorHAnsi"/>
        </w:rPr>
      </w:pPr>
    </w:p>
    <w:p w:rsidR="00A45DE6" w:rsidRPr="00CE23A8" w:rsidRDefault="00A45DE6" w:rsidP="00CE23A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A45DE6" w:rsidRPr="00CE23A8" w:rsidRDefault="00A45DE6" w:rsidP="00CE23A8">
      <w:pPr>
        <w:spacing w:line="360" w:lineRule="auto"/>
        <w:jc w:val="both"/>
        <w:rPr>
          <w:rFonts w:asciiTheme="minorHAnsi" w:hAnsiTheme="minorHAnsi"/>
        </w:rPr>
      </w:pPr>
    </w:p>
    <w:p w:rsidR="00A45DE6" w:rsidRPr="00CE23A8" w:rsidRDefault="00A45DE6">
      <w:pPr>
        <w:rPr>
          <w:rFonts w:asciiTheme="minorHAnsi" w:hAnsiTheme="minorHAnsi"/>
        </w:rPr>
      </w:pPr>
    </w:p>
    <w:p w:rsidR="00A45DE6" w:rsidRPr="00CE23A8" w:rsidRDefault="00A45DE6">
      <w:pPr>
        <w:rPr>
          <w:rFonts w:asciiTheme="minorHAnsi" w:hAnsiTheme="minorHAnsi"/>
        </w:rPr>
      </w:pPr>
    </w:p>
    <w:p w:rsidR="00A45DE6" w:rsidRPr="00CE23A8" w:rsidRDefault="00A45DE6">
      <w:pPr>
        <w:rPr>
          <w:rFonts w:asciiTheme="minorHAnsi" w:hAnsiTheme="minorHAnsi"/>
        </w:rPr>
      </w:pPr>
    </w:p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22183" w:rsidRDefault="00A22183">
      <w:pPr>
        <w:spacing w:after="200" w:line="276" w:lineRule="auto"/>
      </w:pPr>
    </w:p>
    <w:p w:rsidR="00DB06E1" w:rsidRDefault="00DB06E1">
      <w:pPr>
        <w:spacing w:after="200" w:line="276" w:lineRule="auto"/>
      </w:pPr>
    </w:p>
    <w:p w:rsidR="00A45DE6" w:rsidRDefault="00A45DE6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2 - Cenová kalkulace</w:t>
      </w:r>
      <w:r>
        <w:rPr>
          <w:b/>
        </w:rPr>
        <w:t xml:space="preserve"> </w:t>
      </w:r>
    </w:p>
    <w:p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10031" w:type="dxa"/>
        <w:jc w:val="center"/>
        <w:tblLayout w:type="fixed"/>
        <w:tblLook w:val="04A0"/>
      </w:tblPr>
      <w:tblGrid>
        <w:gridCol w:w="1951"/>
        <w:gridCol w:w="1276"/>
        <w:gridCol w:w="1701"/>
        <w:gridCol w:w="1701"/>
        <w:gridCol w:w="1701"/>
        <w:gridCol w:w="1701"/>
      </w:tblGrid>
      <w:tr w:rsidR="00FB155D" w:rsidRPr="00C22CBD" w:rsidTr="0098295F">
        <w:trPr>
          <w:trHeight w:val="519"/>
          <w:jc w:val="center"/>
        </w:trPr>
        <w:tc>
          <w:tcPr>
            <w:tcW w:w="195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276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FB155D" w:rsidTr="0098295F">
        <w:trPr>
          <w:trHeight w:hRule="exact" w:val="937"/>
          <w:jc w:val="center"/>
        </w:trPr>
        <w:tc>
          <w:tcPr>
            <w:tcW w:w="1951" w:type="dxa"/>
            <w:vAlign w:val="center"/>
          </w:tcPr>
          <w:p w:rsidR="007C4BD4" w:rsidRPr="0055210D" w:rsidRDefault="007C4BD4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POCT systém pro analýzu glukózy</w:t>
            </w:r>
          </w:p>
        </w:tc>
        <w:tc>
          <w:tcPr>
            <w:tcW w:w="1276" w:type="dxa"/>
            <w:vAlign w:val="center"/>
          </w:tcPr>
          <w:p w:rsidR="00FB155D" w:rsidRPr="0055210D" w:rsidRDefault="007C4BD4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FB155D" w:rsidRPr="0055210D" w:rsidRDefault="007C4BD4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490 000</w:t>
            </w:r>
          </w:p>
        </w:tc>
        <w:tc>
          <w:tcPr>
            <w:tcW w:w="1701" w:type="dxa"/>
            <w:vAlign w:val="center"/>
          </w:tcPr>
          <w:p w:rsidR="0098295F" w:rsidRPr="0055210D" w:rsidRDefault="0098295F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592 900</w:t>
            </w:r>
          </w:p>
        </w:tc>
        <w:tc>
          <w:tcPr>
            <w:tcW w:w="1701" w:type="dxa"/>
            <w:vAlign w:val="center"/>
          </w:tcPr>
          <w:p w:rsidR="0098295F" w:rsidRPr="0055210D" w:rsidRDefault="0098295F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490 000</w:t>
            </w:r>
          </w:p>
        </w:tc>
        <w:tc>
          <w:tcPr>
            <w:tcW w:w="1701" w:type="dxa"/>
            <w:vAlign w:val="center"/>
          </w:tcPr>
          <w:p w:rsidR="00FB155D" w:rsidRPr="0055210D" w:rsidRDefault="0098295F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592 900</w:t>
            </w:r>
          </w:p>
        </w:tc>
      </w:tr>
      <w:tr w:rsidR="00FB155D" w:rsidRPr="00FB155D" w:rsidTr="0098295F">
        <w:trPr>
          <w:trHeight w:hRule="exact" w:val="397"/>
          <w:jc w:val="center"/>
        </w:trPr>
        <w:tc>
          <w:tcPr>
            <w:tcW w:w="1951" w:type="dxa"/>
            <w:vAlign w:val="center"/>
          </w:tcPr>
          <w:p w:rsidR="00FB155D" w:rsidRPr="0055210D" w:rsidRDefault="00FB155D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276" w:type="dxa"/>
            <w:vAlign w:val="center"/>
          </w:tcPr>
          <w:p w:rsidR="00FB155D" w:rsidRPr="0055210D" w:rsidRDefault="0098295F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FB155D" w:rsidRPr="0055210D" w:rsidRDefault="0098295F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490 000</w:t>
            </w:r>
          </w:p>
        </w:tc>
        <w:tc>
          <w:tcPr>
            <w:tcW w:w="1701" w:type="dxa"/>
            <w:vAlign w:val="center"/>
          </w:tcPr>
          <w:p w:rsidR="00FB155D" w:rsidRPr="0055210D" w:rsidRDefault="0098295F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592 900</w:t>
            </w:r>
          </w:p>
        </w:tc>
        <w:tc>
          <w:tcPr>
            <w:tcW w:w="1701" w:type="dxa"/>
            <w:vAlign w:val="center"/>
          </w:tcPr>
          <w:p w:rsidR="0098295F" w:rsidRPr="0055210D" w:rsidRDefault="0098295F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490 000</w:t>
            </w:r>
          </w:p>
        </w:tc>
        <w:tc>
          <w:tcPr>
            <w:tcW w:w="1701" w:type="dxa"/>
            <w:vAlign w:val="center"/>
          </w:tcPr>
          <w:p w:rsidR="00FB155D" w:rsidRPr="0055210D" w:rsidRDefault="0098295F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592 900</w:t>
            </w:r>
          </w:p>
        </w:tc>
      </w:tr>
    </w:tbl>
    <w:p w:rsidR="00C22CBD" w:rsidRDefault="00C22CBD"/>
    <w:p w:rsidR="00C22CBD" w:rsidRDefault="00C22CB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A22183" w:rsidRDefault="00A22183">
      <w:pPr>
        <w:spacing w:after="200" w:line="276" w:lineRule="auto"/>
      </w:pPr>
    </w:p>
    <w:p w:rsidR="00CE0948" w:rsidRDefault="00CE0948">
      <w:pPr>
        <w:spacing w:after="200" w:line="276" w:lineRule="auto"/>
      </w:pPr>
    </w:p>
    <w:p w:rsidR="00CE0948" w:rsidRDefault="00CE0948">
      <w:pPr>
        <w:spacing w:after="200" w:line="276" w:lineRule="auto"/>
      </w:pPr>
    </w:p>
    <w:p w:rsidR="00CE0948" w:rsidRDefault="00CE0948">
      <w:pPr>
        <w:spacing w:after="200" w:line="276" w:lineRule="auto"/>
      </w:pPr>
    </w:p>
    <w:p w:rsidR="00DB06E1" w:rsidRDefault="00DB06E1">
      <w:pPr>
        <w:rPr>
          <w:rFonts w:ascii="Calibri" w:eastAsia="SimSun" w:hAnsi="Calibri"/>
          <w:b/>
          <w:kern w:val="2"/>
          <w:lang w:eastAsia="hi-IN" w:bidi="hi-IN"/>
        </w:rPr>
      </w:pPr>
    </w:p>
    <w:p w:rsidR="0055210D" w:rsidRPr="0055210D" w:rsidRDefault="0055210D">
      <w:pPr>
        <w:rPr>
          <w:b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3 – Pozáruční servis</w:t>
      </w:r>
    </w:p>
    <w:p w:rsidR="00C22CBD" w:rsidRDefault="00C22CBD"/>
    <w:tbl>
      <w:tblPr>
        <w:tblStyle w:val="Mkatabulky"/>
        <w:tblW w:w="10031" w:type="dxa"/>
        <w:tblLook w:val="04A0"/>
      </w:tblPr>
      <w:tblGrid>
        <w:gridCol w:w="2943"/>
        <w:gridCol w:w="2410"/>
        <w:gridCol w:w="2835"/>
        <w:gridCol w:w="1843"/>
      </w:tblGrid>
      <w:tr w:rsidR="009E5250" w:rsidRPr="001A165A" w:rsidTr="00D335CC"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410" w:type="dxa"/>
            <w:vAlign w:val="center"/>
          </w:tcPr>
          <w:p w:rsidR="0055210D" w:rsidRPr="005667FC" w:rsidRDefault="009E5250" w:rsidP="0055210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Dopravné </w:t>
            </w:r>
            <w:r w:rsidR="0055210D" w:rsidRPr="005667FC">
              <w:rPr>
                <w:rFonts w:asciiTheme="minorHAnsi" w:hAnsiTheme="minorHAnsi"/>
                <w:b/>
              </w:rPr>
              <w:t xml:space="preserve">– cena </w:t>
            </w:r>
            <w:r w:rsidR="0055210D" w:rsidRPr="005667FC">
              <w:rPr>
                <w:rFonts w:asciiTheme="minorHAnsi" w:hAnsiTheme="minorHAnsi"/>
                <w:b/>
              </w:rPr>
              <w:br/>
              <w:t>za 1 výjezd do místa plnění</w:t>
            </w:r>
            <w:r w:rsidR="00D335CC">
              <w:rPr>
                <w:rFonts w:asciiTheme="minorHAnsi" w:hAnsiTheme="minorHAnsi"/>
                <w:b/>
              </w:rPr>
              <w:t xml:space="preserve"> </w:t>
            </w:r>
            <w:r w:rsidR="0055210D" w:rsidRPr="005667FC">
              <w:rPr>
                <w:rFonts w:asciiTheme="minorHAnsi" w:hAnsiTheme="minorHAnsi"/>
                <w:b/>
              </w:rPr>
              <w:t>v Kč bez DPH</w:t>
            </w:r>
          </w:p>
        </w:tc>
        <w:tc>
          <w:tcPr>
            <w:tcW w:w="2835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servisní práce/1 hod</w:t>
            </w:r>
            <w:r w:rsidR="00FB155D" w:rsidRPr="005667FC">
              <w:rPr>
                <w:rFonts w:asciiTheme="minorHAnsi" w:hAnsiTheme="minorHAnsi"/>
                <w:b/>
              </w:rPr>
              <w:t>.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  <w:tc>
          <w:tcPr>
            <w:tcW w:w="18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Cena PBTK 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</w:tr>
      <w:tr w:rsidR="005D1CFD" w:rsidTr="002D52F7">
        <w:trPr>
          <w:trHeight w:hRule="exact" w:val="397"/>
        </w:trPr>
        <w:tc>
          <w:tcPr>
            <w:tcW w:w="2943" w:type="dxa"/>
            <w:vAlign w:val="center"/>
          </w:tcPr>
          <w:p w:rsidR="005D1CFD" w:rsidRDefault="005D1CFD" w:rsidP="00A15D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Pozáruční servis</w:t>
            </w:r>
          </w:p>
          <w:p w:rsidR="005D1CFD" w:rsidRPr="005667FC" w:rsidRDefault="005D1CFD" w:rsidP="00A15DA7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5D1CFD" w:rsidRPr="005667FC" w:rsidRDefault="005D1CFD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</w:tcPr>
          <w:p w:rsidR="005D1CFD" w:rsidRDefault="005D1CFD">
            <w:r w:rsidRPr="00D22000"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</w:tcPr>
          <w:p w:rsidR="005D1CFD" w:rsidRDefault="005D1CFD">
            <w:r w:rsidRPr="00D22000">
              <w:rPr>
                <w:rFonts w:asciiTheme="minorHAnsi" w:hAnsiTheme="minorHAnsi"/>
              </w:rPr>
              <w:t>XXXX</w:t>
            </w:r>
          </w:p>
        </w:tc>
      </w:tr>
      <w:tr w:rsidR="009E5250" w:rsidRPr="00FB155D" w:rsidTr="00D335CC">
        <w:trPr>
          <w:trHeight w:hRule="exact" w:val="397"/>
        </w:trPr>
        <w:tc>
          <w:tcPr>
            <w:tcW w:w="2943" w:type="dxa"/>
            <w:vAlign w:val="center"/>
          </w:tcPr>
          <w:p w:rsidR="009E5250" w:rsidRPr="005667FC" w:rsidRDefault="00FB155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CELKEM</w:t>
            </w:r>
          </w:p>
        </w:tc>
        <w:tc>
          <w:tcPr>
            <w:tcW w:w="2410" w:type="dxa"/>
            <w:vAlign w:val="center"/>
          </w:tcPr>
          <w:p w:rsidR="009E5250" w:rsidRPr="005667FC" w:rsidRDefault="005D1CFD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:rsidR="009E5250" w:rsidRPr="005667FC" w:rsidRDefault="005D1CFD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:rsidR="009E5250" w:rsidRPr="005667FC" w:rsidRDefault="0088635C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1 000</w:t>
            </w:r>
          </w:p>
        </w:tc>
      </w:tr>
    </w:tbl>
    <w:p w:rsidR="00C22CBD" w:rsidRDefault="00C22CBD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7454C3" w:rsidRDefault="007454C3"/>
    <w:p w:rsidR="00527BD6" w:rsidRDefault="00527BD6"/>
    <w:p w:rsidR="00527BD6" w:rsidRDefault="00527BD6"/>
    <w:p w:rsidR="00527BD6" w:rsidRDefault="00527BD6"/>
    <w:p w:rsidR="00527BD6" w:rsidRDefault="00527BD6"/>
    <w:p w:rsidR="00527BD6" w:rsidRDefault="00527BD6"/>
    <w:p w:rsidR="00527BD6" w:rsidRDefault="00527BD6"/>
    <w:p w:rsidR="00527BD6" w:rsidRDefault="00527BD6"/>
    <w:p w:rsidR="00527BD6" w:rsidRDefault="00527BD6"/>
    <w:p w:rsidR="007454C3" w:rsidRDefault="007454C3" w:rsidP="007454C3">
      <w:pPr>
        <w:rPr>
          <w:rFonts w:ascii="Calibri" w:eastAsia="SimSun" w:hAnsi="Calibri"/>
          <w:i/>
          <w:kern w:val="2"/>
          <w:sz w:val="20"/>
          <w:szCs w:val="20"/>
          <w:lang w:eastAsia="hi-IN" w:bidi="hi-IN"/>
        </w:rPr>
      </w:pPr>
      <w:r w:rsidRPr="00D9660F">
        <w:rPr>
          <w:rFonts w:ascii="Calibri" w:eastAsia="SimSun" w:hAnsi="Calibri"/>
          <w:b/>
          <w:kern w:val="2"/>
          <w:lang w:eastAsia="hi-IN" w:bidi="hi-IN"/>
        </w:rPr>
        <w:t>Příloha č. 4: Cena re</w:t>
      </w:r>
      <w:r w:rsidR="00527BD6">
        <w:rPr>
          <w:rFonts w:ascii="Calibri" w:eastAsia="SimSun" w:hAnsi="Calibri"/>
          <w:b/>
          <w:kern w:val="2"/>
          <w:lang w:eastAsia="hi-IN" w:bidi="hi-IN"/>
        </w:rPr>
        <w:t>agencií a spotřebního materiálu</w:t>
      </w:r>
    </w:p>
    <w:p w:rsidR="007454C3" w:rsidRDefault="007454C3" w:rsidP="007454C3">
      <w:pPr>
        <w:rPr>
          <w:rFonts w:ascii="Calibri" w:eastAsia="SimSun" w:hAnsi="Calibri"/>
          <w:i/>
          <w:kern w:val="2"/>
          <w:sz w:val="20"/>
          <w:szCs w:val="20"/>
          <w:lang w:eastAsia="hi-IN" w:bidi="hi-IN"/>
        </w:rPr>
      </w:pPr>
    </w:p>
    <w:tbl>
      <w:tblPr>
        <w:tblStyle w:val="Mkatabulky"/>
        <w:tblW w:w="10031" w:type="dxa"/>
        <w:jc w:val="center"/>
        <w:tblLook w:val="04A0"/>
      </w:tblPr>
      <w:tblGrid>
        <w:gridCol w:w="2943"/>
        <w:gridCol w:w="2694"/>
        <w:gridCol w:w="2551"/>
        <w:gridCol w:w="1843"/>
      </w:tblGrid>
      <w:tr w:rsidR="007454C3" w:rsidRPr="001A165A" w:rsidTr="00787775">
        <w:trPr>
          <w:jc w:val="center"/>
        </w:trPr>
        <w:tc>
          <w:tcPr>
            <w:tcW w:w="2943" w:type="dxa"/>
            <w:vAlign w:val="center"/>
          </w:tcPr>
          <w:p w:rsidR="007454C3" w:rsidRPr="005667FC" w:rsidRDefault="007454C3" w:rsidP="00924C46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694" w:type="dxa"/>
            <w:vAlign w:val="center"/>
          </w:tcPr>
          <w:p w:rsidR="007454C3" w:rsidRPr="005667FC" w:rsidRDefault="007454C3" w:rsidP="0065788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Velikost balení </w:t>
            </w:r>
          </w:p>
        </w:tc>
        <w:tc>
          <w:tcPr>
            <w:tcW w:w="2551" w:type="dxa"/>
            <w:vAlign w:val="center"/>
          </w:tcPr>
          <w:p w:rsidR="007454C3" w:rsidRPr="005667FC" w:rsidRDefault="007454C3" w:rsidP="00924C46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v Kč bez DPH</w:t>
            </w:r>
            <w:r>
              <w:rPr>
                <w:rFonts w:asciiTheme="minorHAnsi" w:hAnsiTheme="minorHAnsi"/>
                <w:b/>
              </w:rPr>
              <w:t>/balení</w:t>
            </w:r>
          </w:p>
        </w:tc>
        <w:tc>
          <w:tcPr>
            <w:tcW w:w="1843" w:type="dxa"/>
            <w:vAlign w:val="center"/>
          </w:tcPr>
          <w:p w:rsidR="007454C3" w:rsidRPr="005667FC" w:rsidRDefault="007454C3" w:rsidP="00924C46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Cena v Kč </w:t>
            </w:r>
            <w:r>
              <w:rPr>
                <w:rFonts w:asciiTheme="minorHAnsi" w:hAnsiTheme="minorHAnsi"/>
                <w:b/>
              </w:rPr>
              <w:t>vč. DPH/balení</w:t>
            </w:r>
          </w:p>
        </w:tc>
      </w:tr>
      <w:tr w:rsidR="007454C3" w:rsidTr="00787775">
        <w:trPr>
          <w:trHeight w:hRule="exact" w:val="721"/>
          <w:jc w:val="center"/>
        </w:trPr>
        <w:tc>
          <w:tcPr>
            <w:tcW w:w="2943" w:type="dxa"/>
            <w:vAlign w:val="center"/>
          </w:tcPr>
          <w:p w:rsidR="007454C3" w:rsidRPr="005667FC" w:rsidRDefault="00A15DA7" w:rsidP="00924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 strips glucose</w:t>
            </w:r>
            <w:r w:rsidR="00657889">
              <w:rPr>
                <w:rFonts w:asciiTheme="minorHAnsi" w:hAnsiTheme="minorHAnsi"/>
              </w:rPr>
              <w:t xml:space="preserve"> </w:t>
            </w:r>
            <w:r w:rsidR="00787775">
              <w:rPr>
                <w:rFonts w:asciiTheme="minorHAnsi" w:hAnsiTheme="minorHAnsi"/>
              </w:rPr>
              <w:t xml:space="preserve">                           </w:t>
            </w:r>
            <w:r w:rsidR="00657889">
              <w:rPr>
                <w:rFonts w:asciiTheme="minorHAnsi" w:hAnsiTheme="minorHAnsi"/>
              </w:rPr>
              <w:t>(kód 42214)</w:t>
            </w:r>
          </w:p>
        </w:tc>
        <w:tc>
          <w:tcPr>
            <w:tcW w:w="2694" w:type="dxa"/>
            <w:vAlign w:val="center"/>
          </w:tcPr>
          <w:p w:rsidR="00D53A8C" w:rsidRDefault="00D53A8C" w:rsidP="00924C46">
            <w:pPr>
              <w:rPr>
                <w:rFonts w:asciiTheme="minorHAnsi" w:hAnsiTheme="minorHAnsi"/>
              </w:rPr>
            </w:pPr>
          </w:p>
          <w:p w:rsidR="007454C3" w:rsidRDefault="00A15DA7" w:rsidP="00924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ks proužků</w:t>
            </w:r>
            <w:r w:rsidR="00657889">
              <w:rPr>
                <w:rFonts w:asciiTheme="minorHAnsi" w:hAnsiTheme="minorHAnsi"/>
              </w:rPr>
              <w:t xml:space="preserve"> / bal. </w:t>
            </w:r>
          </w:p>
          <w:p w:rsidR="00A15DA7" w:rsidRPr="005667FC" w:rsidRDefault="00A15DA7" w:rsidP="00924C46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7454C3" w:rsidRPr="005667FC" w:rsidRDefault="0021122C" w:rsidP="00924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</w:p>
        </w:tc>
        <w:tc>
          <w:tcPr>
            <w:tcW w:w="1843" w:type="dxa"/>
            <w:vAlign w:val="center"/>
          </w:tcPr>
          <w:p w:rsidR="007454C3" w:rsidRPr="005667FC" w:rsidRDefault="0021122C" w:rsidP="00924C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</w:p>
        </w:tc>
      </w:tr>
    </w:tbl>
    <w:p w:rsidR="007454C3" w:rsidRDefault="007454C3"/>
    <w:sectPr w:rsidR="007454C3" w:rsidSect="00A221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93" w:rsidRDefault="008A4193" w:rsidP="009B0C36">
      <w:r>
        <w:separator/>
      </w:r>
    </w:p>
  </w:endnote>
  <w:endnote w:type="continuationSeparator" w:id="0">
    <w:p w:rsidR="008A4193" w:rsidRDefault="008A4193" w:rsidP="009B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37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FD6359" w:rsidRDefault="00FD6359">
            <w:pPr>
              <w:pStyle w:val="Zpat"/>
              <w:jc w:val="center"/>
            </w:pPr>
          </w:p>
          <w:p w:rsidR="00FD6359" w:rsidRDefault="00565B1F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FD6359" w:rsidRDefault="00FD6359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832958">
              <w:rPr>
                <w:rFonts w:ascii="Calibri" w:hAnsi="Calibri" w:cs="Calibri"/>
                <w:b/>
                <w:noProof/>
                <w:sz w:val="22"/>
              </w:rPr>
              <w:t>12</w: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832958">
              <w:rPr>
                <w:rFonts w:ascii="Calibri" w:hAnsi="Calibri" w:cs="Calibri"/>
                <w:b/>
                <w:noProof/>
                <w:sz w:val="22"/>
              </w:rPr>
              <w:t>12</w:t>
            </w:r>
            <w:r w:rsidR="00565B1F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:rsidR="00FD6359" w:rsidRPr="00FD6359" w:rsidRDefault="00A22183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="00FD6359" w:rsidRPr="00FD6359">
              <w:rPr>
                <w:rFonts w:ascii="Calibri" w:hAnsi="Calibri" w:cs="Calibri"/>
                <w:sz w:val="20"/>
              </w:rPr>
              <w:t>KS k VZ S</w:t>
            </w:r>
            <w:r w:rsidR="00297E4A">
              <w:rPr>
                <w:rFonts w:ascii="Calibri" w:hAnsi="Calibri" w:cs="Calibri"/>
                <w:sz w:val="20"/>
              </w:rPr>
              <w:t>ZZ</w:t>
            </w:r>
            <w:r w:rsidR="00FD6359" w:rsidRPr="00FD6359">
              <w:rPr>
                <w:rFonts w:ascii="Calibri" w:hAnsi="Calibri" w:cs="Calibri"/>
                <w:sz w:val="20"/>
              </w:rPr>
              <w:t>/FMP/2017/01/poříze</w:t>
            </w:r>
            <w:r w:rsidR="00297E4A">
              <w:rPr>
                <w:rFonts w:ascii="Calibri" w:hAnsi="Calibri" w:cs="Calibri"/>
                <w:sz w:val="20"/>
              </w:rPr>
              <w:t xml:space="preserve">ní zdravotnického vybavení pro SZZ Krnov, p.o. </w:t>
            </w:r>
            <w:r w:rsidR="00FD6359" w:rsidRPr="00FD6359">
              <w:rPr>
                <w:rFonts w:ascii="Calibri" w:hAnsi="Calibri" w:cs="Calibri"/>
                <w:sz w:val="20"/>
              </w:rPr>
              <w:t>-2. etapa</w:t>
            </w:r>
          </w:p>
          <w:p w:rsidR="00FD6359" w:rsidRDefault="00FD6359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:rsidR="0055210D" w:rsidRDefault="005521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83" w:rsidRDefault="00A22183" w:rsidP="00A22183">
    <w:pPr>
      <w:pStyle w:val="Zpat"/>
    </w:pPr>
  </w:p>
  <w:p w:rsidR="00A22183" w:rsidRDefault="00565B1F" w:rsidP="00A2218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Pr="00A22183">
      <w:rPr>
        <w:rFonts w:asciiTheme="minorHAnsi" w:hAnsiTheme="minorHAnsi" w:cstheme="minorHAnsi"/>
        <w:b/>
        <w:sz w:val="22"/>
        <w:szCs w:val="22"/>
      </w:rPr>
      <w:t xml:space="preserve"> z 10</w:t>
    </w:r>
  </w:p>
  <w:p w:rsidR="00A22183" w:rsidRPr="00A22183" w:rsidRDefault="00A22183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</w:t>
    </w:r>
    <w:r w:rsidR="00297E4A">
      <w:rPr>
        <w:rFonts w:asciiTheme="minorHAnsi" w:hAnsiTheme="minorHAnsi" w:cstheme="minorHAnsi"/>
        <w:sz w:val="20"/>
        <w:szCs w:val="20"/>
      </w:rPr>
      <w:t>ZZ</w:t>
    </w:r>
    <w:r w:rsidRPr="00A22183">
      <w:rPr>
        <w:rFonts w:asciiTheme="minorHAnsi" w:hAnsiTheme="minorHAnsi" w:cstheme="minorHAnsi"/>
        <w:sz w:val="20"/>
        <w:szCs w:val="20"/>
      </w:rPr>
      <w:t>/FMP/2017/01/pořízení zdravotnického vybavení pro S</w:t>
    </w:r>
    <w:r w:rsidR="00297E4A">
      <w:rPr>
        <w:rFonts w:asciiTheme="minorHAnsi" w:hAnsiTheme="minorHAnsi" w:cstheme="minorHAnsi"/>
        <w:sz w:val="20"/>
        <w:szCs w:val="20"/>
      </w:rPr>
      <w:t xml:space="preserve">ZZ Krnov, p.o. </w:t>
    </w:r>
    <w:r w:rsidRPr="00A22183">
      <w:rPr>
        <w:rFonts w:asciiTheme="minorHAnsi" w:hAnsiTheme="minorHAnsi" w:cstheme="minorHAnsi"/>
        <w:sz w:val="20"/>
        <w:szCs w:val="20"/>
      </w:rPr>
      <w:t>-2. etapa</w: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93" w:rsidRDefault="008A4193" w:rsidP="009B0C36">
      <w:r>
        <w:separator/>
      </w:r>
    </w:p>
  </w:footnote>
  <w:footnote w:type="continuationSeparator" w:id="0">
    <w:p w:rsidR="008A4193" w:rsidRDefault="008A4193" w:rsidP="009B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 w:rsidR="00DC64C0">
      <w:rPr>
        <w:noProof/>
      </w:rPr>
      <w:drawing>
        <wp:inline distT="0" distB="0" distL="0" distR="0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83" w:rsidRPr="00876FDC" w:rsidRDefault="00A22183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 w:rsidRPr="00876FDC">
      <w:rPr>
        <w:sz w:val="16"/>
        <w:szCs w:val="16"/>
      </w:rPr>
      <w:t xml:space="preserve">Zadavatel: </w:t>
    </w:r>
  </w:p>
  <w:p w:rsidR="00A22183" w:rsidRPr="00876FDC" w:rsidRDefault="00A22183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 w:rsidR="00297E4A">
      <w:rPr>
        <w:sz w:val="16"/>
        <w:szCs w:val="16"/>
      </w:rPr>
      <w:t>Sdružené zdravotnické zařízení Krnov, příspěvková organizace</w:t>
    </w:r>
  </w:p>
  <w:p w:rsidR="00A22183" w:rsidRPr="00876FDC" w:rsidRDefault="00A22183" w:rsidP="00A22183">
    <w:pPr>
      <w:pStyle w:val="Zhlav"/>
      <w:rPr>
        <w:sz w:val="16"/>
        <w:szCs w:val="16"/>
      </w:rPr>
    </w:pPr>
  </w:p>
  <w:p w:rsidR="00A22183" w:rsidRPr="00876FDC" w:rsidRDefault="00A22183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A22183" w:rsidRDefault="00A22183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 xml:space="preserve">„Pořízení zdravotnického vybavení pro </w:t>
    </w:r>
    <w:r w:rsidR="00297E4A">
      <w:rPr>
        <w:sz w:val="16"/>
        <w:szCs w:val="16"/>
      </w:rPr>
      <w:t>Sdružené zdravotnické zařízení Krnov</w:t>
    </w:r>
    <w:r w:rsidRPr="00876FDC">
      <w:rPr>
        <w:sz w:val="16"/>
        <w:szCs w:val="16"/>
      </w:rPr>
      <w:t>, p. o. – 2. etapa“</w:t>
    </w:r>
  </w:p>
  <w:p w:rsidR="00A22183" w:rsidRDefault="00A22183" w:rsidP="00A22183">
    <w:pPr>
      <w:pStyle w:val="Zhlav"/>
    </w:pPr>
  </w:p>
  <w:p w:rsidR="00A22183" w:rsidRDefault="00A22183" w:rsidP="00A22183">
    <w:pPr>
      <w:pStyle w:val="Zhlav"/>
    </w:pPr>
    <w:r>
      <w:rPr>
        <w:noProof/>
      </w:rPr>
      <w:drawing>
        <wp:inline distT="0" distB="0" distL="0" distR="0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183" w:rsidRDefault="00A221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A65A12"/>
    <w:multiLevelType w:val="hybridMultilevel"/>
    <w:tmpl w:val="56D23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6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8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22"/>
  </w:num>
  <w:num w:numId="9">
    <w:abstractNumId w:val="4"/>
  </w:num>
  <w:num w:numId="10">
    <w:abstractNumId w:val="18"/>
  </w:num>
  <w:num w:numId="11">
    <w:abstractNumId w:val="10"/>
  </w:num>
  <w:num w:numId="12">
    <w:abstractNumId w:val="15"/>
  </w:num>
  <w:num w:numId="13">
    <w:abstractNumId w:val="13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6"/>
  </w:num>
  <w:num w:numId="19">
    <w:abstractNumId w:val="14"/>
  </w:num>
  <w:num w:numId="20">
    <w:abstractNumId w:val="3"/>
  </w:num>
  <w:num w:numId="21">
    <w:abstractNumId w:val="12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A36A9"/>
    <w:rsid w:val="00036D74"/>
    <w:rsid w:val="00060C8E"/>
    <w:rsid w:val="0006194A"/>
    <w:rsid w:val="00070A32"/>
    <w:rsid w:val="000724BF"/>
    <w:rsid w:val="000808F9"/>
    <w:rsid w:val="000A0AEA"/>
    <w:rsid w:val="000C350E"/>
    <w:rsid w:val="000D36BA"/>
    <w:rsid w:val="00107E90"/>
    <w:rsid w:val="00120FA0"/>
    <w:rsid w:val="00125B5B"/>
    <w:rsid w:val="0014023E"/>
    <w:rsid w:val="00173BE6"/>
    <w:rsid w:val="0018224F"/>
    <w:rsid w:val="00183F7F"/>
    <w:rsid w:val="001A165A"/>
    <w:rsid w:val="001B596A"/>
    <w:rsid w:val="001C5159"/>
    <w:rsid w:val="001C7C9E"/>
    <w:rsid w:val="001D792C"/>
    <w:rsid w:val="001E1873"/>
    <w:rsid w:val="0021122C"/>
    <w:rsid w:val="002168F1"/>
    <w:rsid w:val="00236C93"/>
    <w:rsid w:val="00237F20"/>
    <w:rsid w:val="00252EDF"/>
    <w:rsid w:val="00254B7C"/>
    <w:rsid w:val="002627D2"/>
    <w:rsid w:val="00270789"/>
    <w:rsid w:val="00297E4A"/>
    <w:rsid w:val="002C35EA"/>
    <w:rsid w:val="002E4FB9"/>
    <w:rsid w:val="002E5FB6"/>
    <w:rsid w:val="002F5FD2"/>
    <w:rsid w:val="00313EE2"/>
    <w:rsid w:val="00324C1F"/>
    <w:rsid w:val="003430C4"/>
    <w:rsid w:val="0034495D"/>
    <w:rsid w:val="003468F7"/>
    <w:rsid w:val="00362583"/>
    <w:rsid w:val="00362921"/>
    <w:rsid w:val="00377317"/>
    <w:rsid w:val="00384616"/>
    <w:rsid w:val="003B43D4"/>
    <w:rsid w:val="003F632F"/>
    <w:rsid w:val="00404291"/>
    <w:rsid w:val="00421317"/>
    <w:rsid w:val="00462DF4"/>
    <w:rsid w:val="00462F7D"/>
    <w:rsid w:val="004759DF"/>
    <w:rsid w:val="00482F83"/>
    <w:rsid w:val="004A44B7"/>
    <w:rsid w:val="004A6ACE"/>
    <w:rsid w:val="004C499D"/>
    <w:rsid w:val="004D53D0"/>
    <w:rsid w:val="004E44C6"/>
    <w:rsid w:val="004E5B59"/>
    <w:rsid w:val="004F2D5B"/>
    <w:rsid w:val="00527BD6"/>
    <w:rsid w:val="0053054B"/>
    <w:rsid w:val="00541181"/>
    <w:rsid w:val="0055210D"/>
    <w:rsid w:val="00562ECE"/>
    <w:rsid w:val="00562FA5"/>
    <w:rsid w:val="00565B1F"/>
    <w:rsid w:val="005667FC"/>
    <w:rsid w:val="00575C55"/>
    <w:rsid w:val="00595449"/>
    <w:rsid w:val="005D13F6"/>
    <w:rsid w:val="005D1CFD"/>
    <w:rsid w:val="005D71AE"/>
    <w:rsid w:val="005E45F0"/>
    <w:rsid w:val="005E516B"/>
    <w:rsid w:val="005F253D"/>
    <w:rsid w:val="005F2A14"/>
    <w:rsid w:val="006013B3"/>
    <w:rsid w:val="00601BB1"/>
    <w:rsid w:val="00647A96"/>
    <w:rsid w:val="00657889"/>
    <w:rsid w:val="00683E42"/>
    <w:rsid w:val="006A36A9"/>
    <w:rsid w:val="006A66D0"/>
    <w:rsid w:val="006C68BC"/>
    <w:rsid w:val="006E112B"/>
    <w:rsid w:val="006F4943"/>
    <w:rsid w:val="0072282E"/>
    <w:rsid w:val="00724329"/>
    <w:rsid w:val="00730495"/>
    <w:rsid w:val="00740349"/>
    <w:rsid w:val="007454C3"/>
    <w:rsid w:val="00756F6B"/>
    <w:rsid w:val="00777D0E"/>
    <w:rsid w:val="00782111"/>
    <w:rsid w:val="00784323"/>
    <w:rsid w:val="00785F6E"/>
    <w:rsid w:val="00787775"/>
    <w:rsid w:val="007915AF"/>
    <w:rsid w:val="007C2A9B"/>
    <w:rsid w:val="007C4BD4"/>
    <w:rsid w:val="007D5FF6"/>
    <w:rsid w:val="008159BA"/>
    <w:rsid w:val="00816E91"/>
    <w:rsid w:val="00820A88"/>
    <w:rsid w:val="00832958"/>
    <w:rsid w:val="0084587D"/>
    <w:rsid w:val="0087313E"/>
    <w:rsid w:val="008736AB"/>
    <w:rsid w:val="0088635C"/>
    <w:rsid w:val="00890709"/>
    <w:rsid w:val="008A270D"/>
    <w:rsid w:val="008A4193"/>
    <w:rsid w:val="008A7807"/>
    <w:rsid w:val="008C1BB2"/>
    <w:rsid w:val="008E5098"/>
    <w:rsid w:val="008F2185"/>
    <w:rsid w:val="00913E17"/>
    <w:rsid w:val="009143AC"/>
    <w:rsid w:val="009302EC"/>
    <w:rsid w:val="0098295F"/>
    <w:rsid w:val="009A26B2"/>
    <w:rsid w:val="009A5D2F"/>
    <w:rsid w:val="009B0C36"/>
    <w:rsid w:val="009C0E66"/>
    <w:rsid w:val="009E3E7F"/>
    <w:rsid w:val="009E5250"/>
    <w:rsid w:val="009F12A2"/>
    <w:rsid w:val="009F3A86"/>
    <w:rsid w:val="00A15DA7"/>
    <w:rsid w:val="00A22183"/>
    <w:rsid w:val="00A32B70"/>
    <w:rsid w:val="00A36F2B"/>
    <w:rsid w:val="00A45DE6"/>
    <w:rsid w:val="00A5238B"/>
    <w:rsid w:val="00A56EED"/>
    <w:rsid w:val="00A6153B"/>
    <w:rsid w:val="00A81615"/>
    <w:rsid w:val="00A84E6D"/>
    <w:rsid w:val="00A94CB1"/>
    <w:rsid w:val="00A96D01"/>
    <w:rsid w:val="00A97DF3"/>
    <w:rsid w:val="00AA0A1C"/>
    <w:rsid w:val="00AA79CB"/>
    <w:rsid w:val="00AE1F0F"/>
    <w:rsid w:val="00AF367E"/>
    <w:rsid w:val="00AF692D"/>
    <w:rsid w:val="00B00C24"/>
    <w:rsid w:val="00B274A3"/>
    <w:rsid w:val="00B46E50"/>
    <w:rsid w:val="00B539F1"/>
    <w:rsid w:val="00B91721"/>
    <w:rsid w:val="00BB6A4B"/>
    <w:rsid w:val="00BF2E84"/>
    <w:rsid w:val="00BF2FC2"/>
    <w:rsid w:val="00C20CEE"/>
    <w:rsid w:val="00C22CBD"/>
    <w:rsid w:val="00C40305"/>
    <w:rsid w:val="00C45465"/>
    <w:rsid w:val="00C77255"/>
    <w:rsid w:val="00C96C5E"/>
    <w:rsid w:val="00CA216B"/>
    <w:rsid w:val="00CC3673"/>
    <w:rsid w:val="00CE0948"/>
    <w:rsid w:val="00CE23A8"/>
    <w:rsid w:val="00D026F4"/>
    <w:rsid w:val="00D2701F"/>
    <w:rsid w:val="00D335CC"/>
    <w:rsid w:val="00D34575"/>
    <w:rsid w:val="00D53A8C"/>
    <w:rsid w:val="00D71975"/>
    <w:rsid w:val="00D8774B"/>
    <w:rsid w:val="00DB0188"/>
    <w:rsid w:val="00DB06E1"/>
    <w:rsid w:val="00DB5435"/>
    <w:rsid w:val="00DC64C0"/>
    <w:rsid w:val="00DC6E1C"/>
    <w:rsid w:val="00E3141B"/>
    <w:rsid w:val="00E3547F"/>
    <w:rsid w:val="00E702F2"/>
    <w:rsid w:val="00EB66EE"/>
    <w:rsid w:val="00ED6F5C"/>
    <w:rsid w:val="00F204CF"/>
    <w:rsid w:val="00F432BD"/>
    <w:rsid w:val="00F62AE6"/>
    <w:rsid w:val="00F65150"/>
    <w:rsid w:val="00F7167A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.studnicka@tecom-a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3014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Gabriela Čepová</cp:lastModifiedBy>
  <cp:revision>8</cp:revision>
  <cp:lastPrinted>2018-03-02T10:58:00Z</cp:lastPrinted>
  <dcterms:created xsi:type="dcterms:W3CDTF">2018-03-02T10:54:00Z</dcterms:created>
  <dcterms:modified xsi:type="dcterms:W3CDTF">2018-03-14T09:18:00Z</dcterms:modified>
</cp:coreProperties>
</file>