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A9" w:rsidRPr="00464D2C" w:rsidRDefault="006A36A9" w:rsidP="00464D2C">
      <w:pPr>
        <w:jc w:val="center"/>
        <w:rPr>
          <w:rFonts w:eastAsia="Microsoft YaHei"/>
          <w:b/>
          <w:lang w:eastAsia="hi-IN" w:bidi="hi-IN"/>
        </w:rPr>
      </w:pPr>
      <w:r w:rsidRPr="00464D2C">
        <w:rPr>
          <w:rFonts w:eastAsia="Microsoft YaHei"/>
          <w:b/>
          <w:lang w:eastAsia="hi-IN" w:bidi="hi-IN"/>
        </w:rPr>
        <w:t>KUPNÍ SMLOUVA</w:t>
      </w:r>
    </w:p>
    <w:p w:rsidR="00FA475D" w:rsidRDefault="002B3642" w:rsidP="00FA475D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SNO/201</w:t>
      </w:r>
      <w:r w:rsidR="00E920DB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7/02</w:t>
      </w:r>
      <w:r w:rsidR="003A6974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/</w:t>
      </w:r>
      <w:r w:rsidR="00FA475D"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13/0</w:t>
      </w:r>
    </w:p>
    <w:p w:rsidR="006A36A9" w:rsidRPr="00214E72" w:rsidRDefault="006A36A9" w:rsidP="00FA475D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SimSun" w:hAnsi="Calibri"/>
          <w:kern w:val="1"/>
          <w:sz w:val="18"/>
          <w:lang w:eastAsia="hi-IN" w:bidi="hi-IN"/>
        </w:rPr>
      </w:pPr>
      <w:bookmarkStart w:id="0" w:name="_GoBack"/>
      <w:bookmarkEnd w:id="0"/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:rsidR="006A36A9" w:rsidRPr="00AC3374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="00EA3E05">
        <w:rPr>
          <w:rFonts w:ascii="Calibri" w:eastAsia="SimSun" w:hAnsi="Calibri"/>
          <w:kern w:val="1"/>
          <w:sz w:val="20"/>
          <w:lang w:eastAsia="hi-IN" w:bidi="hi-IN"/>
        </w:rPr>
        <w:t>MeWAdia s.r.o.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zapsaná 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>v OR vedeném</w:t>
      </w:r>
      <w:r w:rsidR="00AC3374" w:rsidRPr="00AC3374">
        <w:rPr>
          <w:rFonts w:ascii="Arial" w:hAnsi="Arial" w:cs="Arial"/>
          <w:bCs/>
          <w:szCs w:val="22"/>
        </w:rPr>
        <w:t xml:space="preserve"> </w:t>
      </w:r>
      <w:r w:rsidR="004F36A4">
        <w:rPr>
          <w:rFonts w:asciiTheme="minorHAnsi" w:hAnsiTheme="minorHAnsi" w:cs="Arial"/>
          <w:bCs/>
          <w:sz w:val="20"/>
          <w:szCs w:val="20"/>
        </w:rPr>
        <w:t>krajským soudem v B</w:t>
      </w:r>
      <w:r w:rsidR="00AC3374" w:rsidRPr="00AC3374">
        <w:rPr>
          <w:rFonts w:asciiTheme="minorHAnsi" w:hAnsiTheme="minorHAnsi" w:cs="Arial"/>
          <w:bCs/>
          <w:sz w:val="20"/>
          <w:szCs w:val="20"/>
        </w:rPr>
        <w:t>rně oddíl C, vložka 51846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Hlinky 64, 603 00 Brno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27683818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DIČ:  CZ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27683818</w:t>
      </w:r>
    </w:p>
    <w:p w:rsidR="00AC3374" w:rsidRPr="00AC3374" w:rsidRDefault="006A36A9" w:rsidP="00AC3374">
      <w:pPr>
        <w:spacing w:after="60"/>
        <w:rPr>
          <w:rStyle w:val="platne1"/>
          <w:rFonts w:asciiTheme="minorHAnsi" w:hAnsiTheme="minorHAnsi" w:cs="Arial"/>
          <w:sz w:val="20"/>
          <w:szCs w:val="20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AC3374">
        <w:rPr>
          <w:rStyle w:val="platne1"/>
          <w:rFonts w:asciiTheme="minorHAnsi" w:hAnsiTheme="minorHAnsi" w:cs="Arial"/>
          <w:sz w:val="20"/>
          <w:szCs w:val="20"/>
        </w:rPr>
        <w:t>Komerční banka a.s., Brno-město/</w:t>
      </w:r>
      <w:r w:rsidR="00EA3E05">
        <w:rPr>
          <w:rStyle w:val="platne1"/>
          <w:rFonts w:asciiTheme="minorHAnsi" w:hAnsiTheme="minorHAnsi" w:cs="Arial"/>
          <w:sz w:val="20"/>
          <w:szCs w:val="20"/>
        </w:rPr>
        <w:t>XXXX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Ing. Attila Kürti, jednatel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Bc. Michal Toman</w:t>
      </w:r>
    </w:p>
    <w:p w:rsidR="006A36A9" w:rsidRPr="00AC3374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EA3E05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AC3374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="00AC3374" w:rsidRPr="00AC3374">
        <w:rPr>
          <w:rFonts w:ascii="Calibri" w:eastAsia="SimSun" w:hAnsi="Calibri"/>
          <w:kern w:val="1"/>
          <w:sz w:val="20"/>
          <w:lang w:eastAsia="hi-IN" w:bidi="hi-IN"/>
        </w:rPr>
        <w:t xml:space="preserve"> toman@mewadia.cz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C96C5E">
        <w:rPr>
          <w:rFonts w:ascii="Calibri" w:eastAsia="SimSun" w:hAnsi="Calibri"/>
          <w:b/>
          <w:kern w:val="1"/>
          <w:sz w:val="20"/>
          <w:lang w:eastAsia="hi-IN" w:bidi="hi-IN"/>
        </w:rPr>
        <w:t>Slezská nemocnice v Opavě</w:t>
      </w: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, příspěvková organizace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Pr, vložka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924</w:t>
      </w:r>
    </w:p>
    <w:p w:rsidR="006A36A9" w:rsidRPr="00214E72" w:rsidRDefault="0018224F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>
        <w:rPr>
          <w:rFonts w:ascii="Calibri" w:eastAsia="SimSun" w:hAnsi="Calibri"/>
          <w:kern w:val="1"/>
          <w:sz w:val="20"/>
          <w:lang w:eastAsia="hi-IN" w:bidi="hi-IN"/>
        </w:rPr>
        <w:t>se sídlem: Olomoucká 470/86, Předměstí, 746 01 Opava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 xml:space="preserve">IČ: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 w:rsidR="00254B7C">
        <w:rPr>
          <w:rFonts w:ascii="Calibri" w:eastAsia="SimSun" w:hAnsi="Calibri"/>
          <w:kern w:val="1"/>
          <w:sz w:val="20"/>
          <w:lang w:eastAsia="hi-IN" w:bidi="hi-IN"/>
        </w:rPr>
        <w:t>Komerční banka Opava, a.s./</w:t>
      </w:r>
      <w:r w:rsidR="00EA3E05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zastoupená: MUDr. Ladislavem Václavcem, MBA, ředitelem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lastRenderedPageBreak/>
        <w:t>III.</w:t>
      </w:r>
    </w:p>
    <w:p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AC3374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techniku: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AC3374">
        <w:rPr>
          <w:rFonts w:ascii="Calibri" w:eastAsia="SimSun" w:hAnsi="Calibri"/>
          <w:kern w:val="1"/>
          <w:sz w:val="20"/>
          <w:szCs w:val="20"/>
          <w:lang w:eastAsia="hi-IN" w:bidi="hi-IN"/>
        </w:rPr>
        <w:t>Elektrochirurgický generátor Shalya Vista E+ vč. požadovaného příslušenství + Argonová jednotka SURTRON ABC (vč. základního příslušenství),</w:t>
      </w:r>
      <w:r w:rsidR="005E45F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.pdf, .jpg),</w:t>
      </w:r>
    </w:p>
    <w:p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IIa, IIb a nebo III), je-li relevantní, toto prohlášení bude opatřeno razítkem a podpisem zástupce prodávajícího. V případě, že prodávající dodá zboží zařazené do třídy IIb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Slezské nemocnice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br/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v Opavě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, příspěvková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730 541 340, email: </w:t>
      </w:r>
      <w:hyperlink r:id="rId8" w:history="1">
        <w:r w:rsidRPr="004A44B7">
          <w:rPr>
            <w:rFonts w:ascii="Calibri" w:eastAsia="SimSun" w:hAnsi="Calibri"/>
            <w:kern w:val="1"/>
            <w:sz w:val="20"/>
            <w:szCs w:val="20"/>
            <w:lang w:eastAsia="hi-IN" w:bidi="hi-IN"/>
          </w:rPr>
          <w:t>petr.gabriel@nemocnice.opava.cz</w:t>
        </w:r>
      </w:hyperlink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850 000,-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178 500,-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21 %</w:t>
      </w:r>
    </w:p>
    <w:p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1 028 500,-</w:t>
      </w:r>
    </w:p>
    <w:p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  <w:r w:rsidR="00464D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</w:p>
    <w:p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Pořízení zdravotnického vybavení pro S</w:t>
      </w:r>
      <w:r w:rsidR="0018224F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lezskou nemocnici v Opavě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, p. 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(CZ.06.2.56/0.0/0.0/16_043/0001448)</w:t>
      </w:r>
    </w:p>
    <w:p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SNO/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</w:t>
      </w:r>
      <w:r w:rsidR="00485D3F">
        <w:rPr>
          <w:rFonts w:ascii="Calibri" w:eastAsia="SimSun" w:hAnsi="Calibri"/>
          <w:snapToGrid w:val="0"/>
          <w:kern w:val="1"/>
          <w:sz w:val="20"/>
          <w:lang w:eastAsia="hi-IN" w:bidi="hi-IN"/>
        </w:rPr>
        <w:t>2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SNO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kupujícímu.</w:t>
      </w:r>
    </w:p>
    <w:p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Veškeré vady je kupující povinen uplatnit u prodávajícího bez zbytečného odkladu poté, kdy vadu zjistil,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a to formou písemného oznámení (popř. e-mailem) obsahujícího co nejpodrobnější specifikaci zjištěné vady (dále též „reklamace“). Kupující bude vady zboží oznamovat na:</w:t>
      </w:r>
    </w:p>
    <w:p w:rsidR="00913E17" w:rsidRPr="00AC3374" w:rsidRDefault="00AC3374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e-mail: mewadia@mewadia.cz</w:t>
      </w:r>
    </w:p>
    <w:p w:rsidR="00913E17" w:rsidRPr="00AC3374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adresu: </w:t>
      </w:r>
      <w:r w:rsidR="00AC3374" w:rsidRPr="00AC3374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Hlinky 64, 603 00 Brno</w:t>
      </w:r>
    </w:p>
    <w:p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musí kupujícímu neprodleně sdělit, v jakém termínu nastoupí k odstranění vad(y) s tím,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FE69B7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Pozáruční servis</w:t>
      </w:r>
    </w:p>
    <w:p w:rsidR="00913E17" w:rsidRDefault="00913E17" w:rsidP="00913E17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poskytne kupujícímu (v případě jeho požadavku) pozáruční servis na zboží</w:t>
      </w:r>
      <w:r w:rsidR="00AF7FBA">
        <w:rPr>
          <w:rFonts w:ascii="Calibri" w:eastAsia="SimSun" w:hAnsi="Calibri"/>
          <w:kern w:val="1"/>
          <w:sz w:val="20"/>
          <w:szCs w:val="20"/>
          <w:lang w:eastAsia="hi-IN" w:bidi="hi-IN"/>
        </w:rPr>
        <w:t>, minimálně na 4 roky po skončení záruky,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těmito podmínkami:</w:t>
      </w:r>
    </w:p>
    <w:p w:rsidR="00913E17" w:rsidRPr="00EE0ADF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FE69B7">
        <w:rPr>
          <w:rFonts w:ascii="Calibri" w:eastAsia="SimSun" w:hAnsi="Calibri"/>
          <w:kern w:val="1"/>
          <w:lang w:eastAsia="hi-IN" w:bidi="hi-IN"/>
        </w:rPr>
        <w:t xml:space="preserve">dopravné – cena za 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1 výjezd </w:t>
      </w:r>
      <w:r w:rsidR="007F3550" w:rsidRPr="00EE0ADF">
        <w:rPr>
          <w:rFonts w:ascii="Calibri" w:eastAsia="SimSun" w:hAnsi="Calibri"/>
          <w:kern w:val="1"/>
          <w:lang w:eastAsia="hi-IN" w:bidi="hi-IN"/>
        </w:rPr>
        <w:t xml:space="preserve">technika </w:t>
      </w:r>
      <w:r w:rsidRPr="00EE0ADF">
        <w:rPr>
          <w:rFonts w:ascii="Calibri" w:eastAsia="SimSun" w:hAnsi="Calibri"/>
          <w:kern w:val="1"/>
          <w:lang w:eastAsia="hi-IN" w:bidi="hi-IN"/>
        </w:rPr>
        <w:t>do místa plnění</w:t>
      </w:r>
      <w:r w:rsidR="00D026F4" w:rsidRPr="00EE0ADF">
        <w:rPr>
          <w:rFonts w:ascii="Calibri" w:eastAsia="SimSun" w:hAnsi="Calibri"/>
          <w:kern w:val="1"/>
          <w:lang w:eastAsia="hi-IN" w:bidi="hi-IN"/>
        </w:rPr>
        <w:t xml:space="preserve"> </w:t>
      </w:r>
      <w:r w:rsidR="007F3550" w:rsidRPr="00EE0ADF">
        <w:rPr>
          <w:rFonts w:ascii="Calibri" w:eastAsia="SimSun" w:hAnsi="Calibri"/>
          <w:kern w:val="1"/>
          <w:lang w:eastAsia="hi-IN" w:bidi="hi-IN"/>
        </w:rPr>
        <w:t xml:space="preserve">a zpět </w:t>
      </w:r>
      <w:r w:rsidR="00D026F4" w:rsidRPr="00EE0ADF">
        <w:rPr>
          <w:rFonts w:ascii="Calibri" w:eastAsia="SimSun" w:hAnsi="Calibri"/>
          <w:kern w:val="1"/>
          <w:lang w:eastAsia="hi-IN" w:bidi="hi-IN"/>
        </w:rPr>
        <w:t>– bude účtováno ve výši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 </w:t>
      </w:r>
      <w:r w:rsidR="00EE0ADF" w:rsidRPr="00EE0ADF">
        <w:rPr>
          <w:rFonts w:ascii="Calibri" w:eastAsia="SimSun" w:hAnsi="Calibri"/>
          <w:kern w:val="1"/>
          <w:lang w:eastAsia="hi-IN" w:bidi="hi-IN"/>
        </w:rPr>
        <w:t>1 360,-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 Kč + platná DPH</w:t>
      </w:r>
      <w:r w:rsidR="00EE0ADF" w:rsidRPr="00EE0ADF">
        <w:rPr>
          <w:rFonts w:ascii="Calibri" w:eastAsia="SimSun" w:hAnsi="Calibri"/>
          <w:kern w:val="1"/>
          <w:lang w:eastAsia="hi-IN" w:bidi="hi-IN"/>
        </w:rPr>
        <w:t xml:space="preserve"> </w:t>
      </w:r>
    </w:p>
    <w:p w:rsidR="00913E17" w:rsidRPr="00EE0ADF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EE0ADF">
        <w:rPr>
          <w:rFonts w:ascii="Calibri" w:eastAsia="SimSun" w:hAnsi="Calibri"/>
          <w:kern w:val="1"/>
          <w:lang w:eastAsia="hi-IN" w:bidi="hi-IN"/>
        </w:rPr>
        <w:t xml:space="preserve">servisní práce budou účtovány ve výši </w:t>
      </w:r>
      <w:r w:rsidR="00CF7FCE" w:rsidRPr="00EE0ADF">
        <w:rPr>
          <w:rFonts w:ascii="Calibri" w:eastAsia="SimSun" w:hAnsi="Calibri"/>
          <w:kern w:val="1"/>
          <w:lang w:eastAsia="hi-IN" w:bidi="hi-IN"/>
        </w:rPr>
        <w:t>550,-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 Kč/1 hod. + platná DPH </w:t>
      </w:r>
    </w:p>
    <w:p w:rsidR="006A36A9" w:rsidRPr="00EE0ADF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EE0ADF">
        <w:rPr>
          <w:rFonts w:ascii="Calibri" w:eastAsia="SimSun" w:hAnsi="Calibri"/>
          <w:kern w:val="1"/>
          <w:lang w:eastAsia="hi-IN" w:bidi="hi-IN"/>
        </w:rPr>
        <w:t>pravidelná OÚ (PBTK</w:t>
      </w:r>
      <w:r w:rsidR="00AD7ACD" w:rsidRPr="00EE0ADF">
        <w:rPr>
          <w:rFonts w:ascii="Calibri" w:eastAsia="SimSun" w:hAnsi="Calibri"/>
          <w:kern w:val="1"/>
          <w:lang w:eastAsia="hi-IN" w:bidi="hi-IN"/>
        </w:rPr>
        <w:t>- pravidelná bezpečnostní technická kontrola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) bude účtována ve výši </w:t>
      </w:r>
      <w:r w:rsidR="00EE0ADF" w:rsidRPr="00EE0ADF">
        <w:rPr>
          <w:rFonts w:ascii="Calibri" w:eastAsia="SimSun" w:hAnsi="Calibri"/>
          <w:kern w:val="1"/>
          <w:lang w:eastAsia="hi-IN" w:bidi="hi-IN"/>
        </w:rPr>
        <w:t>2 500,-</w:t>
      </w:r>
      <w:r w:rsidRPr="00EE0ADF">
        <w:rPr>
          <w:rFonts w:ascii="Calibri" w:eastAsia="SimSun" w:hAnsi="Calibri"/>
          <w:kern w:val="1"/>
          <w:lang w:eastAsia="hi-IN" w:bidi="hi-IN"/>
        </w:rPr>
        <w:t xml:space="preserve"> K</w:t>
      </w:r>
      <w:r w:rsidR="00EE0ADF" w:rsidRPr="00EE0ADF">
        <w:rPr>
          <w:rFonts w:ascii="Calibri" w:eastAsia="SimSun" w:hAnsi="Calibri"/>
          <w:kern w:val="1"/>
          <w:lang w:eastAsia="hi-IN" w:bidi="hi-IN"/>
        </w:rPr>
        <w:t xml:space="preserve">č + platná DPH </w:t>
      </w:r>
    </w:p>
    <w:p w:rsidR="00913E17" w:rsidRDefault="00913E1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prodávající neodstraní vadu zboží ve stanovené lhůtě, je povinen zaplatit kupujícímu smluvní </w:t>
      </w: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pokutu ve výši 0,2 % z  kupní ceny včetně  DPH, stanovené v čl. V odst. 1 této smlouvy, za každý i jen započatý den prodlení.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:rsidR="006A36A9" w:rsidRPr="00A36F2B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metadat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:rsidR="006A36A9" w:rsidRPr="00A36F2B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podpisy.</w:t>
      </w:r>
    </w:p>
    <w:p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2: Cenová kalkulace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Pr="00214E72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3: Pozáruční servis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1331"/>
        <w:gridCol w:w="4261"/>
      </w:tblGrid>
      <w:tr w:rsidR="006A36A9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66D0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  <w:p w:rsidR="006A36A9" w:rsidRPr="00214E72" w:rsidRDefault="00CF7FCE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CF7FCE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  Brně</w:t>
            </w:r>
            <w:r w:rsidR="006A36A9" w:rsidRPr="00CF7FCE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</w:t>
            </w:r>
            <w:r w:rsidR="004F36A4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5.3</w:t>
            </w:r>
            <w:r w:rsidRPr="00CF7FCE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. 2018</w:t>
            </w:r>
          </w:p>
        </w:tc>
      </w:tr>
      <w:tr w:rsidR="00324C1F" w:rsidRPr="00214E72" w:rsidTr="00541181">
        <w:trPr>
          <w:trHeight w:val="50"/>
        </w:trPr>
        <w:tc>
          <w:tcPr>
            <w:tcW w:w="3585" w:type="dxa"/>
            <w:shd w:val="clear" w:color="auto" w:fill="auto"/>
          </w:tcPr>
          <w:p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</w:p>
        </w:tc>
      </w:tr>
      <w:tr w:rsidR="006A36A9" w:rsidRPr="00214E72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:rsidR="006A36A9" w:rsidRPr="00E920DB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E920DB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:rsidR="006A36A9" w:rsidRPr="00214E72" w:rsidRDefault="00CF7FCE" w:rsidP="00CF7FCE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E920DB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Ing. Attila Kürti, jednatel</w:t>
            </w:r>
          </w:p>
        </w:tc>
      </w:tr>
    </w:tbl>
    <w:p w:rsidR="00C22CBD" w:rsidRDefault="00C22CBD"/>
    <w:p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:rsidR="00C22CBD" w:rsidRDefault="00C22CBD">
      <w:pPr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lastRenderedPageBreak/>
        <w:t xml:space="preserve">Příloha č. 1 </w:t>
      </w:r>
      <w:r w:rsidR="00A45DE6" w:rsidRPr="0055210D">
        <w:rPr>
          <w:rFonts w:ascii="Calibri" w:eastAsia="SimSun" w:hAnsi="Calibri"/>
          <w:b/>
          <w:kern w:val="2"/>
          <w:lang w:eastAsia="hi-IN" w:bidi="hi-IN"/>
        </w:rPr>
        <w:t xml:space="preserve">- </w:t>
      </w:r>
      <w:r w:rsidRPr="0055210D">
        <w:rPr>
          <w:rFonts w:ascii="Calibri" w:eastAsia="SimSun" w:hAnsi="Calibri"/>
          <w:b/>
          <w:kern w:val="2"/>
          <w:lang w:eastAsia="hi-IN" w:bidi="hi-IN"/>
        </w:rPr>
        <w:t>Specifikace zboží</w:t>
      </w:r>
      <w:r w:rsidRPr="0055210D"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  <w:t xml:space="preserve"> </w:t>
      </w:r>
    </w:p>
    <w:p w:rsidR="00BB6F16" w:rsidRPr="00BB6F16" w:rsidRDefault="00BB6F16">
      <w:pPr>
        <w:rPr>
          <w:rFonts w:ascii="Calibri" w:eastAsia="SimSun" w:hAnsi="Calibri"/>
          <w:b/>
          <w:kern w:val="2"/>
          <w:sz w:val="28"/>
          <w:szCs w:val="28"/>
          <w:lang w:eastAsia="hi-IN" w:bidi="hi-IN"/>
        </w:rPr>
      </w:pPr>
    </w:p>
    <w:p w:rsidR="00BB6F16" w:rsidRDefault="00BB6F16" w:rsidP="00BB6F16">
      <w:pPr>
        <w:jc w:val="center"/>
        <w:rPr>
          <w:rFonts w:ascii="Calibri" w:eastAsia="SimSun" w:hAnsi="Calibri"/>
          <w:b/>
          <w:kern w:val="2"/>
          <w:sz w:val="28"/>
          <w:szCs w:val="28"/>
          <w:lang w:eastAsia="hi-IN" w:bidi="hi-IN"/>
        </w:rPr>
      </w:pPr>
      <w:r w:rsidRPr="00BB6F16">
        <w:rPr>
          <w:rFonts w:ascii="Calibri" w:eastAsia="SimSun" w:hAnsi="Calibri"/>
          <w:b/>
          <w:kern w:val="2"/>
          <w:sz w:val="28"/>
          <w:szCs w:val="28"/>
          <w:lang w:eastAsia="hi-IN" w:bidi="hi-IN"/>
        </w:rPr>
        <w:t xml:space="preserve">Elektrochirurgický generátor </w:t>
      </w:r>
      <w:r>
        <w:rPr>
          <w:rFonts w:ascii="Calibri" w:eastAsia="SimSun" w:hAnsi="Calibri"/>
          <w:b/>
          <w:kern w:val="2"/>
          <w:sz w:val="28"/>
          <w:szCs w:val="28"/>
          <w:lang w:eastAsia="hi-IN" w:bidi="hi-IN"/>
        </w:rPr>
        <w:t>Shalya Vista E+  a argonová jednotka SURTRON ABC vč. příslušenství</w:t>
      </w:r>
    </w:p>
    <w:p w:rsidR="00BB6F16" w:rsidRDefault="00BB6F16" w:rsidP="00BB6F16">
      <w:pPr>
        <w:jc w:val="center"/>
        <w:rPr>
          <w:rFonts w:ascii="Calibri" w:eastAsia="SimSun" w:hAnsi="Calibri"/>
          <w:b/>
          <w:kern w:val="2"/>
          <w:sz w:val="28"/>
          <w:szCs w:val="28"/>
          <w:lang w:eastAsia="hi-IN" w:bidi="hi-IN"/>
        </w:rPr>
      </w:pP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elektrochirurgický vysokofrek</w:t>
      </w:r>
      <w:r>
        <w:rPr>
          <w:rFonts w:ascii="Times New Roman" w:hAnsi="Times New Roman" w:cs="Times New Roman"/>
          <w:sz w:val="20"/>
          <w:szCs w:val="20"/>
        </w:rPr>
        <w:t xml:space="preserve">venční generátor - frekvence  390 -460 KHz 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monopolární režim i bipolární režim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výkon 400W (monopolární režim), 12</w:t>
      </w:r>
      <w:r w:rsidRPr="00D20F56">
        <w:rPr>
          <w:rFonts w:ascii="Times New Roman" w:hAnsi="Times New Roman" w:cs="Times New Roman"/>
          <w:sz w:val="20"/>
          <w:szCs w:val="20"/>
        </w:rPr>
        <w:t>0W (bipolární koagulace)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dynamické řízení výstupního výkonu</w:t>
      </w:r>
      <w:r w:rsidR="00E920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2 režimy bipolárního řezu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režimů</w:t>
      </w:r>
      <w:r w:rsidRPr="00D20F56">
        <w:rPr>
          <w:rFonts w:ascii="Times New Roman" w:hAnsi="Times New Roman" w:cs="Times New Roman"/>
          <w:sz w:val="20"/>
          <w:szCs w:val="20"/>
        </w:rPr>
        <w:t xml:space="preserve"> řezu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režimů</w:t>
      </w:r>
      <w:r w:rsidRPr="00D20F56">
        <w:rPr>
          <w:rFonts w:ascii="Times New Roman" w:hAnsi="Times New Roman" w:cs="Times New Roman"/>
          <w:sz w:val="20"/>
          <w:szCs w:val="20"/>
        </w:rPr>
        <w:t xml:space="preserve"> koagulace</w:t>
      </w:r>
      <w:r w:rsidR="00E920DB">
        <w:rPr>
          <w:rFonts w:ascii="Times New Roman" w:hAnsi="Times New Roman" w:cs="Times New Roman"/>
          <w:sz w:val="20"/>
          <w:szCs w:val="20"/>
        </w:rPr>
        <w:t xml:space="preserve">, včetně funkce </w:t>
      </w:r>
      <w:r w:rsidR="00E920DB" w:rsidRPr="00E920DB">
        <w:rPr>
          <w:rFonts w:ascii="Times New Roman" w:hAnsi="Times New Roman" w:cs="Times New Roman"/>
          <w:b/>
          <w:sz w:val="20"/>
          <w:szCs w:val="20"/>
        </w:rPr>
        <w:t>2SiCoag –</w:t>
      </w:r>
      <w:r w:rsidR="00E920DB">
        <w:rPr>
          <w:rFonts w:ascii="Times New Roman" w:hAnsi="Times New Roman" w:cs="Times New Roman"/>
          <w:b/>
          <w:sz w:val="20"/>
          <w:szCs w:val="20"/>
        </w:rPr>
        <w:t xml:space="preserve"> simultá</w:t>
      </w:r>
      <w:r w:rsidR="00E920DB" w:rsidRPr="00E920DB">
        <w:rPr>
          <w:rFonts w:ascii="Times New Roman" w:hAnsi="Times New Roman" w:cs="Times New Roman"/>
          <w:b/>
          <w:sz w:val="20"/>
          <w:szCs w:val="20"/>
        </w:rPr>
        <w:t>n</w:t>
      </w:r>
      <w:r w:rsidR="00E920DB">
        <w:rPr>
          <w:rFonts w:ascii="Times New Roman" w:hAnsi="Times New Roman" w:cs="Times New Roman"/>
          <w:b/>
          <w:sz w:val="20"/>
          <w:szCs w:val="20"/>
        </w:rPr>
        <w:t>n</w:t>
      </w:r>
      <w:r w:rsidR="00E920DB" w:rsidRPr="00E920DB">
        <w:rPr>
          <w:rFonts w:ascii="Times New Roman" w:hAnsi="Times New Roman" w:cs="Times New Roman"/>
          <w:b/>
          <w:sz w:val="20"/>
          <w:szCs w:val="20"/>
        </w:rPr>
        <w:t>í koagulace 2 operatérů zároveň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zobrazení výkonových parametrů</w:t>
      </w:r>
      <w:r>
        <w:rPr>
          <w:rFonts w:ascii="Times New Roman" w:hAnsi="Times New Roman" w:cs="Times New Roman"/>
          <w:sz w:val="20"/>
          <w:szCs w:val="20"/>
        </w:rPr>
        <w:t xml:space="preserve"> a </w:t>
      </w:r>
      <w:r w:rsidRPr="00EE0ADF">
        <w:rPr>
          <w:rFonts w:ascii="Times New Roman" w:hAnsi="Times New Roman" w:cs="Times New Roman"/>
          <w:b/>
          <w:sz w:val="20"/>
          <w:szCs w:val="20"/>
        </w:rPr>
        <w:t>ovládání přes plně dotykový displej</w:t>
      </w:r>
      <w:r w:rsidR="00EE0ADF" w:rsidRPr="00EE0ADF">
        <w:rPr>
          <w:rFonts w:ascii="Times New Roman" w:hAnsi="Times New Roman" w:cs="Times New Roman"/>
          <w:b/>
          <w:sz w:val="20"/>
          <w:szCs w:val="20"/>
        </w:rPr>
        <w:t xml:space="preserve"> v českém jazyce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kontrola neutrální elektrody</w:t>
      </w:r>
      <w:r>
        <w:rPr>
          <w:rFonts w:ascii="Times New Roman" w:hAnsi="Times New Roman" w:cs="Times New Roman"/>
          <w:sz w:val="20"/>
          <w:szCs w:val="20"/>
        </w:rPr>
        <w:t xml:space="preserve"> PREM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autotest a alarm chybových stavů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řez, koagulace, mix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funkce automatického vypnutí po dokončení koagulace (prevence spálení tkáně)</w:t>
      </w:r>
      <w:r w:rsidR="00EE0ADF">
        <w:rPr>
          <w:rFonts w:ascii="Times New Roman" w:hAnsi="Times New Roman" w:cs="Times New Roman"/>
          <w:sz w:val="20"/>
          <w:szCs w:val="20"/>
        </w:rPr>
        <w:t xml:space="preserve">, </w:t>
      </w:r>
      <w:r w:rsidR="00EE0ADF" w:rsidRPr="00EE0ADF">
        <w:rPr>
          <w:rFonts w:ascii="Times New Roman" w:hAnsi="Times New Roman" w:cs="Times New Roman"/>
          <w:b/>
          <w:sz w:val="20"/>
          <w:szCs w:val="20"/>
        </w:rPr>
        <w:t>funkce Autostart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ovládací pedál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D20F56">
        <w:rPr>
          <w:rFonts w:ascii="Times New Roman" w:hAnsi="Times New Roman" w:cs="Times New Roman"/>
          <w:sz w:val="20"/>
          <w:szCs w:val="20"/>
        </w:rPr>
        <w:t>, vozík včetně polic na příslušenství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sada základního instrumentária pro operativu, neutrální elektroda. Veškeré kabely k elektrodám, atd, potřebné pro plnou funkčnost systému při použití níže uvedených elektrod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argonový modul</w:t>
      </w:r>
      <w:r>
        <w:rPr>
          <w:rFonts w:ascii="Times New Roman" w:hAnsi="Times New Roman" w:cs="Times New Roman"/>
          <w:sz w:val="20"/>
          <w:szCs w:val="20"/>
        </w:rPr>
        <w:t xml:space="preserve"> SURTRON ABC </w:t>
      </w:r>
      <w:r w:rsidRPr="00D20F56">
        <w:rPr>
          <w:rFonts w:ascii="Times New Roman" w:hAnsi="Times New Roman" w:cs="Times New Roman"/>
          <w:sz w:val="20"/>
          <w:szCs w:val="20"/>
        </w:rPr>
        <w:t xml:space="preserve"> s dodávkou plynu z lahve (</w:t>
      </w:r>
      <w:r>
        <w:rPr>
          <w:rFonts w:ascii="Times New Roman" w:hAnsi="Times New Roman" w:cs="Times New Roman"/>
          <w:sz w:val="20"/>
          <w:szCs w:val="20"/>
        </w:rPr>
        <w:t>náplň láhve</w:t>
      </w:r>
      <w:r w:rsidRPr="00D20F56">
        <w:rPr>
          <w:rFonts w:ascii="Times New Roman" w:hAnsi="Times New Roman" w:cs="Times New Roman"/>
          <w:sz w:val="20"/>
          <w:szCs w:val="20"/>
        </w:rPr>
        <w:t xml:space="preserve"> o min. 5L součástí dodávky) včetně potřebného příslušenství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 xml:space="preserve">v případě třídy el. bezpečnosti 1 – součástí dodávky kabel ochranného pospojování o délce min. 20 cm delší, než napájecí kabel, úhlové svorky ochranného pospojování. </w:t>
      </w:r>
    </w:p>
    <w:p w:rsidR="00BB6F16" w:rsidRPr="00D20F56" w:rsidRDefault="00BB6F16" w:rsidP="00BB6F16">
      <w:pPr>
        <w:pStyle w:val="Odstavecseseznamem"/>
        <w:jc w:val="both"/>
      </w:pPr>
    </w:p>
    <w:p w:rsidR="00BB6F16" w:rsidRDefault="00BB6F16" w:rsidP="00BB6F16">
      <w:pPr>
        <w:pStyle w:val="Odstavecseseznamem"/>
        <w:ind w:left="426"/>
        <w:jc w:val="both"/>
        <w:rPr>
          <w:b/>
        </w:rPr>
      </w:pPr>
      <w:r>
        <w:rPr>
          <w:b/>
        </w:rPr>
        <w:t xml:space="preserve">Příslušenství celkem </w:t>
      </w:r>
      <w:r w:rsidRPr="00D20F56">
        <w:rPr>
          <w:b/>
        </w:rPr>
        <w:t xml:space="preserve">: </w:t>
      </w:r>
    </w:p>
    <w:p w:rsidR="00BB6F16" w:rsidRPr="00D20F56" w:rsidRDefault="00BB6F16" w:rsidP="00BB6F16">
      <w:pPr>
        <w:pStyle w:val="Odstavecseseznamem"/>
        <w:ind w:left="426"/>
        <w:jc w:val="both"/>
        <w:rPr>
          <w:b/>
          <w:u w:val="single"/>
        </w:rPr>
      </w:pP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 resterilizovatelná pinzeta, délka 200 mm, rovné špičky 2 mm – 4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 resterilizovatelná pinzeta, délka 200 mm, rovné špičky 1 mm – 2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 resterilizovatelná pinzeta, délka 200 mm, bajonet, špičky 1 mm 4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 rest</w:t>
      </w:r>
      <w:r>
        <w:rPr>
          <w:rFonts w:ascii="Times New Roman" w:hAnsi="Times New Roman" w:cs="Times New Roman"/>
          <w:sz w:val="20"/>
          <w:szCs w:val="20"/>
        </w:rPr>
        <w:t>erilizovatelná pinzeta, délka 15</w:t>
      </w:r>
      <w:r w:rsidRPr="00D20F56">
        <w:rPr>
          <w:rFonts w:ascii="Times New Roman" w:hAnsi="Times New Roman" w:cs="Times New Roman"/>
          <w:sz w:val="20"/>
          <w:szCs w:val="20"/>
        </w:rPr>
        <w:t>0 mm, rovné špičky 2 mm – 3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 resterilizovatelná pinzeta, délka 11,5 cm, rovné špičky 0,5 mm – 3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bipolární</w:t>
      </w:r>
      <w:r>
        <w:rPr>
          <w:rFonts w:ascii="Times New Roman" w:hAnsi="Times New Roman" w:cs="Times New Roman"/>
          <w:sz w:val="20"/>
          <w:szCs w:val="20"/>
        </w:rPr>
        <w:t xml:space="preserve"> resterilizovatelný kabel, </w:t>
      </w:r>
      <w:r w:rsidRPr="00D20F56">
        <w:rPr>
          <w:rFonts w:ascii="Times New Roman" w:hAnsi="Times New Roman" w:cs="Times New Roman"/>
          <w:sz w:val="20"/>
          <w:szCs w:val="20"/>
        </w:rPr>
        <w:t>3m - 3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bezpečnostní neutrální elektrody s ekvipotenciální ochranou - 40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tužková rukojeť resteri</w:t>
      </w:r>
      <w:r>
        <w:rPr>
          <w:rFonts w:ascii="Times New Roman" w:hAnsi="Times New Roman" w:cs="Times New Roman"/>
          <w:sz w:val="20"/>
          <w:szCs w:val="20"/>
        </w:rPr>
        <w:t xml:space="preserve">lizovatelná s kabelem délky </w:t>
      </w:r>
      <w:r w:rsidRPr="00D20F56">
        <w:rPr>
          <w:rFonts w:ascii="Times New Roman" w:hAnsi="Times New Roman" w:cs="Times New Roman"/>
          <w:sz w:val="20"/>
          <w:szCs w:val="20"/>
        </w:rPr>
        <w:t xml:space="preserve"> 3 m– 6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nože k</w:t>
      </w:r>
      <w:r>
        <w:rPr>
          <w:rFonts w:ascii="Times New Roman" w:hAnsi="Times New Roman" w:cs="Times New Roman"/>
          <w:sz w:val="20"/>
          <w:szCs w:val="20"/>
        </w:rPr>
        <w:t xml:space="preserve">rátké resterilizovatelné </w:t>
      </w:r>
      <w:r w:rsidRPr="00D20F56">
        <w:rPr>
          <w:rFonts w:ascii="Times New Roman" w:hAnsi="Times New Roman" w:cs="Times New Roman"/>
          <w:sz w:val="20"/>
          <w:szCs w:val="20"/>
        </w:rPr>
        <w:t xml:space="preserve"> – 4 ks</w:t>
      </w:r>
    </w:p>
    <w:p w:rsidR="00BB6F16" w:rsidRPr="00D20F56" w:rsidRDefault="00BB6F16" w:rsidP="00BB6F16">
      <w:pPr>
        <w:pStyle w:val="Odstavecseseznamem1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F56">
        <w:rPr>
          <w:rFonts w:ascii="Times New Roman" w:hAnsi="Times New Roman" w:cs="Times New Roman"/>
          <w:sz w:val="20"/>
          <w:szCs w:val="20"/>
        </w:rPr>
        <w:t>dlouhé nože resterilizovat</w:t>
      </w:r>
      <w:r>
        <w:rPr>
          <w:rFonts w:ascii="Times New Roman" w:hAnsi="Times New Roman" w:cs="Times New Roman"/>
          <w:sz w:val="20"/>
          <w:szCs w:val="20"/>
        </w:rPr>
        <w:t xml:space="preserve">elné </w:t>
      </w:r>
      <w:r w:rsidRPr="00D20F56">
        <w:rPr>
          <w:rFonts w:ascii="Times New Roman" w:hAnsi="Times New Roman" w:cs="Times New Roman"/>
          <w:sz w:val="20"/>
          <w:szCs w:val="20"/>
        </w:rPr>
        <w:t xml:space="preserve"> – 4 ks</w:t>
      </w:r>
    </w:p>
    <w:p w:rsidR="00BB6F16" w:rsidRPr="00AC4F11" w:rsidRDefault="00BB6F16" w:rsidP="00BB6F16"/>
    <w:p w:rsidR="00BB6F16" w:rsidRPr="00BB6F16" w:rsidRDefault="00CA438A" w:rsidP="00BB6F16">
      <w:pPr>
        <w:rPr>
          <w:rFonts w:ascii="Calibri" w:eastAsia="SimSun" w:hAnsi="Calibri"/>
          <w:b/>
          <w:kern w:val="2"/>
          <w:lang w:eastAsia="hi-IN"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F06D9A" wp14:editId="1CA97A6C">
            <wp:simplePos x="0" y="0"/>
            <wp:positionH relativeFrom="column">
              <wp:posOffset>534670</wp:posOffset>
            </wp:positionH>
            <wp:positionV relativeFrom="paragraph">
              <wp:posOffset>83820</wp:posOffset>
            </wp:positionV>
            <wp:extent cx="2089150" cy="1635760"/>
            <wp:effectExtent l="0" t="0" r="6350" b="2540"/>
            <wp:wrapNone/>
            <wp:docPr id="4" name="Obrázek 4" descr="Shalya V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lya Vi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56C306B" wp14:editId="428A36B0">
            <wp:simplePos x="0" y="0"/>
            <wp:positionH relativeFrom="column">
              <wp:posOffset>3271520</wp:posOffset>
            </wp:positionH>
            <wp:positionV relativeFrom="paragraph">
              <wp:posOffset>113665</wp:posOffset>
            </wp:positionV>
            <wp:extent cx="2851200" cy="1605600"/>
            <wp:effectExtent l="0" t="0" r="6350" b="0"/>
            <wp:wrapNone/>
            <wp:docPr id="3" name="Obrázek 3" descr="cid:5D6A3E87-943B-4875-9422-62BD36D9F3BD@ledspa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EB16F-4206-49DC-92F4-003847BE89F7" descr="cid:5D6A3E87-943B-4875-9422-62BD36D9F3BD@ledspa.local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CBD" w:rsidRDefault="00C22CBD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Default="00A45DE6"/>
    <w:p w:rsidR="00A45DE6" w:rsidRPr="00BB6F16" w:rsidRDefault="00A45DE6" w:rsidP="00BB6F16">
      <w:pPr>
        <w:spacing w:after="200" w:line="276" w:lineRule="auto"/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2 - Cenová kalkulace</w:t>
      </w:r>
      <w:r>
        <w:rPr>
          <w:b/>
        </w:rPr>
        <w:t xml:space="preserve"> </w:t>
      </w:r>
    </w:p>
    <w:p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1069"/>
        <w:gridCol w:w="1593"/>
        <w:gridCol w:w="1593"/>
        <w:gridCol w:w="1593"/>
        <w:gridCol w:w="2090"/>
      </w:tblGrid>
      <w:tr w:rsidR="00FB155D" w:rsidRPr="00C22CBD" w:rsidTr="00CA438A">
        <w:trPr>
          <w:trHeight w:val="436"/>
        </w:trPr>
        <w:tc>
          <w:tcPr>
            <w:tcW w:w="1951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069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593" w:type="dxa"/>
            <w:vAlign w:val="center"/>
          </w:tcPr>
          <w:p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593" w:type="dxa"/>
            <w:vAlign w:val="center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593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2090" w:type="dxa"/>
          </w:tcPr>
          <w:p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FB155D" w:rsidTr="00CA438A">
        <w:trPr>
          <w:trHeight w:hRule="exact" w:val="1248"/>
        </w:trPr>
        <w:tc>
          <w:tcPr>
            <w:tcW w:w="1951" w:type="dxa"/>
            <w:vAlign w:val="center"/>
          </w:tcPr>
          <w:p w:rsidR="00CA438A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Sestava generátor + argonová jednotka vč. příslušenství </w:t>
            </w:r>
          </w:p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(dle specifikace níže)</w:t>
            </w:r>
          </w:p>
        </w:tc>
        <w:tc>
          <w:tcPr>
            <w:tcW w:w="1069" w:type="dxa"/>
            <w:vAlign w:val="center"/>
          </w:tcPr>
          <w:p w:rsidR="00FB155D" w:rsidRPr="0055210D" w:rsidRDefault="00CA438A" w:rsidP="00CA438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93" w:type="dxa"/>
            <w:vAlign w:val="center"/>
          </w:tcPr>
          <w:p w:rsidR="00FB155D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212 500,- </w:t>
            </w:r>
          </w:p>
        </w:tc>
        <w:tc>
          <w:tcPr>
            <w:tcW w:w="1593" w:type="dxa"/>
            <w:vAlign w:val="center"/>
          </w:tcPr>
          <w:p w:rsidR="00FB155D" w:rsidRPr="0055210D" w:rsidRDefault="00CA438A" w:rsidP="00CA438A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257 125,-</w:t>
            </w:r>
          </w:p>
        </w:tc>
        <w:tc>
          <w:tcPr>
            <w:tcW w:w="1593" w:type="dxa"/>
          </w:tcPr>
          <w:p w:rsidR="00FB155D" w:rsidRDefault="00FB155D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  <w:p w:rsidR="00CA438A" w:rsidRDefault="00CA438A" w:rsidP="00CA438A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 xml:space="preserve">    </w:t>
            </w:r>
          </w:p>
          <w:p w:rsidR="00CA438A" w:rsidRPr="0055210D" w:rsidRDefault="00CA438A" w:rsidP="00CA438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850 000,-</w:t>
            </w:r>
          </w:p>
        </w:tc>
        <w:tc>
          <w:tcPr>
            <w:tcW w:w="2090" w:type="dxa"/>
            <w:vAlign w:val="center"/>
          </w:tcPr>
          <w:p w:rsidR="00FB155D" w:rsidRPr="0055210D" w:rsidRDefault="00CA438A" w:rsidP="00CA438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1 028 500,-</w:t>
            </w:r>
          </w:p>
        </w:tc>
      </w:tr>
      <w:tr w:rsidR="00CA438A" w:rsidTr="00CA438A">
        <w:trPr>
          <w:trHeight w:hRule="exact" w:val="325"/>
        </w:trPr>
        <w:tc>
          <w:tcPr>
            <w:tcW w:w="1951" w:type="dxa"/>
            <w:vAlign w:val="center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069" w:type="dxa"/>
            <w:vAlign w:val="center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93" w:type="dxa"/>
            <w:vAlign w:val="center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93" w:type="dxa"/>
            <w:vAlign w:val="center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93" w:type="dxa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      850 000,-</w:t>
            </w:r>
          </w:p>
        </w:tc>
        <w:tc>
          <w:tcPr>
            <w:tcW w:w="2090" w:type="dxa"/>
            <w:vAlign w:val="center"/>
          </w:tcPr>
          <w:p w:rsidR="00CA438A" w:rsidRPr="0055210D" w:rsidRDefault="00CA438A" w:rsidP="00FB155D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1 028 500,-</w:t>
            </w:r>
          </w:p>
        </w:tc>
      </w:tr>
    </w:tbl>
    <w:p w:rsidR="00C22CBD" w:rsidRDefault="00C22CBD"/>
    <w:p w:rsidR="00C22CBD" w:rsidRDefault="00C22CBD"/>
    <w:p w:rsidR="0055210D" w:rsidRDefault="00EE0ADF">
      <w:r>
        <w:rPr>
          <w:noProof/>
        </w:rPr>
        <w:drawing>
          <wp:inline distT="0" distB="0" distL="0" distR="0">
            <wp:extent cx="5759450" cy="30308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3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ADF" w:rsidRDefault="00EE0ADF">
      <w:r>
        <w:rPr>
          <w:noProof/>
        </w:rPr>
        <w:drawing>
          <wp:inline distT="0" distB="0" distL="0" distR="0">
            <wp:extent cx="5759450" cy="192585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0D" w:rsidRDefault="0055210D"/>
    <w:p w:rsidR="0055210D" w:rsidRDefault="0055210D"/>
    <w:p w:rsidR="0055210D" w:rsidRDefault="0055210D"/>
    <w:p w:rsidR="0055210D" w:rsidRDefault="0055210D"/>
    <w:p w:rsidR="0055210D" w:rsidRPr="00EE0ADF" w:rsidRDefault="0055210D" w:rsidP="00EE0ADF">
      <w:pPr>
        <w:spacing w:after="200" w:line="276" w:lineRule="auto"/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3 – Pozáruční servis</w:t>
      </w:r>
    </w:p>
    <w:p w:rsidR="00C22CBD" w:rsidRDefault="00C22CBD"/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943"/>
        <w:gridCol w:w="2410"/>
        <w:gridCol w:w="2835"/>
        <w:gridCol w:w="1843"/>
      </w:tblGrid>
      <w:tr w:rsidR="009E5250" w:rsidRPr="001A165A" w:rsidTr="00D335CC">
        <w:tc>
          <w:tcPr>
            <w:tcW w:w="29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410" w:type="dxa"/>
            <w:vAlign w:val="center"/>
          </w:tcPr>
          <w:p w:rsidR="0055210D" w:rsidRPr="005667FC" w:rsidRDefault="009E5250" w:rsidP="0055210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Dopravné </w:t>
            </w:r>
            <w:r w:rsidR="0055210D" w:rsidRPr="005667FC">
              <w:rPr>
                <w:rFonts w:asciiTheme="minorHAnsi" w:hAnsiTheme="minorHAnsi"/>
                <w:b/>
              </w:rPr>
              <w:t xml:space="preserve">– cena </w:t>
            </w:r>
            <w:r w:rsidR="0055210D" w:rsidRPr="005667FC">
              <w:rPr>
                <w:rFonts w:asciiTheme="minorHAnsi" w:hAnsiTheme="minorHAnsi"/>
                <w:b/>
              </w:rPr>
              <w:br/>
              <w:t>za 1 výjezd do místa plnění</w:t>
            </w:r>
            <w:r w:rsidR="00D335CC">
              <w:rPr>
                <w:rFonts w:asciiTheme="minorHAnsi" w:hAnsiTheme="minorHAnsi"/>
                <w:b/>
              </w:rPr>
              <w:t xml:space="preserve"> </w:t>
            </w:r>
            <w:r w:rsidR="00AD7ACD">
              <w:rPr>
                <w:rFonts w:asciiTheme="minorHAnsi" w:hAnsiTheme="minorHAnsi"/>
                <w:b/>
              </w:rPr>
              <w:t xml:space="preserve">a zpět </w:t>
            </w:r>
            <w:r w:rsidR="0055210D" w:rsidRPr="005667FC">
              <w:rPr>
                <w:rFonts w:asciiTheme="minorHAnsi" w:hAnsiTheme="minorHAnsi"/>
                <w:b/>
              </w:rPr>
              <w:t>v Kč bez DPH</w:t>
            </w:r>
          </w:p>
        </w:tc>
        <w:tc>
          <w:tcPr>
            <w:tcW w:w="2835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servisní práce/1 hod</w:t>
            </w:r>
            <w:r w:rsidR="00FB155D" w:rsidRPr="005667FC">
              <w:rPr>
                <w:rFonts w:asciiTheme="minorHAnsi" w:hAnsiTheme="minorHAnsi"/>
                <w:b/>
              </w:rPr>
              <w:t>.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  <w:tc>
          <w:tcPr>
            <w:tcW w:w="1843" w:type="dxa"/>
            <w:vAlign w:val="center"/>
          </w:tcPr>
          <w:p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PBTK</w:t>
            </w:r>
            <w:r w:rsidR="0014085D">
              <w:rPr>
                <w:rFonts w:asciiTheme="minorHAnsi" w:hAnsiTheme="minorHAnsi"/>
                <w:b/>
              </w:rPr>
              <w:t>/sestava</w:t>
            </w:r>
            <w:r w:rsidRPr="005667FC">
              <w:rPr>
                <w:rFonts w:asciiTheme="minorHAnsi" w:hAnsiTheme="minorHAnsi"/>
                <w:b/>
              </w:rPr>
              <w:t xml:space="preserve"> </w:t>
            </w:r>
          </w:p>
          <w:p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</w:tr>
      <w:tr w:rsidR="009E5250" w:rsidTr="00432914">
        <w:trPr>
          <w:trHeight w:hRule="exact" w:val="613"/>
        </w:trPr>
        <w:tc>
          <w:tcPr>
            <w:tcW w:w="2943" w:type="dxa"/>
            <w:vAlign w:val="center"/>
          </w:tcPr>
          <w:p w:rsidR="009E5250" w:rsidRPr="00432914" w:rsidRDefault="00CA438A" w:rsidP="00FB155D">
            <w:pPr>
              <w:rPr>
                <w:rFonts w:asciiTheme="minorHAnsi" w:hAnsiTheme="minorHAnsi"/>
                <w:sz w:val="20"/>
                <w:szCs w:val="20"/>
              </w:rPr>
            </w:pPr>
            <w:r w:rsidRPr="00432914">
              <w:rPr>
                <w:rFonts w:asciiTheme="minorHAnsi" w:hAnsiTheme="minorHAnsi"/>
                <w:sz w:val="20"/>
                <w:szCs w:val="20"/>
              </w:rPr>
              <w:t>Sestava generátor + argonová jednotka</w:t>
            </w:r>
            <w:r w:rsidR="0014085D">
              <w:rPr>
                <w:rFonts w:asciiTheme="minorHAnsi" w:hAnsiTheme="minorHAnsi"/>
                <w:sz w:val="20"/>
                <w:szCs w:val="20"/>
              </w:rPr>
              <w:t xml:space="preserve"> (1 ks)</w:t>
            </w:r>
          </w:p>
        </w:tc>
        <w:tc>
          <w:tcPr>
            <w:tcW w:w="2410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1 360,- </w:t>
            </w:r>
          </w:p>
        </w:tc>
        <w:tc>
          <w:tcPr>
            <w:tcW w:w="2835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550,-</w:t>
            </w:r>
          </w:p>
        </w:tc>
        <w:tc>
          <w:tcPr>
            <w:tcW w:w="1843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2 500,-</w:t>
            </w:r>
          </w:p>
        </w:tc>
      </w:tr>
      <w:tr w:rsidR="009E5250" w:rsidRPr="00FB155D" w:rsidTr="00D335CC">
        <w:trPr>
          <w:trHeight w:hRule="exact" w:val="397"/>
        </w:trPr>
        <w:tc>
          <w:tcPr>
            <w:tcW w:w="2943" w:type="dxa"/>
            <w:vAlign w:val="center"/>
          </w:tcPr>
          <w:p w:rsidR="009E5250" w:rsidRPr="005667FC" w:rsidRDefault="00FB155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CELKEM</w:t>
            </w:r>
            <w:r w:rsidR="0014085D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1 360,-</w:t>
            </w:r>
          </w:p>
        </w:tc>
        <w:tc>
          <w:tcPr>
            <w:tcW w:w="2835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550,- </w:t>
            </w:r>
          </w:p>
        </w:tc>
        <w:tc>
          <w:tcPr>
            <w:tcW w:w="1843" w:type="dxa"/>
            <w:vAlign w:val="center"/>
          </w:tcPr>
          <w:p w:rsidR="009E5250" w:rsidRPr="005667FC" w:rsidRDefault="0014085D" w:rsidP="00FB15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2 500,-</w:t>
            </w:r>
          </w:p>
        </w:tc>
      </w:tr>
    </w:tbl>
    <w:p w:rsidR="00C22CBD" w:rsidRDefault="00C22CBD"/>
    <w:sectPr w:rsidR="00C22CBD" w:rsidSect="00A2218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BE" w:rsidRDefault="00760FBE" w:rsidP="009B0C36">
      <w:r>
        <w:separator/>
      </w:r>
    </w:p>
  </w:endnote>
  <w:endnote w:type="continuationSeparator" w:id="0">
    <w:p w:rsidR="00760FBE" w:rsidRDefault="00760FBE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FD6359" w:rsidRDefault="00FD6359">
            <w:pPr>
              <w:pStyle w:val="Zpat"/>
              <w:jc w:val="center"/>
            </w:pPr>
          </w:p>
          <w:p w:rsidR="00FD6359" w:rsidRDefault="00FA475D">
            <w:pPr>
              <w:pStyle w:val="Zpat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FD6359" w:rsidRDefault="00FD6359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FA475D">
              <w:rPr>
                <w:rFonts w:ascii="Calibri" w:hAnsi="Calibri" w:cs="Calibri"/>
                <w:b/>
                <w:noProof/>
                <w:sz w:val="22"/>
              </w:rPr>
              <w:t>2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FA475D">
              <w:rPr>
                <w:rFonts w:ascii="Calibri" w:hAnsi="Calibri" w:cs="Calibri"/>
                <w:b/>
                <w:noProof/>
                <w:sz w:val="22"/>
              </w:rPr>
              <w:t>11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:rsidR="00FD6359" w:rsidRPr="00FD6359" w:rsidRDefault="00A22183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="00FD6359" w:rsidRPr="00FD6359">
              <w:rPr>
                <w:rFonts w:ascii="Calibri" w:hAnsi="Calibri" w:cs="Calibri"/>
                <w:sz w:val="20"/>
              </w:rPr>
              <w:t>KS k VZ SNO/FMP/2017/0</w:t>
            </w:r>
            <w:r w:rsidR="006644F1">
              <w:rPr>
                <w:rFonts w:ascii="Calibri" w:hAnsi="Calibri" w:cs="Calibri"/>
                <w:sz w:val="20"/>
              </w:rPr>
              <w:t>2</w:t>
            </w:r>
            <w:r w:rsidR="00FD6359" w:rsidRPr="00FD6359">
              <w:rPr>
                <w:rFonts w:ascii="Calibri" w:hAnsi="Calibri" w:cs="Calibri"/>
                <w:sz w:val="20"/>
              </w:rPr>
              <w:t>/pořízení zdravotnického vybavení pro SNO-2. etapa</w:t>
            </w:r>
          </w:p>
          <w:p w:rsidR="00FD6359" w:rsidRDefault="00FD6359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83" w:rsidRDefault="00A22183" w:rsidP="00A22183">
    <w:pPr>
      <w:pStyle w:val="Zpat"/>
    </w:pPr>
  </w:p>
  <w:p w:rsidR="00A22183" w:rsidRDefault="00FA475D" w:rsidP="00A22183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="004F36A4">
      <w:rPr>
        <w:rFonts w:asciiTheme="minorHAnsi" w:hAnsiTheme="minorHAnsi" w:cstheme="minorHAnsi"/>
        <w:b/>
        <w:sz w:val="22"/>
        <w:szCs w:val="22"/>
      </w:rPr>
      <w:t xml:space="preserve"> z 11</w:t>
    </w:r>
  </w:p>
  <w:p w:rsidR="00A22183" w:rsidRPr="00A22183" w:rsidRDefault="00A22183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SNO/FMP/2017/0</w:t>
    </w:r>
    <w:r w:rsidR="00FF1562">
      <w:rPr>
        <w:rFonts w:asciiTheme="minorHAnsi" w:hAnsiTheme="minorHAnsi" w:cstheme="minorHAnsi"/>
        <w:sz w:val="20"/>
        <w:szCs w:val="20"/>
      </w:rPr>
      <w:t>2</w:t>
    </w:r>
    <w:r w:rsidRPr="00A22183">
      <w:rPr>
        <w:rFonts w:asciiTheme="minorHAnsi" w:hAnsiTheme="minorHAnsi" w:cstheme="minorHAnsi"/>
        <w:sz w:val="20"/>
        <w:szCs w:val="20"/>
      </w:rPr>
      <w:t>/pořízení zdravotnického vybavení pro SNO-2. etapa</w:t>
    </w:r>
  </w:p>
  <w:p w:rsidR="00A22183" w:rsidRPr="00A22183" w:rsidRDefault="00A22183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BE" w:rsidRDefault="00760FBE" w:rsidP="009B0C36">
      <w:r>
        <w:separator/>
      </w:r>
    </w:p>
  </w:footnote>
  <w:footnote w:type="continuationSeparator" w:id="0">
    <w:p w:rsidR="00760FBE" w:rsidRDefault="00760FBE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 w:rsidR="00DC64C0">
      <w:rPr>
        <w:noProof/>
      </w:rPr>
      <w:drawing>
        <wp:inline distT="0" distB="0" distL="0" distR="0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83" w:rsidRPr="00876FDC" w:rsidRDefault="00A22183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</w:t>
    </w:r>
    <w:r w:rsidRPr="00876FDC">
      <w:rPr>
        <w:sz w:val="16"/>
        <w:szCs w:val="16"/>
      </w:rPr>
      <w:t xml:space="preserve">Zadavatel: </w:t>
    </w:r>
  </w:p>
  <w:p w:rsidR="00A22183" w:rsidRPr="00876FDC" w:rsidRDefault="00A22183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</w:t>
    </w:r>
    <w:r w:rsidRPr="00876FDC">
      <w:rPr>
        <w:sz w:val="16"/>
        <w:szCs w:val="16"/>
      </w:rPr>
      <w:t>lezská nemocnice v Opavě, příspěvková org.</w:t>
    </w:r>
  </w:p>
  <w:p w:rsidR="00A22183" w:rsidRPr="00876FDC" w:rsidRDefault="00A22183" w:rsidP="00A22183">
    <w:pPr>
      <w:pStyle w:val="Zhlav"/>
      <w:rPr>
        <w:sz w:val="16"/>
        <w:szCs w:val="16"/>
      </w:rPr>
    </w:pPr>
  </w:p>
  <w:p w:rsidR="00A22183" w:rsidRPr="00876FDC" w:rsidRDefault="00A22183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:rsidR="00A22183" w:rsidRDefault="00A22183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„Pořízení zdravotnického vybavení pro Slezskou nemocnici v Opavě, p. o. – 2. etapa“</w:t>
    </w:r>
  </w:p>
  <w:p w:rsidR="00A22183" w:rsidRDefault="00A22183" w:rsidP="00A22183">
    <w:pPr>
      <w:pStyle w:val="Zhlav"/>
    </w:pPr>
  </w:p>
  <w:p w:rsidR="00A22183" w:rsidRDefault="00A22183" w:rsidP="00A22183">
    <w:pPr>
      <w:pStyle w:val="Zhlav"/>
    </w:pPr>
    <w:r>
      <w:rPr>
        <w:noProof/>
      </w:rPr>
      <w:drawing>
        <wp:inline distT="0" distB="0" distL="0" distR="0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183" w:rsidRDefault="00A221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D6D"/>
    <w:multiLevelType w:val="hybridMultilevel"/>
    <w:tmpl w:val="CD663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6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8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9"/>
  </w:num>
  <w:num w:numId="5">
    <w:abstractNumId w:val="2"/>
  </w:num>
  <w:num w:numId="6">
    <w:abstractNumId w:val="8"/>
  </w:num>
  <w:num w:numId="7">
    <w:abstractNumId w:val="11"/>
  </w:num>
  <w:num w:numId="8">
    <w:abstractNumId w:val="22"/>
  </w:num>
  <w:num w:numId="9">
    <w:abstractNumId w:val="5"/>
  </w:num>
  <w:num w:numId="10">
    <w:abstractNumId w:val="18"/>
  </w:num>
  <w:num w:numId="11">
    <w:abstractNumId w:val="10"/>
  </w:num>
  <w:num w:numId="12">
    <w:abstractNumId w:val="15"/>
  </w:num>
  <w:num w:numId="13">
    <w:abstractNumId w:val="13"/>
  </w:num>
  <w:num w:numId="14">
    <w:abstractNumId w:val="19"/>
  </w:num>
  <w:num w:numId="15">
    <w:abstractNumId w:val="1"/>
  </w:num>
  <w:num w:numId="16">
    <w:abstractNumId w:val="6"/>
  </w:num>
  <w:num w:numId="17">
    <w:abstractNumId w:val="16"/>
  </w:num>
  <w:num w:numId="18">
    <w:abstractNumId w:val="7"/>
  </w:num>
  <w:num w:numId="19">
    <w:abstractNumId w:val="14"/>
  </w:num>
  <w:num w:numId="20">
    <w:abstractNumId w:val="4"/>
  </w:num>
  <w:num w:numId="21">
    <w:abstractNumId w:val="12"/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A9"/>
    <w:rsid w:val="00036D74"/>
    <w:rsid w:val="00060C8E"/>
    <w:rsid w:val="00070A32"/>
    <w:rsid w:val="000724BF"/>
    <w:rsid w:val="000D36BA"/>
    <w:rsid w:val="00120FA0"/>
    <w:rsid w:val="00125B5B"/>
    <w:rsid w:val="0014085D"/>
    <w:rsid w:val="00173BE6"/>
    <w:rsid w:val="0018224F"/>
    <w:rsid w:val="00183F7F"/>
    <w:rsid w:val="001A165A"/>
    <w:rsid w:val="001B596A"/>
    <w:rsid w:val="001D792C"/>
    <w:rsid w:val="001F2F85"/>
    <w:rsid w:val="002168F1"/>
    <w:rsid w:val="0022065C"/>
    <w:rsid w:val="00252EDF"/>
    <w:rsid w:val="00254B7C"/>
    <w:rsid w:val="002627D2"/>
    <w:rsid w:val="00262B42"/>
    <w:rsid w:val="002845C1"/>
    <w:rsid w:val="00295C74"/>
    <w:rsid w:val="002B3642"/>
    <w:rsid w:val="002F5FD2"/>
    <w:rsid w:val="00313EE2"/>
    <w:rsid w:val="00324C1F"/>
    <w:rsid w:val="003430C4"/>
    <w:rsid w:val="0034495D"/>
    <w:rsid w:val="00371E40"/>
    <w:rsid w:val="00377317"/>
    <w:rsid w:val="00384616"/>
    <w:rsid w:val="00387D67"/>
    <w:rsid w:val="003A6974"/>
    <w:rsid w:val="003D193C"/>
    <w:rsid w:val="003F65CD"/>
    <w:rsid w:val="00404291"/>
    <w:rsid w:val="00425DE8"/>
    <w:rsid w:val="00432914"/>
    <w:rsid w:val="00462F7D"/>
    <w:rsid w:val="00464D2C"/>
    <w:rsid w:val="004722AB"/>
    <w:rsid w:val="004759DF"/>
    <w:rsid w:val="00485D3F"/>
    <w:rsid w:val="004A44B7"/>
    <w:rsid w:val="004A6ACE"/>
    <w:rsid w:val="004C499D"/>
    <w:rsid w:val="004C684E"/>
    <w:rsid w:val="004E44C6"/>
    <w:rsid w:val="004F36A4"/>
    <w:rsid w:val="0053054B"/>
    <w:rsid w:val="00541181"/>
    <w:rsid w:val="0055210D"/>
    <w:rsid w:val="00562ECE"/>
    <w:rsid w:val="00562FA5"/>
    <w:rsid w:val="005667FC"/>
    <w:rsid w:val="00582AD2"/>
    <w:rsid w:val="00595449"/>
    <w:rsid w:val="005D13F6"/>
    <w:rsid w:val="005E45F0"/>
    <w:rsid w:val="005F253D"/>
    <w:rsid w:val="006013B3"/>
    <w:rsid w:val="00647A96"/>
    <w:rsid w:val="006644F1"/>
    <w:rsid w:val="006A36A9"/>
    <w:rsid w:val="006A66D0"/>
    <w:rsid w:val="006C68BC"/>
    <w:rsid w:val="006E112B"/>
    <w:rsid w:val="006F4943"/>
    <w:rsid w:val="00724329"/>
    <w:rsid w:val="00730495"/>
    <w:rsid w:val="00740349"/>
    <w:rsid w:val="00756F6B"/>
    <w:rsid w:val="00760FBE"/>
    <w:rsid w:val="00782111"/>
    <w:rsid w:val="00784323"/>
    <w:rsid w:val="007915AF"/>
    <w:rsid w:val="007F3550"/>
    <w:rsid w:val="008159BA"/>
    <w:rsid w:val="00816E91"/>
    <w:rsid w:val="00820A88"/>
    <w:rsid w:val="0087313E"/>
    <w:rsid w:val="00885D47"/>
    <w:rsid w:val="00886AE5"/>
    <w:rsid w:val="00890709"/>
    <w:rsid w:val="008A7807"/>
    <w:rsid w:val="008F2185"/>
    <w:rsid w:val="00913E17"/>
    <w:rsid w:val="009143AC"/>
    <w:rsid w:val="009A5D2F"/>
    <w:rsid w:val="009A7F10"/>
    <w:rsid w:val="009B0C36"/>
    <w:rsid w:val="009C4C43"/>
    <w:rsid w:val="009E5250"/>
    <w:rsid w:val="009F12A2"/>
    <w:rsid w:val="009F3A86"/>
    <w:rsid w:val="00A1327B"/>
    <w:rsid w:val="00A22183"/>
    <w:rsid w:val="00A32B70"/>
    <w:rsid w:val="00A36F2B"/>
    <w:rsid w:val="00A45DE6"/>
    <w:rsid w:val="00A6153B"/>
    <w:rsid w:val="00A84E6D"/>
    <w:rsid w:val="00A94CB1"/>
    <w:rsid w:val="00A97DF3"/>
    <w:rsid w:val="00AA0A1C"/>
    <w:rsid w:val="00AC3374"/>
    <w:rsid w:val="00AD7ACD"/>
    <w:rsid w:val="00AE1F0F"/>
    <w:rsid w:val="00AF367E"/>
    <w:rsid w:val="00AF7FBA"/>
    <w:rsid w:val="00B539F1"/>
    <w:rsid w:val="00B91721"/>
    <w:rsid w:val="00BB6A4B"/>
    <w:rsid w:val="00BB6F16"/>
    <w:rsid w:val="00BF2FC2"/>
    <w:rsid w:val="00C22CBD"/>
    <w:rsid w:val="00C96C5E"/>
    <w:rsid w:val="00CA216B"/>
    <w:rsid w:val="00CA438A"/>
    <w:rsid w:val="00CC3673"/>
    <w:rsid w:val="00CF7FCE"/>
    <w:rsid w:val="00D026F4"/>
    <w:rsid w:val="00D2701F"/>
    <w:rsid w:val="00D335CC"/>
    <w:rsid w:val="00D34575"/>
    <w:rsid w:val="00D71975"/>
    <w:rsid w:val="00D8774B"/>
    <w:rsid w:val="00DA4CBB"/>
    <w:rsid w:val="00DC64C0"/>
    <w:rsid w:val="00E3141B"/>
    <w:rsid w:val="00E702F2"/>
    <w:rsid w:val="00E920DB"/>
    <w:rsid w:val="00EA3E05"/>
    <w:rsid w:val="00EE0ADF"/>
    <w:rsid w:val="00F204CF"/>
    <w:rsid w:val="00F24E27"/>
    <w:rsid w:val="00F65150"/>
    <w:rsid w:val="00FA475D"/>
    <w:rsid w:val="00FB155D"/>
    <w:rsid w:val="00FC5BCF"/>
    <w:rsid w:val="00FD6359"/>
    <w:rsid w:val="00FE3AF9"/>
    <w:rsid w:val="00FE69B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AC3374"/>
  </w:style>
  <w:style w:type="paragraph" w:customStyle="1" w:styleId="Odstavecseseznamem1">
    <w:name w:val="Odstavec se seznamem1"/>
    <w:basedOn w:val="Normln"/>
    <w:rsid w:val="00BB6F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AC3374"/>
  </w:style>
  <w:style w:type="paragraph" w:customStyle="1" w:styleId="Odstavecseseznamem1">
    <w:name w:val="Odstavec se seznamem1"/>
    <w:basedOn w:val="Normln"/>
    <w:rsid w:val="00BB6F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gabriel@nemocnice.opava.cz" TargetMode="Externa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12.jpg@01CF3DEA.B25D3C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3194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Renáta Mrkvová</cp:lastModifiedBy>
  <cp:revision>3</cp:revision>
  <cp:lastPrinted>2018-03-05T13:55:00Z</cp:lastPrinted>
  <dcterms:created xsi:type="dcterms:W3CDTF">2018-03-26T12:12:00Z</dcterms:created>
  <dcterms:modified xsi:type="dcterms:W3CDTF">2018-03-26T12:12:00Z</dcterms:modified>
</cp:coreProperties>
</file>