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3" w:rsidRDefault="00381FD9">
      <w:pPr>
        <w:spacing w:after="228" w:line="259" w:lineRule="auto"/>
        <w:ind w:left="0" w:right="114" w:firstLine="0"/>
        <w:jc w:val="center"/>
      </w:pPr>
      <w:proofErr w:type="gramStart"/>
      <w:r>
        <w:rPr>
          <w:b/>
          <w:sz w:val="28"/>
        </w:rPr>
        <w:t>S M L O U V A    O    D Í L O</w:t>
      </w:r>
      <w:proofErr w:type="gramEnd"/>
      <w:r>
        <w:rPr>
          <w:b/>
          <w:sz w:val="28"/>
        </w:rPr>
        <w:t xml:space="preserve"> </w:t>
      </w:r>
    </w:p>
    <w:p w:rsidR="00621BE3" w:rsidRDefault="00381FD9">
      <w:pPr>
        <w:spacing w:after="277" w:line="252" w:lineRule="auto"/>
        <w:ind w:left="2630" w:right="2622"/>
        <w:jc w:val="center"/>
      </w:pPr>
      <w:r>
        <w:rPr>
          <w:b/>
          <w:sz w:val="24"/>
        </w:rPr>
        <w:t xml:space="preserve">kterou podle občanského </w:t>
      </w:r>
      <w:proofErr w:type="gramStart"/>
      <w:r>
        <w:rPr>
          <w:b/>
          <w:sz w:val="24"/>
        </w:rPr>
        <w:t>zákoníku  uzavřeli</w:t>
      </w:r>
      <w:proofErr w:type="gramEnd"/>
      <w:r>
        <w:rPr>
          <w:b/>
          <w:sz w:val="24"/>
        </w:rPr>
        <w:t xml:space="preserve"> dne (datum): </w:t>
      </w:r>
      <w:r w:rsidR="00532EC4">
        <w:rPr>
          <w:b/>
          <w:sz w:val="24"/>
        </w:rPr>
        <w:t>12. 3. 2018</w:t>
      </w:r>
    </w:p>
    <w:p w:rsidR="00621BE3" w:rsidRDefault="00381FD9">
      <w:pPr>
        <w:spacing w:after="7" w:line="252" w:lineRule="auto"/>
        <w:ind w:left="2630" w:right="2616"/>
        <w:jc w:val="center"/>
      </w:pPr>
      <w:r>
        <w:rPr>
          <w:b/>
          <w:sz w:val="24"/>
        </w:rPr>
        <w:t>I.</w:t>
      </w:r>
    </w:p>
    <w:p w:rsidR="00621BE3" w:rsidRDefault="00381FD9">
      <w:pPr>
        <w:pStyle w:val="Nadpis1"/>
        <w:spacing w:after="0"/>
        <w:ind w:left="15" w:right="2" w:hanging="10"/>
        <w:jc w:val="center"/>
      </w:pPr>
      <w:r>
        <w:rPr>
          <w:b/>
          <w:sz w:val="20"/>
          <w:u w:val="single" w:color="000000"/>
        </w:rPr>
        <w:t>Smluvní strany</w:t>
      </w:r>
    </w:p>
    <w:tbl>
      <w:tblPr>
        <w:tblStyle w:val="TableGrid"/>
        <w:tblW w:w="7518" w:type="dxa"/>
        <w:tblInd w:w="0" w:type="dxa"/>
        <w:tblLook w:val="04A0" w:firstRow="1" w:lastRow="0" w:firstColumn="1" w:lastColumn="0" w:noHBand="0" w:noVBand="1"/>
      </w:tblPr>
      <w:tblGrid>
        <w:gridCol w:w="3600"/>
        <w:gridCol w:w="3918"/>
      </w:tblGrid>
      <w:tr w:rsidR="00621BE3">
        <w:trPr>
          <w:trHeight w:val="22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Z h o t o v i t e l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FLAME </w:t>
            </w:r>
            <w:proofErr w:type="spellStart"/>
            <w:r>
              <w:rPr>
                <w:b/>
                <w:sz w:val="20"/>
              </w:rPr>
              <w:t>corporation</w:t>
            </w:r>
            <w:proofErr w:type="spellEnd"/>
            <w:r>
              <w:rPr>
                <w:b/>
                <w:sz w:val="20"/>
              </w:rPr>
              <w:t xml:space="preserve"> s.r.o.</w:t>
            </w:r>
          </w:p>
        </w:tc>
      </w:tr>
      <w:tr w:rsidR="00621BE3">
        <w:trPr>
          <w:trHeight w:val="23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Sídlo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V Zátiší 810/1, Ostrava – Mariánské Hory</w:t>
            </w:r>
          </w:p>
        </w:tc>
      </w:tr>
      <w:tr w:rsidR="00621BE3">
        <w:trPr>
          <w:trHeight w:val="23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Oprávněn jednat ve věcech smluvních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Remeník</w:t>
            </w:r>
            <w:proofErr w:type="spellEnd"/>
            <w:r>
              <w:rPr>
                <w:sz w:val="20"/>
              </w:rPr>
              <w:t xml:space="preserve"> Pavel</w:t>
            </w:r>
          </w:p>
        </w:tc>
      </w:tr>
      <w:tr w:rsidR="00621BE3">
        <w:trPr>
          <w:trHeight w:val="23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Oprávněn jednat ve věcech provozních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Remeník</w:t>
            </w:r>
            <w:proofErr w:type="spellEnd"/>
            <w:r>
              <w:rPr>
                <w:sz w:val="20"/>
              </w:rPr>
              <w:t xml:space="preserve"> Pavel</w:t>
            </w:r>
          </w:p>
        </w:tc>
      </w:tr>
      <w:tr w:rsidR="00621BE3">
        <w:trPr>
          <w:trHeight w:val="23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Oprávněn jednat ve věcech technických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Remeník</w:t>
            </w:r>
            <w:proofErr w:type="spellEnd"/>
            <w:r>
              <w:rPr>
                <w:sz w:val="20"/>
              </w:rPr>
              <w:t xml:space="preserve"> Pavel</w:t>
            </w:r>
          </w:p>
        </w:tc>
      </w:tr>
      <w:tr w:rsidR="00621BE3">
        <w:trPr>
          <w:trHeight w:val="23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IČO: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01753894</w:t>
            </w:r>
          </w:p>
        </w:tc>
      </w:tr>
      <w:tr w:rsidR="00621BE3">
        <w:trPr>
          <w:trHeight w:val="37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CZ01753894</w:t>
            </w:r>
          </w:p>
        </w:tc>
      </w:tr>
      <w:tr w:rsidR="00621BE3">
        <w:trPr>
          <w:trHeight w:val="49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Telefon, fax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608 884 413</w:t>
            </w:r>
          </w:p>
        </w:tc>
      </w:tr>
      <w:tr w:rsidR="00621BE3">
        <w:trPr>
          <w:trHeight w:val="34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BE3" w:rsidRDefault="00381FD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O b j e d n a t e l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EC4" w:rsidRDefault="00381FD9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Gymnázium</w:t>
            </w:r>
            <w:r w:rsidR="00532EC4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Karviná, </w:t>
            </w:r>
          </w:p>
          <w:p w:rsidR="00621BE3" w:rsidRDefault="00381FD9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příspěvková organizace</w:t>
            </w:r>
          </w:p>
          <w:p w:rsidR="00532EC4" w:rsidRDefault="00532EC4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zastoupeno: Mgr. Milošem Kučerou</w:t>
            </w:r>
          </w:p>
        </w:tc>
      </w:tr>
    </w:tbl>
    <w:p w:rsidR="00621BE3" w:rsidRDefault="00532EC4">
      <w:pPr>
        <w:spacing w:after="0" w:line="259" w:lineRule="auto"/>
        <w:ind w:left="0" w:right="495" w:firstLine="0"/>
        <w:jc w:val="center"/>
      </w:pPr>
      <w:r>
        <w:rPr>
          <w:sz w:val="20"/>
        </w:rPr>
        <w:t xml:space="preserve">     </w:t>
      </w:r>
      <w:r w:rsidR="00381FD9">
        <w:rPr>
          <w:sz w:val="20"/>
        </w:rPr>
        <w:t>Mírová 1442/2, Karviná</w:t>
      </w:r>
    </w:p>
    <w:p w:rsidR="00532EC4" w:rsidRDefault="00532EC4">
      <w:pPr>
        <w:spacing w:after="30" w:line="252" w:lineRule="auto"/>
        <w:ind w:left="3610" w:right="0"/>
        <w:rPr>
          <w:sz w:val="20"/>
        </w:rPr>
      </w:pPr>
    </w:p>
    <w:p w:rsidR="00621BE3" w:rsidRDefault="00381FD9">
      <w:pPr>
        <w:spacing w:after="30" w:line="252" w:lineRule="auto"/>
        <w:ind w:left="3610" w:right="0"/>
      </w:pPr>
      <w:r>
        <w:rPr>
          <w:sz w:val="20"/>
        </w:rPr>
        <w:t>IČ 62331795</w:t>
      </w:r>
    </w:p>
    <w:p w:rsidR="00621BE3" w:rsidRDefault="00381FD9">
      <w:pPr>
        <w:pStyle w:val="Nadpis1"/>
      </w:pPr>
      <w:r>
        <w:t>______________________________________________________________________________</w:t>
      </w:r>
    </w:p>
    <w:p w:rsidR="00621BE3" w:rsidRDefault="00381FD9">
      <w:pPr>
        <w:pStyle w:val="Nadpis2"/>
        <w:ind w:left="15" w:right="3"/>
      </w:pPr>
      <w:r>
        <w:rPr>
          <w:u w:val="none"/>
        </w:rPr>
        <w:t xml:space="preserve">II. </w:t>
      </w:r>
      <w:r>
        <w:t>Předmět a rozsah díla</w:t>
      </w:r>
    </w:p>
    <w:p w:rsidR="00621BE3" w:rsidRDefault="00381FD9">
      <w:pPr>
        <w:spacing w:after="278" w:line="252" w:lineRule="auto"/>
        <w:ind w:left="-5" w:right="1848"/>
      </w:pPr>
      <w:r>
        <w:rPr>
          <w:sz w:val="20"/>
        </w:rPr>
        <w:t xml:space="preserve">Dodávka a montáž 2 ks zatmívacích rolet, ovládání el. </w:t>
      </w:r>
      <w:proofErr w:type="gramStart"/>
      <w:r>
        <w:rPr>
          <w:sz w:val="20"/>
        </w:rPr>
        <w:t>motorem</w:t>
      </w:r>
      <w:proofErr w:type="gramEnd"/>
      <w:r>
        <w:rPr>
          <w:sz w:val="20"/>
        </w:rPr>
        <w:t xml:space="preserve"> + dálkové ovládání, rozměr 1950 x 2220. Barva tkaniny </w:t>
      </w:r>
      <w:proofErr w:type="spellStart"/>
      <w:r>
        <w:rPr>
          <w:sz w:val="20"/>
        </w:rPr>
        <w:t>Ebony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blackout</w:t>
      </w:r>
      <w:proofErr w:type="spellEnd"/>
      <w:r>
        <w:rPr>
          <w:sz w:val="20"/>
        </w:rPr>
        <w:t xml:space="preserve">.  </w:t>
      </w:r>
    </w:p>
    <w:p w:rsidR="00621BE3" w:rsidRDefault="00381FD9">
      <w:pPr>
        <w:spacing w:after="223"/>
        <w:ind w:left="-5"/>
      </w:pPr>
      <w:r>
        <w:rPr>
          <w:sz w:val="20"/>
        </w:rPr>
        <w:t xml:space="preserve">Dodávka a montáž 32 ks </w:t>
      </w:r>
      <w:proofErr w:type="spellStart"/>
      <w:r>
        <w:rPr>
          <w:sz w:val="20"/>
        </w:rPr>
        <w:t>isso</w:t>
      </w:r>
      <w:proofErr w:type="spellEnd"/>
      <w:r>
        <w:rPr>
          <w:sz w:val="20"/>
        </w:rPr>
        <w:t xml:space="preserve"> žaluzií, typ </w:t>
      </w:r>
      <w:proofErr w:type="spellStart"/>
      <w:r>
        <w:rPr>
          <w:sz w:val="20"/>
        </w:rPr>
        <w:t>celostínící</w:t>
      </w:r>
      <w:proofErr w:type="spellEnd"/>
      <w:r>
        <w:rPr>
          <w:sz w:val="20"/>
        </w:rPr>
        <w:t xml:space="preserve">, barva bílá </w:t>
      </w:r>
      <w:r>
        <w:t xml:space="preserve">Součástí díla nejsou úpravy stavebních otvorů, zednické a malířské práce. </w:t>
      </w:r>
    </w:p>
    <w:p w:rsidR="00621BE3" w:rsidRDefault="00381FD9">
      <w:pPr>
        <w:pStyle w:val="Nadpis2"/>
        <w:ind w:left="15" w:right="1"/>
      </w:pPr>
      <w:r>
        <w:rPr>
          <w:u w:val="none"/>
        </w:rPr>
        <w:t xml:space="preserve">III. </w:t>
      </w:r>
      <w:r>
        <w:t>Místo plnění</w:t>
      </w:r>
    </w:p>
    <w:p w:rsidR="00621BE3" w:rsidRDefault="00381FD9">
      <w:pPr>
        <w:spacing w:line="252" w:lineRule="auto"/>
        <w:ind w:left="-5" w:right="0"/>
      </w:pPr>
      <w:r>
        <w:rPr>
          <w:sz w:val="20"/>
        </w:rPr>
        <w:t xml:space="preserve">Místem plnění je budova-nemovitost na adrese:  </w:t>
      </w:r>
      <w:r>
        <w:t>Mírová 1442/2, Karviná</w:t>
      </w:r>
    </w:p>
    <w:p w:rsidR="00621BE3" w:rsidRDefault="00381FD9">
      <w:pPr>
        <w:spacing w:after="269"/>
        <w:ind w:left="-5" w:right="0"/>
      </w:pPr>
      <w:r>
        <w:t>Objednatel prohlašuje, že je oprávněn jednáním ve věcech předmětu díla a že mu nejsou známy žádné právní ani jiné překážky, které by bránily řádnému zhotovení díla sjednaného touto smlouvou</w:t>
      </w:r>
    </w:p>
    <w:p w:rsidR="00621BE3" w:rsidRDefault="00381FD9">
      <w:pPr>
        <w:pStyle w:val="Nadpis2"/>
        <w:ind w:left="15"/>
      </w:pPr>
      <w:r>
        <w:rPr>
          <w:u w:val="none"/>
        </w:rPr>
        <w:t xml:space="preserve"> IV. </w:t>
      </w:r>
      <w:r>
        <w:t>Cena díla</w:t>
      </w:r>
    </w:p>
    <w:p w:rsidR="00621BE3" w:rsidRDefault="00381FD9">
      <w:pPr>
        <w:spacing w:after="230" w:line="252" w:lineRule="auto"/>
        <w:ind w:left="-5" w:right="0"/>
      </w:pPr>
      <w:r>
        <w:rPr>
          <w:sz w:val="20"/>
        </w:rPr>
        <w:t>Celková cena díla je stanovena dohodou smluvních stran a činí včetně DPH 21% - 76 869,-</w:t>
      </w:r>
      <w:r w:rsidR="00532EC4">
        <w:rPr>
          <w:sz w:val="20"/>
        </w:rPr>
        <w:t xml:space="preserve"> Kč.</w:t>
      </w:r>
    </w:p>
    <w:p w:rsidR="00621BE3" w:rsidRDefault="00381FD9">
      <w:pPr>
        <w:spacing w:after="278" w:line="252" w:lineRule="auto"/>
        <w:ind w:left="-5" w:right="0"/>
      </w:pPr>
      <w:r>
        <w:rPr>
          <w:b/>
          <w:sz w:val="20"/>
        </w:rPr>
        <w:t>Zatmívací rolety</w:t>
      </w:r>
      <w:r>
        <w:rPr>
          <w:sz w:val="20"/>
        </w:rPr>
        <w:t xml:space="preserve"> – 19 360,-</w:t>
      </w:r>
      <w:r w:rsidR="00532EC4">
        <w:rPr>
          <w:sz w:val="20"/>
        </w:rPr>
        <w:t xml:space="preserve"> Kč</w:t>
      </w:r>
      <w:r>
        <w:rPr>
          <w:sz w:val="20"/>
        </w:rPr>
        <w:t xml:space="preserve"> + montáž a el. </w:t>
      </w:r>
      <w:proofErr w:type="gramStart"/>
      <w:r w:rsidR="00532EC4">
        <w:rPr>
          <w:sz w:val="20"/>
        </w:rPr>
        <w:t>z</w:t>
      </w:r>
      <w:r>
        <w:rPr>
          <w:sz w:val="20"/>
        </w:rPr>
        <w:t>apojení</w:t>
      </w:r>
      <w:proofErr w:type="gramEnd"/>
      <w:r>
        <w:rPr>
          <w:sz w:val="20"/>
        </w:rPr>
        <w:t xml:space="preserve"> 2 200,-</w:t>
      </w:r>
      <w:r w:rsidR="00532EC4">
        <w:rPr>
          <w:sz w:val="20"/>
        </w:rPr>
        <w:t xml:space="preserve"> Kč</w:t>
      </w:r>
      <w:r>
        <w:rPr>
          <w:sz w:val="20"/>
        </w:rPr>
        <w:t>, celkem 21 560,-</w:t>
      </w:r>
      <w:r w:rsidR="00532EC4">
        <w:rPr>
          <w:sz w:val="20"/>
        </w:rPr>
        <w:t xml:space="preserve"> Kč</w:t>
      </w:r>
      <w:r>
        <w:rPr>
          <w:sz w:val="20"/>
        </w:rPr>
        <w:t>/ks. Celkem za dva kusy rolet 43</w:t>
      </w:r>
      <w:r w:rsidR="00532EC4">
        <w:rPr>
          <w:sz w:val="20"/>
        </w:rPr>
        <w:t> </w:t>
      </w:r>
      <w:r>
        <w:rPr>
          <w:sz w:val="20"/>
        </w:rPr>
        <w:t>120,-</w:t>
      </w:r>
      <w:r w:rsidR="00532EC4">
        <w:rPr>
          <w:sz w:val="20"/>
        </w:rPr>
        <w:t xml:space="preserve"> Kč</w:t>
      </w:r>
      <w:r>
        <w:rPr>
          <w:sz w:val="20"/>
        </w:rPr>
        <w:t>.</w:t>
      </w:r>
    </w:p>
    <w:p w:rsidR="00621BE3" w:rsidRDefault="00381FD9">
      <w:pPr>
        <w:spacing w:line="252" w:lineRule="auto"/>
        <w:ind w:left="-5" w:right="0"/>
      </w:pPr>
      <w:r>
        <w:rPr>
          <w:b/>
          <w:sz w:val="20"/>
        </w:rPr>
        <w:t>ISSO žaluzie</w:t>
      </w:r>
      <w:r>
        <w:rPr>
          <w:sz w:val="20"/>
        </w:rPr>
        <w:t xml:space="preserve"> pro plastová okna – 19 000,-, montáž 1408,-, celkem 20 408,-.</w:t>
      </w:r>
    </w:p>
    <w:p w:rsidR="00621BE3" w:rsidRDefault="00381FD9">
      <w:pPr>
        <w:spacing w:after="319"/>
        <w:ind w:left="-5" w:right="0"/>
      </w:pPr>
      <w:r>
        <w:t>V případě změny zákona o DPH bude DPH aktualizováno. Jakékoliv změny oproti původnímu zadání včetně doplnění počtu a typů požadovaných výrobků a navýšení dopravného z důvodu nepřipravenosti stavby budou dodatečně doúčtovány.</w:t>
      </w:r>
    </w:p>
    <w:p w:rsidR="00621BE3" w:rsidRDefault="00381FD9">
      <w:pPr>
        <w:pStyle w:val="Nadpis2"/>
        <w:ind w:left="15" w:right="3"/>
      </w:pPr>
      <w:r>
        <w:rPr>
          <w:u w:val="none"/>
        </w:rPr>
        <w:t xml:space="preserve">V. </w:t>
      </w:r>
      <w:r>
        <w:t>Lhůty a způsob placení</w:t>
      </w:r>
    </w:p>
    <w:p w:rsidR="00621BE3" w:rsidRDefault="00381FD9">
      <w:pPr>
        <w:spacing w:line="252" w:lineRule="auto"/>
        <w:ind w:left="-5" w:right="0"/>
      </w:pPr>
      <w:r>
        <w:rPr>
          <w:sz w:val="20"/>
        </w:rPr>
        <w:t xml:space="preserve">Objednatel se zavazuje zaplatit zhotoviteli zálohu na výrobu díla ve výši 0,- Kč, která je splatná na bankovní účet nebo hotově při podpisu smlouvy. </w:t>
      </w:r>
    </w:p>
    <w:p w:rsidR="00381FD9" w:rsidRDefault="00381FD9" w:rsidP="00381FD9">
      <w:pPr>
        <w:spacing w:after="1338" w:line="252" w:lineRule="auto"/>
        <w:ind w:left="-5" w:right="0"/>
        <w:rPr>
          <w:sz w:val="20"/>
        </w:rPr>
      </w:pPr>
      <w:r>
        <w:rPr>
          <w:sz w:val="20"/>
        </w:rPr>
        <w:t>Doplatek po odpočtu zálohy se objednatel zavazuje uhradit na základě vystavené faktury</w:t>
      </w:r>
      <w:r w:rsidR="00532EC4">
        <w:rPr>
          <w:sz w:val="20"/>
        </w:rPr>
        <w:t>.</w:t>
      </w:r>
      <w:r>
        <w:rPr>
          <w:sz w:val="20"/>
        </w:rPr>
        <w:t xml:space="preserve"> Den ukončení montáž</w:t>
      </w:r>
      <w:r w:rsidR="00532EC4">
        <w:rPr>
          <w:sz w:val="20"/>
        </w:rPr>
        <w:t>e je </w:t>
      </w:r>
      <w:r>
        <w:rPr>
          <w:sz w:val="20"/>
        </w:rPr>
        <w:t>zároveň dnem předání díla.</w:t>
      </w:r>
    </w:p>
    <w:p w:rsidR="00621BE3" w:rsidRDefault="00381FD9">
      <w:pPr>
        <w:pStyle w:val="Nadpis2"/>
        <w:ind w:left="15" w:right="2"/>
      </w:pPr>
      <w:r>
        <w:rPr>
          <w:u w:val="none"/>
        </w:rPr>
        <w:lastRenderedPageBreak/>
        <w:t xml:space="preserve">VI. </w:t>
      </w:r>
      <w:r>
        <w:t>Doba plnění</w:t>
      </w:r>
    </w:p>
    <w:p w:rsidR="00621BE3" w:rsidRDefault="00381FD9">
      <w:pPr>
        <w:spacing w:line="252" w:lineRule="auto"/>
        <w:ind w:left="-5" w:right="0"/>
      </w:pPr>
      <w:r>
        <w:rPr>
          <w:sz w:val="20"/>
        </w:rPr>
        <w:t xml:space="preserve">Zhotovitel se zavazuje splnit řádně tuto smlouvu v celém rozsahu sjednaného předmětu plnění zahájením prací nejpozději do </w:t>
      </w:r>
      <w:r w:rsidR="00532EC4">
        <w:rPr>
          <w:sz w:val="20"/>
        </w:rPr>
        <w:t>23. 3. 2018.</w:t>
      </w:r>
      <w:bookmarkStart w:id="0" w:name="_GoBack"/>
      <w:bookmarkEnd w:id="0"/>
    </w:p>
    <w:p w:rsidR="00621BE3" w:rsidRDefault="00381FD9">
      <w:pPr>
        <w:spacing w:after="319"/>
        <w:ind w:left="-5" w:right="0"/>
      </w:pPr>
      <w:r>
        <w:t xml:space="preserve">Nezaplacení sjednaných plateb se považuje za podstatné porušení smluvní povinnosti a zhotovitel není povinen dodržet dohodnutý termín plnění. Podmínkou pro splnění dohodnutého termínu plnění je připravenost stavby pro zaměření otvorů a provedení vlastní montáže. Při nedodržení termínu komplexní stavební připravenosti si zhotovitel vyhrazuje právo stanovit nový termín realizace na základě vlastního plánu montáže a vyfakturování dle bodu III předmětné smlouvy. </w:t>
      </w:r>
    </w:p>
    <w:p w:rsidR="00621BE3" w:rsidRDefault="00381FD9">
      <w:pPr>
        <w:pStyle w:val="Nadpis2"/>
        <w:ind w:left="15" w:right="2"/>
      </w:pPr>
      <w:r>
        <w:rPr>
          <w:u w:val="none"/>
        </w:rPr>
        <w:t xml:space="preserve">I. </w:t>
      </w:r>
      <w:r>
        <w:t>Záruka a záruční doba</w:t>
      </w:r>
    </w:p>
    <w:p w:rsidR="00621BE3" w:rsidRDefault="00381FD9">
      <w:pPr>
        <w:spacing w:after="184" w:line="252" w:lineRule="auto"/>
        <w:ind w:left="-5" w:right="0"/>
      </w:pPr>
      <w:r>
        <w:rPr>
          <w:sz w:val="20"/>
        </w:rPr>
        <w:t>Zhotovitel je povinen předat dílo v rozsahu a kvalitě, dohodnuté v této smlouvě. Vady díla musí být</w:t>
      </w:r>
      <w:r w:rsidR="00532EC4">
        <w:rPr>
          <w:sz w:val="20"/>
        </w:rPr>
        <w:t xml:space="preserve"> reklamovány do </w:t>
      </w:r>
      <w:r>
        <w:rPr>
          <w:sz w:val="20"/>
        </w:rPr>
        <w:t xml:space="preserve">konce záruční doby, jež je dohodou smluvních stran sjednána na dobu </w:t>
      </w:r>
      <w:r>
        <w:rPr>
          <w:b/>
          <w:sz w:val="20"/>
        </w:rPr>
        <w:t>24 měsíců</w:t>
      </w:r>
      <w:r>
        <w:rPr>
          <w:sz w:val="20"/>
        </w:rPr>
        <w:t xml:space="preserve"> ode dne převzetí díla. Dodavatel zajišťuje záruční i pozáruční servis.</w:t>
      </w:r>
    </w:p>
    <w:p w:rsidR="00621BE3" w:rsidRDefault="00381FD9">
      <w:pPr>
        <w:pStyle w:val="Nadpis2"/>
        <w:ind w:left="15" w:right="2"/>
      </w:pPr>
      <w:r>
        <w:rPr>
          <w:u w:val="none"/>
        </w:rPr>
        <w:t xml:space="preserve">VIII. </w:t>
      </w:r>
      <w:r>
        <w:t>Majetkové sankce</w:t>
      </w:r>
    </w:p>
    <w:p w:rsidR="00621BE3" w:rsidRDefault="00381FD9">
      <w:pPr>
        <w:spacing w:after="319"/>
        <w:ind w:left="-5" w:right="0"/>
      </w:pPr>
      <w:r>
        <w:t>V případě nedokončení díla dle článku VI. smlouvy má objednatel právo požadovat po zhotoviteli smluvní pokutu ve výši 0,05% z nerealizované části díla za každý den prodlení. Zhotovitel není povinen smluvní pokutu zaplatit, pokud nedokončení díla</w:t>
      </w:r>
      <w:r w:rsidR="00532EC4">
        <w:t xml:space="preserve"> ve smluvené době nezavinil. Za </w:t>
      </w:r>
      <w:r>
        <w:t>nedodržení sjednaných plateb má zhotovitel právo požadovat po objednateli úrok z prodlení ve sjednané výši 0,05% dlužné částky za každý den prodlení.  V případě prodlení objednatele s platbou přesahující 6 měsíců po splatnosti platby za sjednané dílo je zhotovitel oprávněn objednateli fakturovat pokutu ve výši 10 000,-Kč. Smluvní pokuty jsou splatné do 15 dnů od jejich vyúčtování a doručení.</w:t>
      </w:r>
    </w:p>
    <w:p w:rsidR="00621BE3" w:rsidRDefault="00381FD9">
      <w:pPr>
        <w:pStyle w:val="Nadpis2"/>
        <w:ind w:left="15" w:right="3"/>
      </w:pPr>
      <w:r>
        <w:rPr>
          <w:u w:val="none"/>
        </w:rPr>
        <w:t xml:space="preserve">X. </w:t>
      </w:r>
      <w:r>
        <w:t>Odpovědnost za vady díla</w:t>
      </w:r>
    </w:p>
    <w:p w:rsidR="00621BE3" w:rsidRDefault="00381FD9">
      <w:pPr>
        <w:ind w:left="-5" w:right="0"/>
      </w:pPr>
      <w:r>
        <w:t>1.)  Zhotovitel zodpovídá za vady, které má dílo v době jeho předání objednateli.</w:t>
      </w:r>
    </w:p>
    <w:p w:rsidR="00621BE3" w:rsidRDefault="00381FD9">
      <w:pPr>
        <w:ind w:left="-5" w:right="0"/>
      </w:pPr>
      <w:r>
        <w:t>2.) Zhotovitel za vady díla odpovídá jen tehdy, byly-li vady provedených prací způsobeny porušením povinností zhotovitele. Zhotovitel neodpovídá za vady, na které byl objednatel upozorněn, v případě, že i přes toto upozornění objednatel trval na původním provedení. Zhotovitel taktéž neodpovídá za vady způsobené dodanými podklady objednatele.</w:t>
      </w:r>
    </w:p>
    <w:p w:rsidR="00621BE3" w:rsidRDefault="00381FD9">
      <w:pPr>
        <w:ind w:left="-5" w:right="0"/>
      </w:pPr>
      <w:r>
        <w:t>3.)  Objednatel je povinen vady písemně reklamovat u zhotovitele bez zbytečného odkladu po jejich zjištění. V re</w:t>
      </w:r>
      <w:r w:rsidR="00532EC4">
        <w:t>klamaci musí být vady popsány a </w:t>
      </w:r>
      <w:r>
        <w:t xml:space="preserve">uvedeno jak se projevují. Dále v reklamaci může objednatel uvést své požadavky, jakým způsobem požaduje vadu odstranit nebo zda požaduje finanční náhradu. Reklamace bude vyřízena bez zbytečného odkladu, nejpozději však do 30 dnů od uplatnění reklamace. </w:t>
      </w:r>
    </w:p>
    <w:p w:rsidR="00621BE3" w:rsidRDefault="00381FD9">
      <w:pPr>
        <w:spacing w:after="225"/>
        <w:ind w:left="-5" w:right="0"/>
      </w:pPr>
      <w:r>
        <w:t>4.)  Nebude-li reklamovaná závada prokázána anebo bude mít reklamované dílo vady, za které zhotovitel neodpovídá, jedná se o neoprávněnou reklamaci a objednatel je povinen uhradit zhotoviteli vynaložené náklady spojené s řešením neoprávněné reklamace (zejména náklady na dopravu zhotovitele na místo reklamace ve výši 6,-Kč/km, promeškaný čas od zahájení reklamačního řízení do jeho zakončení na místě reklamace, včetně doby strávené doby ve výši 260,-Kč/hod</w:t>
      </w:r>
    </w:p>
    <w:p w:rsidR="00621BE3" w:rsidRDefault="00381FD9">
      <w:pPr>
        <w:pStyle w:val="Nadpis2"/>
        <w:ind w:left="15" w:right="1"/>
      </w:pPr>
      <w:r>
        <w:rPr>
          <w:u w:val="none"/>
        </w:rPr>
        <w:t xml:space="preserve">XII. </w:t>
      </w:r>
      <w:r>
        <w:t>Ostatní ujednání</w:t>
      </w:r>
    </w:p>
    <w:p w:rsidR="00621BE3" w:rsidRDefault="00381FD9">
      <w:pPr>
        <w:ind w:left="-5" w:right="0"/>
      </w:pPr>
      <w:r>
        <w:t>1.)  Tato smlouva je vyhotovena ve dvou výtiscích – po jednom pro každou smluvní stranu, oba výtisky mají stejnou platnost. Obě strany potvrzují autentičnost této smlouvy svým podpisem a parafováním jednotlivých stránek této smlouvy, příloh a doplňků prohlašují, že si tuto smlouvu přečetli a že nebyla ujednána v nouzi ani za jinak jednostranně nevýhodných podmínek.</w:t>
      </w:r>
    </w:p>
    <w:p w:rsidR="00621BE3" w:rsidRDefault="00381FD9">
      <w:pPr>
        <w:ind w:left="-5" w:right="0"/>
      </w:pPr>
      <w:r>
        <w:t>2.)  Tato smlouva může být měněna pouze písemnou formou očíslovaných dodatků, které jsou nedílnou součástí této smlouvy.</w:t>
      </w:r>
    </w:p>
    <w:p w:rsidR="00621BE3" w:rsidRDefault="00381FD9">
      <w:pPr>
        <w:ind w:left="-5" w:right="0"/>
      </w:pPr>
      <w:r>
        <w:t>3.) V otázkách, touto smlouvou neupravených, se smluvní vztahy mezi objednatelem a zhotovitelem řídí příslušným ustanovením zák. č. 513/1991 Sb. Zhotovitel odpovídá za případné škody způsobené na majetku třetích osob.</w:t>
      </w:r>
    </w:p>
    <w:p w:rsidR="00621BE3" w:rsidRDefault="00381FD9">
      <w:pPr>
        <w:ind w:left="-5" w:right="0"/>
      </w:pPr>
      <w:r>
        <w:t>4.)  Zhotovitel prohlašuje, že veškeré osobní údaje poskytnuté mu objednatelem budou použity pouze v souvislosti s touto smlouvou a nebudou zveřejňovány či poskytovány jakýmkoli třetím osobám.</w:t>
      </w:r>
    </w:p>
    <w:p w:rsidR="00621BE3" w:rsidRDefault="00381FD9">
      <w:pPr>
        <w:ind w:left="-5" w:right="0"/>
      </w:pPr>
      <w:r>
        <w:t>5.)  Účastníci této smlouvy prohlašují, že jsou plně způsobilí k právním úkonům k uzavření této smlouvy o dílo a že tato smlouva byla sepsána podle jejich pravé, vážné a svobodné vůle, což stvrzují níže připojenými podpisy.</w:t>
      </w:r>
    </w:p>
    <w:p w:rsidR="00621BE3" w:rsidRDefault="00381FD9">
      <w:pPr>
        <w:spacing w:after="1779"/>
        <w:ind w:left="-5" w:right="0"/>
      </w:pPr>
      <w:r>
        <w:t>6.) Smluvní strany se dohodly, že pokud se na tuto smlouvu vztahuje povinnost uveřejnění v registru smluv ve</w:t>
      </w:r>
      <w:r w:rsidR="00532EC4">
        <w:t xml:space="preserve"> smyslu zákona č.340/2015Sb., o </w:t>
      </w:r>
      <w:r>
        <w:t>zvláštních podmínkách účinnosti některých smluv, uveřejňování těchto smluv a o registru smluv (zákon o registru smluv), p</w:t>
      </w:r>
      <w:r w:rsidR="00532EC4">
        <w:t>rovede uveřejnění v </w:t>
      </w:r>
      <w:r>
        <w:t xml:space="preserve">souladu se zákonem "Gymnázium, Karviná, příspěvková organizace". </w:t>
      </w:r>
    </w:p>
    <w:p w:rsidR="00621BE3" w:rsidRDefault="00381FD9" w:rsidP="00381FD9">
      <w:pPr>
        <w:tabs>
          <w:tab w:val="center" w:pos="2058"/>
          <w:tab w:val="center" w:pos="7073"/>
        </w:tabs>
        <w:spacing w:after="1711" w:line="252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O b j e d n a t e l</w:t>
      </w:r>
      <w:r>
        <w:rPr>
          <w:sz w:val="20"/>
        </w:rPr>
        <w:tab/>
        <w:t>Z h o t o v i t e l</w:t>
      </w:r>
    </w:p>
    <w:sectPr w:rsidR="00621BE3" w:rsidSect="00381FD9">
      <w:pgSz w:w="12240" w:h="15840"/>
      <w:pgMar w:top="1417" w:right="1417" w:bottom="1417" w:left="1417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3"/>
    <w:rsid w:val="00381FD9"/>
    <w:rsid w:val="003F6E12"/>
    <w:rsid w:val="00532EC4"/>
    <w:rsid w:val="00621BE3"/>
    <w:rsid w:val="00B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04330-DAD2-4E20-AA70-883CD35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1" w:lineRule="auto"/>
      <w:ind w:left="10" w:right="4066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E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Pavel Remeník</dc:creator>
  <cp:keywords/>
  <cp:lastModifiedBy>sosnova</cp:lastModifiedBy>
  <cp:revision>2</cp:revision>
  <cp:lastPrinted>2018-03-26T06:25:00Z</cp:lastPrinted>
  <dcterms:created xsi:type="dcterms:W3CDTF">2018-03-26T06:28:00Z</dcterms:created>
  <dcterms:modified xsi:type="dcterms:W3CDTF">2018-03-26T06:28:00Z</dcterms:modified>
</cp:coreProperties>
</file>