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A9" w:rsidRPr="00464D2C" w:rsidRDefault="006A36A9" w:rsidP="00464D2C">
      <w:pPr>
        <w:jc w:val="center"/>
        <w:rPr>
          <w:rFonts w:eastAsia="Microsoft YaHei"/>
          <w:b/>
          <w:lang w:eastAsia="hi-IN" w:bidi="hi-IN"/>
        </w:rPr>
      </w:pPr>
      <w:r w:rsidRPr="00464D2C">
        <w:rPr>
          <w:rFonts w:eastAsia="Microsoft YaHei"/>
          <w:b/>
          <w:lang w:eastAsia="hi-IN" w:bidi="hi-IN"/>
        </w:rPr>
        <w:t>KUPNÍ SMLOUVA</w:t>
      </w:r>
    </w:p>
    <w:p w:rsidR="00CB3391" w:rsidRDefault="00FE69B7" w:rsidP="00CB3391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SNO/2017/</w:t>
      </w:r>
      <w:r w:rsidR="00CB3391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21/0</w:t>
      </w:r>
    </w:p>
    <w:p w:rsidR="006A36A9" w:rsidRPr="00214E72" w:rsidRDefault="006A36A9" w:rsidP="00CB3391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SimSun" w:hAnsi="Calibri"/>
          <w:kern w:val="1"/>
          <w:sz w:val="18"/>
          <w:lang w:eastAsia="hi-IN" w:bidi="hi-IN"/>
        </w:rPr>
      </w:pPr>
      <w:bookmarkStart w:id="0" w:name="_GoBack"/>
      <w:bookmarkEnd w:id="0"/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A11ECF" w:rsidRPr="00C42863" w:rsidRDefault="00A11ECF" w:rsidP="00A11ECF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proofErr w:type="spellStart"/>
      <w:r w:rsidRPr="00C42863">
        <w:rPr>
          <w:rFonts w:ascii="Calibri" w:eastAsia="SimSun" w:hAnsi="Calibri"/>
          <w:kern w:val="1"/>
          <w:sz w:val="20"/>
          <w:lang w:eastAsia="hi-IN" w:bidi="hi-IN"/>
        </w:rPr>
        <w:t>Madisson</w:t>
      </w:r>
      <w:proofErr w:type="spellEnd"/>
      <w:r w:rsidRPr="00C42863">
        <w:rPr>
          <w:rFonts w:ascii="Calibri" w:eastAsia="SimSun" w:hAnsi="Calibri"/>
          <w:kern w:val="1"/>
          <w:sz w:val="20"/>
          <w:lang w:eastAsia="hi-IN" w:bidi="hi-IN"/>
        </w:rPr>
        <w:t xml:space="preserve"> s.r.o.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>zapsaná v obchodním rejstříku vedeném u Městského soudu v Praze, oddíl C, vložka 72284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Pr="00C42863">
        <w:rPr>
          <w:sz w:val="20"/>
          <w:szCs w:val="20"/>
        </w:rPr>
        <w:t xml:space="preserve"> </w:t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 xml:space="preserve">Soumarská 1541/8 , Praha </w:t>
      </w:r>
      <w:proofErr w:type="gramStart"/>
      <w:r w:rsidRPr="00C42863">
        <w:rPr>
          <w:rFonts w:ascii="Calibri" w:eastAsia="SimSun" w:hAnsi="Calibri"/>
          <w:kern w:val="1"/>
          <w:sz w:val="20"/>
          <w:lang w:eastAsia="hi-IN" w:bidi="hi-IN"/>
        </w:rPr>
        <w:t>10 , 104 00</w:t>
      </w:r>
      <w:proofErr w:type="gramEnd"/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>IČ:26124637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DIČ:  CZ26124637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Pr="00C42863">
        <w:rPr>
          <w:bCs/>
        </w:rPr>
        <w:t xml:space="preserve"> </w:t>
      </w:r>
      <w:r w:rsidRPr="00C42863">
        <w:rPr>
          <w:rFonts w:ascii="Calibri" w:eastAsia="SimSun" w:hAnsi="Calibri"/>
          <w:bCs/>
          <w:kern w:val="1"/>
          <w:sz w:val="20"/>
          <w:lang w:eastAsia="hi-IN" w:bidi="hi-IN"/>
        </w:rPr>
        <w:t xml:space="preserve">ČSOB, </w:t>
      </w:r>
      <w:proofErr w:type="spellStart"/>
      <w:proofErr w:type="gramStart"/>
      <w:r w:rsidRPr="00C42863">
        <w:rPr>
          <w:rFonts w:ascii="Calibri" w:eastAsia="SimSun" w:hAnsi="Calibri"/>
          <w:bCs/>
          <w:kern w:val="1"/>
          <w:sz w:val="20"/>
          <w:lang w:eastAsia="hi-IN" w:bidi="hi-IN"/>
        </w:rPr>
        <w:t>č.ú</w:t>
      </w:r>
      <w:proofErr w:type="spellEnd"/>
      <w:r w:rsidRPr="00C42863">
        <w:rPr>
          <w:rFonts w:ascii="Calibri" w:eastAsia="SimSun" w:hAnsi="Calibri"/>
          <w:bCs/>
          <w:kern w:val="1"/>
          <w:sz w:val="20"/>
          <w:lang w:eastAsia="hi-IN" w:bidi="hi-IN"/>
        </w:rPr>
        <w:t>.</w:t>
      </w:r>
      <w:proofErr w:type="gramEnd"/>
      <w:r w:rsidRPr="00C42863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EA64DB">
        <w:rPr>
          <w:rFonts w:ascii="Calibri" w:eastAsia="SimSun" w:hAnsi="Calibri"/>
          <w:bCs/>
          <w:kern w:val="1"/>
          <w:sz w:val="20"/>
          <w:lang w:eastAsia="hi-IN" w:bidi="hi-IN"/>
        </w:rPr>
        <w:t>XXXX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Pr="00C42863">
        <w:t xml:space="preserve"> </w:t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>Mgr. Robertem Vojtíškem, MBA jednatelem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kontaktní osoba: Martin Vyskočil</w:t>
      </w:r>
    </w:p>
    <w:p w:rsidR="00A11ECF" w:rsidRPr="00C42863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Pr="00C42863">
        <w:rPr>
          <w:sz w:val="20"/>
          <w:szCs w:val="20"/>
        </w:rPr>
        <w:t xml:space="preserve"> </w:t>
      </w:r>
      <w:r w:rsidR="00EA64DB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A11ECF" w:rsidRPr="00214E72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Pr="00C42863">
        <w:rPr>
          <w:sz w:val="20"/>
          <w:szCs w:val="20"/>
        </w:rPr>
        <w:t xml:space="preserve"> </w:t>
      </w:r>
      <w:r w:rsidRPr="00C42863">
        <w:rPr>
          <w:rFonts w:ascii="Calibri" w:eastAsia="SimSun" w:hAnsi="Calibri"/>
          <w:kern w:val="1"/>
          <w:sz w:val="20"/>
          <w:lang w:eastAsia="hi-IN" w:bidi="hi-IN"/>
        </w:rPr>
        <w:t>info@madisson.cz</w:t>
      </w:r>
    </w:p>
    <w:p w:rsidR="006A36A9" w:rsidRPr="00214E72" w:rsidRDefault="00A11ECF" w:rsidP="00A11ECF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="006A36A9"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C96C5E">
        <w:rPr>
          <w:rFonts w:ascii="Calibri" w:eastAsia="SimSun" w:hAnsi="Calibri"/>
          <w:b/>
          <w:kern w:val="1"/>
          <w:sz w:val="20"/>
          <w:lang w:eastAsia="hi-IN" w:bidi="hi-IN"/>
        </w:rPr>
        <w:t>Slezská nemocnice v Opavě</w:t>
      </w: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, příspěvková organizace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</w:t>
      </w:r>
      <w:proofErr w:type="spellStart"/>
      <w:r w:rsidRPr="00214E72">
        <w:rPr>
          <w:rFonts w:ascii="Calibri" w:eastAsia="SimSun" w:hAnsi="Calibri"/>
          <w:kern w:val="1"/>
          <w:sz w:val="20"/>
          <w:lang w:eastAsia="hi-IN" w:bidi="hi-IN"/>
        </w:rPr>
        <w:t>Pr</w:t>
      </w:r>
      <w:proofErr w:type="spellEnd"/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, vložka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924</w:t>
      </w:r>
    </w:p>
    <w:p w:rsidR="006A36A9" w:rsidRPr="00214E72" w:rsidRDefault="0018224F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>
        <w:rPr>
          <w:rFonts w:ascii="Calibri" w:eastAsia="SimSun" w:hAnsi="Calibri"/>
          <w:kern w:val="1"/>
          <w:sz w:val="20"/>
          <w:lang w:eastAsia="hi-IN" w:bidi="hi-IN"/>
        </w:rPr>
        <w:t>se sídlem: Olomoucká 470/86, Předměstí, 746 01 Opava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 xml:space="preserve">IČ: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 w:rsidR="00254B7C">
        <w:rPr>
          <w:rFonts w:ascii="Calibri" w:eastAsia="SimSun" w:hAnsi="Calibri"/>
          <w:kern w:val="1"/>
          <w:sz w:val="20"/>
          <w:lang w:eastAsia="hi-IN" w:bidi="hi-IN"/>
        </w:rPr>
        <w:t xml:space="preserve">Komerční banka Opava, </w:t>
      </w:r>
      <w:proofErr w:type="spellStart"/>
      <w:r w:rsidR="00254B7C">
        <w:rPr>
          <w:rFonts w:ascii="Calibri" w:eastAsia="SimSun" w:hAnsi="Calibri"/>
          <w:kern w:val="1"/>
          <w:sz w:val="20"/>
          <w:lang w:eastAsia="hi-IN" w:bidi="hi-IN"/>
        </w:rPr>
        <w:t>a.s</w:t>
      </w:r>
      <w:r w:rsidR="00EA64DB">
        <w:rPr>
          <w:rFonts w:ascii="Calibri" w:eastAsia="SimSun" w:hAnsi="Calibri"/>
          <w:kern w:val="1"/>
          <w:sz w:val="20"/>
          <w:lang w:eastAsia="hi-IN" w:bidi="hi-IN"/>
        </w:rPr>
        <w:t>XXXX</w:t>
      </w:r>
      <w:proofErr w:type="spellEnd"/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zastoupená: MUDr. Ladislavem </w:t>
      </w:r>
      <w:proofErr w:type="spellStart"/>
      <w:r w:rsidRPr="00214E72">
        <w:rPr>
          <w:rFonts w:ascii="Calibri" w:eastAsia="SimSun" w:hAnsi="Calibri"/>
          <w:kern w:val="1"/>
          <w:sz w:val="20"/>
          <w:lang w:eastAsia="hi-IN" w:bidi="hi-IN"/>
        </w:rPr>
        <w:t>Václavcem</w:t>
      </w:r>
      <w:proofErr w:type="spellEnd"/>
      <w:r w:rsidRPr="00214E72">
        <w:rPr>
          <w:rFonts w:ascii="Calibri" w:eastAsia="SimSun" w:hAnsi="Calibri"/>
          <w:kern w:val="1"/>
          <w:sz w:val="20"/>
          <w:lang w:eastAsia="hi-IN" w:bidi="hi-IN"/>
        </w:rPr>
        <w:t>, MBA, ředitelem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FE69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techniku,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</w:t>
      </w:r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ířivá vana horních končetin- </w:t>
      </w:r>
      <w:proofErr w:type="spellStart"/>
      <w:r w:rsid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Aquamanus</w:t>
      </w:r>
      <w:proofErr w:type="spellEnd"/>
      <w:r w:rsidR="00A11ECF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, </w:t>
      </w:r>
      <w:r w:rsid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</w:t>
      </w:r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ířivá vana dolních končetin - </w:t>
      </w:r>
      <w:proofErr w:type="spellStart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Aquapedis</w:t>
      </w:r>
      <w:proofErr w:type="spellEnd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 I. L</w:t>
      </w:r>
      <w:r w:rsidR="00A11ECF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, </w:t>
      </w:r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Vakuově-kompresní terapeutický přístroj-  </w:t>
      </w:r>
      <w:proofErr w:type="spellStart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Extremiter</w:t>
      </w:r>
      <w:proofErr w:type="spellEnd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 2010 </w:t>
      </w:r>
      <w:proofErr w:type="spellStart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Better</w:t>
      </w:r>
      <w:proofErr w:type="spellEnd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 </w:t>
      </w:r>
      <w:proofErr w:type="spellStart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Future</w:t>
      </w:r>
      <w:proofErr w:type="spellEnd"/>
      <w:r w:rsidR="00AF72DA" w:rsidRPr="00AF72DA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je</w:t>
      </w:r>
      <w:r w:rsidR="005E45F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hož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268/2014 Sb. Instruktáž zaměstnanců uživatele s obsluhou zboží je prodávající povinen realizovat v rozsahu uvedeném v čl. VII odst. 2 </w:t>
      </w:r>
      <w:proofErr w:type="gram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této</w:t>
      </w:r>
      <w:proofErr w:type="gram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</w:t>
      </w:r>
      <w:proofErr w:type="gram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vyšší,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pdf</w:t>
      </w:r>
      <w:proofErr w:type="spellEnd"/>
      <w:proofErr w:type="gram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jpg</w:t>
      </w:r>
      <w:proofErr w:type="spell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IIa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nebo III), je-li relevantní, toto prohlášení bude opatřeno razítkem a podpisem zástupce prodávajícího. V případě, že prodávající dodá zboží zařazené do třídy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Slezské nemocnice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br/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v Opavě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, příspěvková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730 541 340, email: </w:t>
      </w:r>
      <w:hyperlink r:id="rId8" w:history="1">
        <w:r w:rsidRPr="004A44B7">
          <w:rPr>
            <w:rFonts w:ascii="Calibri" w:eastAsia="SimSun" w:hAnsi="Calibri"/>
            <w:kern w:val="1"/>
            <w:sz w:val="20"/>
            <w:szCs w:val="20"/>
            <w:lang w:eastAsia="hi-IN" w:bidi="hi-IN"/>
          </w:rPr>
          <w:t>petr.gabriel@nemocnice.opava.cz</w:t>
        </w:r>
      </w:hyperlink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B45FD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871 300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B45FD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182 973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A84157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21%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B45FD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1 054 273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  <w:r w:rsidR="00464D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Pořízení zdravotnického vybavení pro S</w:t>
      </w:r>
      <w:r w:rsidR="0018224F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lezskou nemocnici v Opavě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, p. </w:t>
      </w:r>
      <w:proofErr w:type="gramStart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proofErr w:type="gramEnd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(CZ.06.2.56/0.0/0.0/16_043/0001448)</w:t>
      </w:r>
    </w:p>
    <w:p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SNO/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</w:t>
      </w:r>
      <w:r w:rsidR="00485D3F">
        <w:rPr>
          <w:rFonts w:ascii="Calibri" w:eastAsia="SimSun" w:hAnsi="Calibri"/>
          <w:snapToGrid w:val="0"/>
          <w:kern w:val="1"/>
          <w:sz w:val="20"/>
          <w:lang w:eastAsia="hi-IN" w:bidi="hi-IN"/>
        </w:rPr>
        <w:t>2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SNO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proofErr w:type="gram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této</w:t>
      </w:r>
      <w:proofErr w:type="gram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</w:t>
      </w:r>
      <w:proofErr w:type="gram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na</w:t>
      </w:r>
      <w:proofErr w:type="gram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:</w:t>
      </w:r>
    </w:p>
    <w:p w:rsidR="00FE48BE" w:rsidRPr="00675D3F" w:rsidRDefault="00FE48BE" w:rsidP="00FE48BE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675D3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e-mail: info@madisson.cz</w:t>
      </w:r>
    </w:p>
    <w:p w:rsidR="00FE48BE" w:rsidRPr="00675D3F" w:rsidRDefault="00FE48BE" w:rsidP="00FE48BE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675D3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adresu: </w:t>
      </w:r>
      <w:proofErr w:type="spellStart"/>
      <w:r w:rsidRPr="00675D3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Madisson</w:t>
      </w:r>
      <w:proofErr w:type="spellEnd"/>
      <w:r w:rsidRPr="00675D3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s.r.o.  Soumarská 1541/8 , Praha 10, 104 00</w:t>
      </w:r>
    </w:p>
    <w:p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musí kupujícímu neprodleně sdělit, v jakém termínu nastoupí k odstranění </w:t>
      </w:r>
      <w:proofErr w:type="gramStart"/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vad(y) s tím</w:t>
      </w:r>
      <w:proofErr w:type="gramEnd"/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</w:t>
      </w:r>
      <w:proofErr w:type="gram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této</w:t>
      </w:r>
      <w:proofErr w:type="gram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FE69B7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Pozáruční servis</w:t>
      </w:r>
    </w:p>
    <w:p w:rsidR="00913E17" w:rsidRDefault="00913E17" w:rsidP="00913E17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poskytne kupujícímu (v případě jeho požadavku) pozáruční servis na zboží</w:t>
      </w:r>
      <w:r w:rsidR="00AF7FBA">
        <w:rPr>
          <w:rFonts w:ascii="Calibri" w:eastAsia="SimSun" w:hAnsi="Calibri"/>
          <w:kern w:val="1"/>
          <w:sz w:val="20"/>
          <w:szCs w:val="20"/>
          <w:lang w:eastAsia="hi-IN" w:bidi="hi-IN"/>
        </w:rPr>
        <w:t>, minimálně na 4 roky po skončení záruky,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těmito podmínkami:</w:t>
      </w:r>
    </w:p>
    <w:p w:rsidR="00913E17" w:rsidRPr="00900CE8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900CE8">
        <w:rPr>
          <w:rFonts w:ascii="Calibri" w:eastAsia="SimSun" w:hAnsi="Calibri"/>
          <w:kern w:val="1"/>
          <w:lang w:eastAsia="hi-IN" w:bidi="hi-IN"/>
        </w:rPr>
        <w:t xml:space="preserve">dopravné – cena za 1 výjezd </w:t>
      </w:r>
      <w:r w:rsidR="007F3550" w:rsidRPr="00900CE8">
        <w:rPr>
          <w:rFonts w:ascii="Calibri" w:eastAsia="SimSun" w:hAnsi="Calibri"/>
          <w:kern w:val="1"/>
          <w:lang w:eastAsia="hi-IN" w:bidi="hi-IN"/>
        </w:rPr>
        <w:t xml:space="preserve">technika </w:t>
      </w:r>
      <w:r w:rsidRPr="00900CE8">
        <w:rPr>
          <w:rFonts w:ascii="Calibri" w:eastAsia="SimSun" w:hAnsi="Calibri"/>
          <w:kern w:val="1"/>
          <w:lang w:eastAsia="hi-IN" w:bidi="hi-IN"/>
        </w:rPr>
        <w:t>do místa plnění</w:t>
      </w:r>
      <w:r w:rsidR="00D026F4" w:rsidRPr="00900CE8">
        <w:rPr>
          <w:rFonts w:ascii="Calibri" w:eastAsia="SimSun" w:hAnsi="Calibri"/>
          <w:kern w:val="1"/>
          <w:lang w:eastAsia="hi-IN" w:bidi="hi-IN"/>
        </w:rPr>
        <w:t xml:space="preserve"> </w:t>
      </w:r>
      <w:r w:rsidR="007F3550" w:rsidRPr="00900CE8">
        <w:rPr>
          <w:rFonts w:ascii="Calibri" w:eastAsia="SimSun" w:hAnsi="Calibri"/>
          <w:kern w:val="1"/>
          <w:lang w:eastAsia="hi-IN" w:bidi="hi-IN"/>
        </w:rPr>
        <w:t xml:space="preserve">a zpět </w:t>
      </w:r>
      <w:r w:rsidR="00D026F4" w:rsidRPr="00900CE8">
        <w:rPr>
          <w:rFonts w:ascii="Calibri" w:eastAsia="SimSun" w:hAnsi="Calibri"/>
          <w:kern w:val="1"/>
          <w:lang w:eastAsia="hi-IN" w:bidi="hi-IN"/>
        </w:rPr>
        <w:t>– bude účtováno ve výši</w:t>
      </w:r>
      <w:r w:rsidRPr="00900CE8">
        <w:rPr>
          <w:rFonts w:ascii="Calibri" w:eastAsia="SimSun" w:hAnsi="Calibri"/>
          <w:kern w:val="1"/>
          <w:lang w:eastAsia="hi-IN" w:bidi="hi-IN"/>
        </w:rPr>
        <w:t xml:space="preserve"> </w:t>
      </w:r>
      <w:r w:rsidR="00730E5A" w:rsidRPr="00900CE8">
        <w:rPr>
          <w:rFonts w:ascii="Calibri" w:eastAsia="SimSun" w:hAnsi="Calibri"/>
          <w:kern w:val="1"/>
          <w:lang w:eastAsia="hi-IN" w:bidi="hi-IN"/>
        </w:rPr>
        <w:t>3 065</w:t>
      </w:r>
      <w:r w:rsidR="00D92E72" w:rsidRPr="00900CE8">
        <w:rPr>
          <w:rFonts w:ascii="Calibri" w:eastAsia="SimSun" w:hAnsi="Calibri"/>
          <w:kern w:val="1"/>
          <w:lang w:eastAsia="hi-IN" w:bidi="hi-IN"/>
        </w:rPr>
        <w:t xml:space="preserve"> včetně 21% DPH</w:t>
      </w:r>
    </w:p>
    <w:p w:rsidR="00913E17" w:rsidRPr="00900CE8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900CE8">
        <w:rPr>
          <w:rFonts w:ascii="Calibri" w:eastAsia="SimSun" w:hAnsi="Calibri"/>
          <w:kern w:val="1"/>
          <w:lang w:eastAsia="hi-IN" w:bidi="hi-IN"/>
        </w:rPr>
        <w:t xml:space="preserve">servisní práce budou účtovány ve výši </w:t>
      </w:r>
      <w:r w:rsidR="00D92E72" w:rsidRPr="00900CE8">
        <w:rPr>
          <w:rFonts w:ascii="Calibri" w:eastAsia="SimSun" w:hAnsi="Calibri"/>
          <w:kern w:val="1"/>
          <w:lang w:eastAsia="hi-IN" w:bidi="hi-IN"/>
        </w:rPr>
        <w:t>847 Kč včetně 21% DPH</w:t>
      </w:r>
    </w:p>
    <w:p w:rsidR="006A36A9" w:rsidRPr="00900CE8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900CE8">
        <w:rPr>
          <w:rFonts w:ascii="Calibri" w:eastAsia="SimSun" w:hAnsi="Calibri"/>
          <w:kern w:val="1"/>
          <w:lang w:eastAsia="hi-IN" w:bidi="hi-IN"/>
        </w:rPr>
        <w:t>pravidelná OÚ (PBTK</w:t>
      </w:r>
      <w:r w:rsidR="00AD7ACD" w:rsidRPr="00900CE8">
        <w:rPr>
          <w:rFonts w:ascii="Calibri" w:eastAsia="SimSun" w:hAnsi="Calibri"/>
          <w:kern w:val="1"/>
          <w:lang w:eastAsia="hi-IN" w:bidi="hi-IN"/>
        </w:rPr>
        <w:t>- pravidelná bezpečnostní technická kontrola</w:t>
      </w:r>
      <w:r w:rsidRPr="00900CE8">
        <w:rPr>
          <w:rFonts w:ascii="Calibri" w:eastAsia="SimSun" w:hAnsi="Calibri"/>
          <w:kern w:val="1"/>
          <w:lang w:eastAsia="hi-IN" w:bidi="hi-IN"/>
        </w:rPr>
        <w:t xml:space="preserve">) bude účtována ve výši </w:t>
      </w:r>
      <w:r w:rsidR="00730E5A" w:rsidRPr="00900CE8">
        <w:rPr>
          <w:rFonts w:ascii="Calibri" w:eastAsia="SimSun" w:hAnsi="Calibri"/>
          <w:kern w:val="1"/>
          <w:lang w:eastAsia="hi-IN" w:bidi="hi-IN"/>
        </w:rPr>
        <w:t>3 993</w:t>
      </w:r>
      <w:r w:rsidR="00D92E72" w:rsidRPr="00900CE8">
        <w:rPr>
          <w:rFonts w:ascii="Calibri" w:eastAsia="SimSun" w:hAnsi="Calibri"/>
          <w:kern w:val="1"/>
          <w:lang w:eastAsia="hi-IN" w:bidi="hi-IN"/>
        </w:rPr>
        <w:t xml:space="preserve"> Kč včetně 21% DPH</w:t>
      </w:r>
    </w:p>
    <w:p w:rsidR="00913E17" w:rsidRDefault="00913E1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neodstraní vadu zboží ve stanovené lhůtě, je povinen zaplatit kupujícímu smluvní pokutu ve výši 0,2 % z  kupní ceny včetně  DPH, stanovené v čl. V odst. 1 této smlouvy, za každý i jen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C10114" w:rsidRDefault="00C10114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C10114" w:rsidRPr="00214E72" w:rsidRDefault="00C10114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C10114" w:rsidRDefault="00C10114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C10114" w:rsidRDefault="00C10114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C10114" w:rsidRPr="00A36F2B" w:rsidRDefault="00C10114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</w:t>
      </w:r>
      <w:proofErr w:type="spellStart"/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metadat</w:t>
      </w:r>
      <w:proofErr w:type="spellEnd"/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požadovaných k uveřejnění dle zákona č. 340/2015 Sb., o registru smluv.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</w:t>
      </w:r>
      <w:proofErr w:type="spellStart"/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metadat</w:t>
      </w:r>
      <w:proofErr w:type="spellEnd"/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:rsidR="006A36A9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C10114" w:rsidRDefault="00C10114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C10114" w:rsidRDefault="00C10114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C10114" w:rsidRPr="00A36F2B" w:rsidRDefault="00C10114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C10114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C101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 w:rsidRPr="00C101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C101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Pr="00C10114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C101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Příloha č. 2: Cenová kalkulace </w:t>
      </w:r>
    </w:p>
    <w:p w:rsidR="0055210D" w:rsidRPr="00214E72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C101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Příloha č. 3: Pozáruční servis </w:t>
      </w:r>
    </w:p>
    <w:p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1331"/>
        <w:gridCol w:w="4261"/>
      </w:tblGrid>
      <w:tr w:rsidR="006A36A9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6A66D0" w:rsidRPr="001304D4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1304D4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1304D4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1304D4" w:rsidRDefault="00FD3693" w:rsidP="00900CE8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proofErr w:type="gramStart"/>
            <w:r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Praze  dne</w:t>
            </w:r>
            <w:proofErr w:type="gramEnd"/>
            <w:r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00CE8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……………………………..</w:t>
            </w:r>
          </w:p>
        </w:tc>
      </w:tr>
      <w:tr w:rsidR="00324C1F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324C1F" w:rsidRPr="001304D4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1304D4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:rsidR="006A36A9" w:rsidRPr="001304D4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1304D4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1304D4" w:rsidRDefault="001304D4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1304D4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Mgr. Robert Vojtíšek, MBA, jednatel </w:t>
            </w:r>
          </w:p>
        </w:tc>
      </w:tr>
    </w:tbl>
    <w:p w:rsidR="00C22CBD" w:rsidRDefault="00C22CBD"/>
    <w:p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:rsidR="00C22CBD" w:rsidRPr="0055210D" w:rsidRDefault="00C22CBD">
      <w:pPr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 xml:space="preserve">Příloha č. 1 </w:t>
      </w:r>
      <w:r w:rsidR="00A45DE6" w:rsidRPr="0055210D">
        <w:rPr>
          <w:rFonts w:ascii="Calibri" w:eastAsia="SimSun" w:hAnsi="Calibri"/>
          <w:b/>
          <w:kern w:val="2"/>
          <w:lang w:eastAsia="hi-IN" w:bidi="hi-IN"/>
        </w:rPr>
        <w:t xml:space="preserve">- </w:t>
      </w:r>
      <w:r w:rsidRPr="0055210D">
        <w:rPr>
          <w:rFonts w:ascii="Calibri" w:eastAsia="SimSun" w:hAnsi="Calibri"/>
          <w:b/>
          <w:kern w:val="2"/>
          <w:lang w:eastAsia="hi-IN" w:bidi="hi-IN"/>
        </w:rPr>
        <w:t>Specifikace zboží</w:t>
      </w:r>
      <w:r w:rsidRPr="0055210D"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  <w:t xml:space="preserve"> </w:t>
      </w:r>
    </w:p>
    <w:p w:rsidR="00C22CBD" w:rsidRDefault="00C22CBD"/>
    <w:p w:rsidR="00D928E6" w:rsidRPr="002E2D57" w:rsidRDefault="00D928E6" w:rsidP="00D928E6">
      <w:pPr>
        <w:rPr>
          <w:b/>
          <w:sz w:val="32"/>
          <w:szCs w:val="32"/>
          <w:u w:val="single"/>
          <w:lang w:eastAsia="x-none"/>
        </w:rPr>
      </w:pPr>
    </w:p>
    <w:p w:rsidR="00D928E6" w:rsidRPr="00EC0EAC" w:rsidRDefault="00D928E6" w:rsidP="00D928E6">
      <w:pPr>
        <w:ind w:left="-142"/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98"/>
        <w:gridCol w:w="2581"/>
      </w:tblGrid>
      <w:tr w:rsidR="00D928E6" w:rsidRPr="00273C1B" w:rsidTr="008A051C">
        <w:trPr>
          <w:trHeight w:val="425"/>
        </w:trPr>
        <w:tc>
          <w:tcPr>
            <w:tcW w:w="9851" w:type="dxa"/>
            <w:gridSpan w:val="3"/>
            <w:tcBorders>
              <w:bottom w:val="single" w:sz="8" w:space="0" w:color="A6A6A6"/>
            </w:tcBorders>
            <w:shd w:val="clear" w:color="auto" w:fill="2E74B5"/>
            <w:vAlign w:val="center"/>
          </w:tcPr>
          <w:p w:rsidR="00D928E6" w:rsidRPr="003C40F2" w:rsidRDefault="00D928E6" w:rsidP="008A051C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E23">
              <w:rPr>
                <w:rFonts w:ascii="Arial" w:hAnsi="Arial" w:cs="Arial"/>
                <w:b/>
                <w:bCs/>
                <w:color w:val="FFFFFF"/>
              </w:rPr>
              <w:t>Vířivá vana horních končetin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Aquamanus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, výrobce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Medexim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s.r.o.</w:t>
            </w:r>
          </w:p>
        </w:tc>
      </w:tr>
      <w:tr w:rsidR="00D928E6" w:rsidRPr="00273C1B" w:rsidTr="008A051C">
        <w:trPr>
          <w:trHeight w:val="4700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D928E6" w:rsidRPr="00273C1B" w:rsidRDefault="00D928E6" w:rsidP="008A051C">
            <w:pPr>
              <w:spacing w:after="4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1405890</wp:posOffset>
                  </wp:positionV>
                  <wp:extent cx="1395730" cy="1530985"/>
                  <wp:effectExtent l="0" t="0" r="0" b="0"/>
                  <wp:wrapNone/>
                  <wp:docPr id="14" name="Obrázek 14" descr="Bez názv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Bez názv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50800</wp:posOffset>
                  </wp:positionV>
                  <wp:extent cx="1967865" cy="1311275"/>
                  <wp:effectExtent l="0" t="0" r="0" b="3175"/>
                  <wp:wrapNone/>
                  <wp:docPr id="13" name="Obrázek 13" descr="Profi A-manus 2012 IMG_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 descr="Profi A-manus 2012 IMG_0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651F08" w:rsidRDefault="00D928E6" w:rsidP="008A051C">
            <w:pPr>
              <w:pStyle w:val="Normlnweb"/>
              <w:spacing w:before="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28E6" w:rsidRPr="00BF1B59" w:rsidRDefault="00D928E6" w:rsidP="00D928E6">
            <w:pPr>
              <w:pStyle w:val="Normlnweb"/>
              <w:numPr>
                <w:ilvl w:val="0"/>
                <w:numId w:val="28"/>
              </w:numPr>
              <w:spacing w:before="0" w:after="120"/>
              <w:ind w:left="641" w:hanging="47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Aquamanus</w:t>
            </w:r>
            <w:proofErr w:type="spellEnd"/>
          </w:p>
          <w:p w:rsidR="00D928E6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A1E23">
              <w:rPr>
                <w:rFonts w:ascii="Arial" w:hAnsi="Arial" w:cs="Arial"/>
                <w:b/>
                <w:bCs/>
                <w:sz w:val="16"/>
                <w:szCs w:val="16"/>
                <w:u w:color="000000"/>
              </w:rPr>
              <w:t>rehabilitační vířivá vana pro masáž horních končetin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 xml:space="preserve">2 </w:t>
            </w:r>
            <w:proofErr w:type="spellStart"/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midi</w:t>
            </w:r>
            <w:proofErr w:type="spellEnd"/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 xml:space="preserve"> a 8 mikro hydromasážních trysek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 </w:t>
            </w:r>
            <w:proofErr w:type="spellStart"/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přivzdušněním</w:t>
            </w:r>
            <w:proofErr w:type="spellEnd"/>
            <w:r>
              <w:rPr>
                <w:rFonts w:ascii="Arial" w:hAnsi="Arial" w:cs="Arial"/>
                <w:sz w:val="16"/>
                <w:szCs w:val="16"/>
                <w:u w:color="000000"/>
              </w:rPr>
              <w:t>- celkem 10 trysek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regulace výkonu vířivé masáže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ukazatel teploty vody</w:t>
            </w:r>
          </w:p>
          <w:p w:rsidR="00D928E6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047657">
              <w:rPr>
                <w:rFonts w:ascii="Arial" w:hAnsi="Arial" w:cs="Arial"/>
                <w:sz w:val="16"/>
                <w:szCs w:val="16"/>
                <w:u w:color="000000"/>
              </w:rPr>
              <w:t xml:space="preserve">elektronické ovládání s časovačem </w:t>
            </w:r>
          </w:p>
          <w:p w:rsidR="00D928E6" w:rsidRPr="00047657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047657">
              <w:rPr>
                <w:rFonts w:ascii="Arial" w:hAnsi="Arial" w:cs="Arial"/>
                <w:sz w:val="16"/>
                <w:szCs w:val="16"/>
                <w:u w:color="000000"/>
              </w:rPr>
              <w:t>směšovací baterie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funkce kolísání intenzity masáže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možnost volby kontinuální, sinusové nebo pulzní masáže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akrylátový skelet s antibakteriální úpravou, laminátové opláštění</w:t>
            </w:r>
          </w:p>
          <w:p w:rsidR="00D928E6" w:rsidRPr="00687B9D" w:rsidRDefault="00D928E6" w:rsidP="00D928E6">
            <w:pPr>
              <w:numPr>
                <w:ilvl w:val="0"/>
                <w:numId w:val="27"/>
              </w:numPr>
              <w:spacing w:after="40"/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proofErr w:type="spellStart"/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>oplachová</w:t>
            </w:r>
            <w:proofErr w:type="spellEnd"/>
            <w:r w:rsidRPr="00687B9D">
              <w:rPr>
                <w:rFonts w:ascii="Arial" w:hAnsi="Arial" w:cs="Arial"/>
                <w:sz w:val="16"/>
                <w:szCs w:val="16"/>
                <w:u w:color="000000"/>
              </w:rPr>
              <w:t xml:space="preserve"> sprcha</w:t>
            </w:r>
          </w:p>
          <w:p w:rsidR="00D928E6" w:rsidRDefault="00D928E6" w:rsidP="008A051C">
            <w:pPr>
              <w:ind w:left="639"/>
              <w:rPr>
                <w:rFonts w:ascii="Arial" w:hAnsi="Arial" w:cs="Arial"/>
                <w:sz w:val="16"/>
                <w:szCs w:val="16"/>
                <w:u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122555</wp:posOffset>
                  </wp:positionV>
                  <wp:extent cx="1128395" cy="900430"/>
                  <wp:effectExtent l="0" t="0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28E6" w:rsidRPr="00047657" w:rsidRDefault="00D928E6" w:rsidP="008A051C">
            <w:pPr>
              <w:ind w:left="63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Pr="00744480" w:rsidRDefault="00D928E6" w:rsidP="00D928E6">
            <w:pPr>
              <w:pStyle w:val="Normlnweb"/>
              <w:numPr>
                <w:ilvl w:val="0"/>
                <w:numId w:val="28"/>
              </w:numPr>
              <w:spacing w:before="0" w:after="120"/>
              <w:ind w:left="641" w:hanging="471"/>
              <w:rPr>
                <w:rFonts w:ascii="Arial" w:hAnsi="Arial" w:cs="Arial"/>
                <w:b/>
                <w:sz w:val="16"/>
                <w:szCs w:val="16"/>
              </w:rPr>
            </w:pPr>
            <w:r w:rsidRPr="00744480">
              <w:rPr>
                <w:rFonts w:ascii="Arial" w:hAnsi="Arial" w:cs="Arial"/>
                <w:b/>
                <w:sz w:val="16"/>
                <w:szCs w:val="16"/>
              </w:rPr>
              <w:t>Technické parametry</w:t>
            </w:r>
          </w:p>
          <w:p w:rsidR="00D928E6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657">
              <w:rPr>
                <w:rFonts w:ascii="Arial" w:hAnsi="Arial" w:cs="Arial"/>
                <w:color w:val="000000"/>
                <w:sz w:val="16"/>
                <w:szCs w:val="16"/>
              </w:rPr>
              <w:t xml:space="preserve">užitný objem 25 l </w:t>
            </w:r>
          </w:p>
          <w:p w:rsidR="00D928E6" w:rsidRPr="00047657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657">
              <w:rPr>
                <w:rFonts w:ascii="Arial" w:hAnsi="Arial" w:cs="Arial"/>
                <w:color w:val="000000"/>
                <w:sz w:val="16"/>
                <w:szCs w:val="16"/>
              </w:rPr>
              <w:t>rozměry (d x š x v) 920 x 650 x 1120 mm</w:t>
            </w:r>
          </w:p>
          <w:p w:rsidR="00D928E6" w:rsidRPr="00687B9D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B9D">
              <w:rPr>
                <w:rFonts w:ascii="Arial" w:hAnsi="Arial" w:cs="Arial"/>
                <w:color w:val="000000"/>
                <w:sz w:val="16"/>
                <w:szCs w:val="16"/>
              </w:rPr>
              <w:t>napájení: 230 V / 50 Hz, příkon 0,7 kW</w:t>
            </w:r>
          </w:p>
          <w:p w:rsidR="00D928E6" w:rsidRPr="00687B9D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B9D">
              <w:rPr>
                <w:rFonts w:ascii="Arial" w:hAnsi="Arial" w:cs="Arial"/>
                <w:color w:val="000000"/>
                <w:sz w:val="16"/>
                <w:szCs w:val="16"/>
              </w:rPr>
              <w:t xml:space="preserve">přívod teplé a studené vody 1 / 2'' </w:t>
            </w:r>
          </w:p>
          <w:p w:rsidR="00D928E6" w:rsidRPr="00687B9D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B9D">
              <w:rPr>
                <w:rFonts w:ascii="Arial" w:hAnsi="Arial" w:cs="Arial"/>
                <w:color w:val="000000"/>
                <w:sz w:val="16"/>
                <w:szCs w:val="16"/>
              </w:rPr>
              <w:t xml:space="preserve">odpad 50 mm </w:t>
            </w:r>
          </w:p>
        </w:tc>
      </w:tr>
      <w:tr w:rsidR="00D928E6" w:rsidRPr="00273C1B" w:rsidTr="008A051C">
        <w:trPr>
          <w:trHeight w:val="426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2E74B5"/>
            <w:vAlign w:val="center"/>
          </w:tcPr>
          <w:p w:rsidR="00D928E6" w:rsidRPr="00273C1B" w:rsidRDefault="00D928E6" w:rsidP="008A051C">
            <w:pPr>
              <w:pStyle w:val="DPbezloga"/>
              <w:ind w:left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7E43">
              <w:rPr>
                <w:b/>
                <w:color w:val="FFFFFF"/>
                <w:sz w:val="16"/>
                <w:szCs w:val="16"/>
              </w:rPr>
              <w:t>Aqua</w:t>
            </w:r>
            <w:r>
              <w:rPr>
                <w:b/>
                <w:color w:val="FFFFFF"/>
                <w:sz w:val="16"/>
                <w:szCs w:val="16"/>
              </w:rPr>
              <w:t>manus</w:t>
            </w:r>
            <w:proofErr w:type="spellEnd"/>
          </w:p>
        </w:tc>
        <w:tc>
          <w:tcPr>
            <w:tcW w:w="37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 w:rsidRPr="005F200D">
              <w:rPr>
                <w:bCs/>
                <w:sz w:val="16"/>
                <w:szCs w:val="16"/>
              </w:rPr>
              <w:t>Cena bez 21% DPH</w:t>
            </w:r>
          </w:p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21 % DPH </w:t>
            </w:r>
          </w:p>
          <w:p w:rsidR="00D928E6" w:rsidRPr="00955B85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Cena včetně 21% DPH</w:t>
            </w:r>
          </w:p>
        </w:tc>
        <w:tc>
          <w:tcPr>
            <w:tcW w:w="258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955B85" w:rsidRDefault="00EA64DB" w:rsidP="008A051C">
            <w:pPr>
              <w:pStyle w:val="DPbezloga"/>
              <w:spacing w:after="4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XXXX</w:t>
            </w:r>
          </w:p>
        </w:tc>
      </w:tr>
    </w:tbl>
    <w:p w:rsidR="00D928E6" w:rsidRDefault="00D928E6" w:rsidP="00D928E6">
      <w:pPr>
        <w:rPr>
          <w:rFonts w:ascii="Arial" w:hAnsi="Arial" w:cs="Arial"/>
          <w:b/>
          <w:bCs/>
          <w:sz w:val="16"/>
          <w:szCs w:val="16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Pr="00EC0EAC" w:rsidRDefault="00D928E6" w:rsidP="00D928E6">
      <w:pPr>
        <w:ind w:left="-142"/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98"/>
        <w:gridCol w:w="2581"/>
      </w:tblGrid>
      <w:tr w:rsidR="00D928E6" w:rsidRPr="00273C1B" w:rsidTr="008A051C">
        <w:trPr>
          <w:trHeight w:val="425"/>
        </w:trPr>
        <w:tc>
          <w:tcPr>
            <w:tcW w:w="9851" w:type="dxa"/>
            <w:gridSpan w:val="3"/>
            <w:tcBorders>
              <w:bottom w:val="single" w:sz="8" w:space="0" w:color="A6A6A6"/>
            </w:tcBorders>
            <w:shd w:val="clear" w:color="auto" w:fill="2E74B5"/>
            <w:vAlign w:val="center"/>
          </w:tcPr>
          <w:p w:rsidR="00D928E6" w:rsidRPr="003C40F2" w:rsidRDefault="00D928E6" w:rsidP="008A051C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E23">
              <w:rPr>
                <w:rFonts w:ascii="Arial" w:hAnsi="Arial" w:cs="Arial"/>
                <w:b/>
                <w:bCs/>
                <w:color w:val="FFFFFF"/>
              </w:rPr>
              <w:t xml:space="preserve">Vířivá vana dolních končetin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Aquapedis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I. L, výrobce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Medexim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s.r.o.</w:t>
            </w:r>
          </w:p>
        </w:tc>
      </w:tr>
      <w:tr w:rsidR="00D928E6" w:rsidRPr="00273C1B" w:rsidTr="008A051C">
        <w:trPr>
          <w:trHeight w:val="4685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D928E6" w:rsidRPr="00273C1B" w:rsidRDefault="00D928E6" w:rsidP="008A051C">
            <w:pPr>
              <w:spacing w:after="4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1779905</wp:posOffset>
                  </wp:positionV>
                  <wp:extent cx="2092960" cy="3140075"/>
                  <wp:effectExtent l="0" t="0" r="2540" b="3175"/>
                  <wp:wrapNone/>
                  <wp:docPr id="11" name="Obrázek 11" descr="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135255</wp:posOffset>
                  </wp:positionV>
                  <wp:extent cx="2120265" cy="1414145"/>
                  <wp:effectExtent l="0" t="0" r="0" b="0"/>
                  <wp:wrapNone/>
                  <wp:docPr id="10" name="Obrázek 10" descr="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6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651F08" w:rsidRDefault="00D928E6" w:rsidP="008A051C">
            <w:pPr>
              <w:pStyle w:val="Normlnweb"/>
              <w:spacing w:before="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28E6" w:rsidRPr="00187C60" w:rsidRDefault="00D928E6" w:rsidP="00D928E6">
            <w:pPr>
              <w:pStyle w:val="Normlnweb"/>
              <w:numPr>
                <w:ilvl w:val="0"/>
                <w:numId w:val="28"/>
              </w:numPr>
              <w:spacing w:before="0" w:after="40"/>
              <w:ind w:left="641" w:hanging="4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Základní výbava</w:t>
            </w:r>
          </w:p>
          <w:p w:rsidR="00D928E6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A1E23">
              <w:rPr>
                <w:rFonts w:ascii="Arial" w:hAnsi="Arial" w:cs="Arial"/>
                <w:b/>
                <w:bCs/>
                <w:sz w:val="16"/>
                <w:szCs w:val="16"/>
                <w:u w:color="000000"/>
              </w:rPr>
              <w:t xml:space="preserve">sedací rehabilitační vířivá vana pro masáž dolních končetin, beder a kyčlí                                             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14 vodních trysek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8 mikrotrysek 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1 tryska na masáž hemoroidů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6 masážních trysek na </w:t>
            </w:r>
            <w:proofErr w:type="spellStart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plosky</w:t>
            </w:r>
            <w:proofErr w:type="spellEnd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 nohou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proofErr w:type="spellStart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přivzdušnění</w:t>
            </w:r>
            <w:proofErr w:type="spellEnd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hydromasáže</w:t>
            </w:r>
            <w:proofErr w:type="spellEnd"/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kontinuální režim </w:t>
            </w:r>
            <w:proofErr w:type="spellStart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hydromasáže</w:t>
            </w:r>
            <w:proofErr w:type="spellEnd"/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ukazatel teploty vody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2 nezávislé okruhy masáže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akrylátový skelet s antibakteriální úpravou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ochrana čerpadel proti chodu naprázdno</w:t>
            </w:r>
          </w:p>
          <w:p w:rsidR="00D928E6" w:rsidRPr="009D349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proofErr w:type="spellStart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oplachová</w:t>
            </w:r>
            <w:proofErr w:type="spellEnd"/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 sprcha</w:t>
            </w:r>
          </w:p>
          <w:p w:rsidR="00D928E6" w:rsidRPr="00BA4C8A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>nerezov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é</w:t>
            </w:r>
            <w:r w:rsidRPr="009D3498">
              <w:rPr>
                <w:rFonts w:ascii="Arial" w:hAnsi="Arial" w:cs="Arial"/>
                <w:sz w:val="16"/>
                <w:szCs w:val="16"/>
                <w:u w:color="000000"/>
              </w:rPr>
              <w:t xml:space="preserve"> trys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ky</w:t>
            </w:r>
          </w:p>
          <w:p w:rsidR="00D928E6" w:rsidRPr="00B05DA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 xml:space="preserve">elektronické ovládání </w:t>
            </w:r>
          </w:p>
          <w:p w:rsidR="00D928E6" w:rsidRPr="00B05DA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 xml:space="preserve">možnost regulace intenzity </w:t>
            </w:r>
            <w:proofErr w:type="spellStart"/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>hydromasáže</w:t>
            </w:r>
            <w:proofErr w:type="spellEnd"/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</w:p>
          <w:p w:rsidR="00D928E6" w:rsidRPr="00B05DA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>kontinuální a pulzní mód masáže</w:t>
            </w:r>
          </w:p>
          <w:p w:rsidR="00D928E6" w:rsidRPr="00B05DA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>digitální teploměr a časovač</w:t>
            </w:r>
          </w:p>
          <w:p w:rsidR="00D928E6" w:rsidRPr="00B05DA8" w:rsidRDefault="00D928E6" w:rsidP="00D928E6">
            <w:pPr>
              <w:numPr>
                <w:ilvl w:val="0"/>
                <w:numId w:val="27"/>
              </w:numPr>
              <w:ind w:left="639" w:hanging="279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B05DA8">
              <w:rPr>
                <w:rFonts w:ascii="Arial" w:hAnsi="Arial" w:cs="Arial"/>
                <w:sz w:val="16"/>
                <w:szCs w:val="16"/>
                <w:u w:color="000000"/>
              </w:rPr>
              <w:t>příkon 1,4 kW</w:t>
            </w:r>
          </w:p>
          <w:p w:rsidR="00D928E6" w:rsidRDefault="00D928E6" w:rsidP="008A0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Pr="00744480" w:rsidRDefault="00D928E6" w:rsidP="008A0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Pr="00744480" w:rsidRDefault="00D928E6" w:rsidP="00D928E6">
            <w:pPr>
              <w:pStyle w:val="Normlnweb"/>
              <w:numPr>
                <w:ilvl w:val="0"/>
                <w:numId w:val="28"/>
              </w:numPr>
              <w:spacing w:before="0" w:after="40"/>
              <w:ind w:left="641" w:hanging="471"/>
              <w:rPr>
                <w:rFonts w:ascii="Arial" w:hAnsi="Arial" w:cs="Arial"/>
                <w:b/>
                <w:sz w:val="16"/>
                <w:szCs w:val="16"/>
              </w:rPr>
            </w:pPr>
            <w:r w:rsidRPr="00744480">
              <w:rPr>
                <w:rFonts w:ascii="Arial" w:hAnsi="Arial" w:cs="Arial"/>
                <w:b/>
                <w:sz w:val="16"/>
                <w:szCs w:val="16"/>
              </w:rPr>
              <w:t>Technické parametry</w:t>
            </w:r>
          </w:p>
          <w:p w:rsidR="00D928E6" w:rsidRPr="00577F4E" w:rsidRDefault="00D928E6" w:rsidP="00D928E6">
            <w:pPr>
              <w:pStyle w:val="Normlnweb"/>
              <w:numPr>
                <w:ilvl w:val="0"/>
                <w:numId w:val="27"/>
              </w:numPr>
              <w:spacing w:before="0" w:after="0" w:line="240" w:lineRule="auto"/>
              <w:ind w:left="639" w:hanging="279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Aquapedis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IL, rozměry (d x š x v) 1550 x 770 x 1060</w:t>
            </w:r>
            <w:r w:rsidRPr="00577F4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  <w:p w:rsidR="00D928E6" w:rsidRDefault="00D928E6" w:rsidP="00D928E6">
            <w:pPr>
              <w:pStyle w:val="Normlnweb"/>
              <w:numPr>
                <w:ilvl w:val="0"/>
                <w:numId w:val="27"/>
              </w:numPr>
              <w:spacing w:before="0" w:after="0" w:line="240" w:lineRule="auto"/>
              <w:ind w:left="639" w:hanging="279"/>
              <w:rPr>
                <w:rFonts w:ascii="Arial" w:hAnsi="Arial" w:cs="Arial"/>
                <w:sz w:val="16"/>
                <w:szCs w:val="16"/>
              </w:rPr>
            </w:pPr>
            <w:r w:rsidRPr="00577F4E">
              <w:rPr>
                <w:rFonts w:ascii="Arial" w:hAnsi="Arial" w:cs="Arial"/>
                <w:sz w:val="16"/>
                <w:szCs w:val="16"/>
              </w:rPr>
              <w:t>napájení 230 V / 50 Hz</w:t>
            </w:r>
          </w:p>
          <w:p w:rsidR="00D928E6" w:rsidRPr="00577F4E" w:rsidRDefault="00D928E6" w:rsidP="00D928E6">
            <w:pPr>
              <w:pStyle w:val="Normlnweb"/>
              <w:numPr>
                <w:ilvl w:val="0"/>
                <w:numId w:val="27"/>
              </w:numPr>
              <w:spacing w:before="0" w:after="0" w:line="240" w:lineRule="auto"/>
              <w:ind w:left="639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užitný </w:t>
            </w:r>
            <w:r w:rsidRPr="00577F4E">
              <w:rPr>
                <w:rFonts w:ascii="Arial" w:hAnsi="Arial" w:cs="Arial"/>
                <w:sz w:val="16"/>
                <w:szCs w:val="16"/>
              </w:rPr>
              <w:t>objem 1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577F4E">
              <w:rPr>
                <w:rFonts w:ascii="Arial" w:hAnsi="Arial" w:cs="Arial"/>
                <w:sz w:val="16"/>
                <w:szCs w:val="16"/>
              </w:rPr>
              <w:t xml:space="preserve"> 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28E6" w:rsidRPr="00577F4E" w:rsidRDefault="00D928E6" w:rsidP="00D928E6">
            <w:pPr>
              <w:pStyle w:val="Normlnweb"/>
              <w:numPr>
                <w:ilvl w:val="0"/>
                <w:numId w:val="27"/>
              </w:numPr>
              <w:spacing w:before="0" w:after="0" w:line="240" w:lineRule="auto"/>
              <w:ind w:left="639" w:hanging="279"/>
              <w:rPr>
                <w:rFonts w:ascii="Arial" w:hAnsi="Arial" w:cs="Arial"/>
                <w:sz w:val="16"/>
                <w:szCs w:val="16"/>
              </w:rPr>
            </w:pPr>
            <w:r w:rsidRPr="00577F4E">
              <w:rPr>
                <w:rFonts w:ascii="Arial" w:hAnsi="Arial" w:cs="Arial"/>
                <w:sz w:val="16"/>
                <w:szCs w:val="16"/>
              </w:rPr>
              <w:t>přívod teplé a studené vody 3 / 4''</w:t>
            </w:r>
          </w:p>
          <w:p w:rsidR="00D928E6" w:rsidRPr="00930F51" w:rsidRDefault="00D928E6" w:rsidP="00D928E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88" w:lineRule="auto"/>
              <w:ind w:left="639" w:hanging="27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F4E">
              <w:rPr>
                <w:rFonts w:ascii="Arial" w:hAnsi="Arial" w:cs="Arial"/>
                <w:sz w:val="16"/>
                <w:szCs w:val="16"/>
              </w:rPr>
              <w:t>odpad 50 mm</w:t>
            </w: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14605</wp:posOffset>
                  </wp:positionV>
                  <wp:extent cx="1619250" cy="1080135"/>
                  <wp:effectExtent l="0" t="0" r="0" b="5715"/>
                  <wp:wrapNone/>
                  <wp:docPr id="9" name="Obrázek 9" descr="http://www.medexim.sk/fileadmin/medexim/Produkty/Vodoliecba/Aquapedis_I__II/Pedis_II_2015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http://www.medexim.sk/fileadmin/medexim/Produkty/Vodoliecba/Aquapedis_I__II/Pedis_II_2015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Pr="00B446A1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639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28E6" w:rsidRPr="00273C1B" w:rsidTr="008A051C">
        <w:trPr>
          <w:trHeight w:val="426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2E74B5"/>
            <w:vAlign w:val="center"/>
          </w:tcPr>
          <w:p w:rsidR="00D928E6" w:rsidRPr="00273C1B" w:rsidRDefault="00D928E6" w:rsidP="008A051C">
            <w:pPr>
              <w:pStyle w:val="DPbezloga"/>
              <w:ind w:left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color w:val="FFFFFF"/>
                <w:sz w:val="16"/>
                <w:szCs w:val="16"/>
              </w:rPr>
              <w:t>Aquapedis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 I. L</w:t>
            </w:r>
          </w:p>
        </w:tc>
        <w:tc>
          <w:tcPr>
            <w:tcW w:w="37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 w:rsidRPr="005F200D">
              <w:rPr>
                <w:bCs/>
                <w:sz w:val="16"/>
                <w:szCs w:val="16"/>
              </w:rPr>
              <w:t>Cena bez 21% DPH</w:t>
            </w:r>
          </w:p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21 % DPH </w:t>
            </w:r>
          </w:p>
          <w:p w:rsidR="00D928E6" w:rsidRPr="00955B85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Cena včetně 21% DPH</w:t>
            </w:r>
          </w:p>
        </w:tc>
        <w:tc>
          <w:tcPr>
            <w:tcW w:w="258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955B85" w:rsidRDefault="00EA64DB" w:rsidP="008A051C">
            <w:pPr>
              <w:pStyle w:val="DPbezloga"/>
              <w:spacing w:after="4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XXXX</w:t>
            </w:r>
          </w:p>
        </w:tc>
      </w:tr>
    </w:tbl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Default="00D928E6" w:rsidP="00D928E6">
      <w:pPr>
        <w:pStyle w:val="Zhlav"/>
        <w:tabs>
          <w:tab w:val="clear" w:pos="4536"/>
          <w:tab w:val="clear" w:pos="9072"/>
        </w:tabs>
        <w:spacing w:after="40"/>
        <w:rPr>
          <w:rFonts w:ascii="Arial" w:hAnsi="Arial" w:cs="Arial"/>
          <w:b/>
          <w:bCs/>
          <w:sz w:val="20"/>
          <w:u w:val="single"/>
        </w:rPr>
      </w:pPr>
    </w:p>
    <w:p w:rsidR="00D928E6" w:rsidRPr="000F3603" w:rsidRDefault="00D928E6" w:rsidP="00D928E6">
      <w:pPr>
        <w:keepNext/>
        <w:spacing w:after="40"/>
        <w:outlineLvl w:val="0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3670"/>
        <w:gridCol w:w="2176"/>
      </w:tblGrid>
      <w:tr w:rsidR="00D928E6" w:rsidRPr="000F3603" w:rsidTr="008A051C">
        <w:trPr>
          <w:trHeight w:val="425"/>
        </w:trPr>
        <w:tc>
          <w:tcPr>
            <w:tcW w:w="9212" w:type="dxa"/>
            <w:gridSpan w:val="3"/>
            <w:tcBorders>
              <w:bottom w:val="single" w:sz="8" w:space="0" w:color="A6A6A6"/>
            </w:tcBorders>
            <w:shd w:val="clear" w:color="auto" w:fill="2E74B5"/>
            <w:vAlign w:val="center"/>
          </w:tcPr>
          <w:p w:rsidR="00D928E6" w:rsidRPr="000F3603" w:rsidRDefault="00D928E6" w:rsidP="008A051C">
            <w:pPr>
              <w:tabs>
                <w:tab w:val="left" w:pos="3266"/>
                <w:tab w:val="center" w:pos="4536"/>
                <w:tab w:val="right" w:pos="9072"/>
              </w:tabs>
              <w:spacing w:after="4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A1E23">
              <w:rPr>
                <w:rFonts w:ascii="Arial" w:hAnsi="Arial" w:cs="Arial"/>
                <w:b/>
                <w:bCs/>
                <w:color w:val="FFFFFF"/>
                <w:sz w:val="20"/>
              </w:rPr>
              <w:t>Vakuově-kompresní terapeutický přístroj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- </w:t>
            </w:r>
            <w:r w:rsidRPr="000F3603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 w:rsidRPr="000F360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Extremiter</w:t>
            </w:r>
            <w:proofErr w:type="spellEnd"/>
            <w:r w:rsidRPr="000F36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2010 </w:t>
            </w:r>
            <w:proofErr w:type="spellStart"/>
            <w:r w:rsidRPr="000F3603">
              <w:rPr>
                <w:rFonts w:ascii="Arial" w:hAnsi="Arial" w:cs="Arial"/>
                <w:b/>
                <w:color w:val="FFFFFF"/>
                <w:sz w:val="20"/>
                <w:szCs w:val="20"/>
              </w:rPr>
              <w:t>Better</w:t>
            </w:r>
            <w:proofErr w:type="spellEnd"/>
            <w:r w:rsidRPr="000F36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0F3603">
              <w:rPr>
                <w:rFonts w:ascii="Arial" w:hAnsi="Arial" w:cs="Arial"/>
                <w:b/>
                <w:color w:val="FFFFFF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, výrobce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Embitron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s.r.o.</w:t>
            </w:r>
          </w:p>
        </w:tc>
      </w:tr>
      <w:tr w:rsidR="00D928E6" w:rsidRPr="000F3603" w:rsidTr="008A051C">
        <w:trPr>
          <w:trHeight w:val="5852"/>
        </w:trPr>
        <w:tc>
          <w:tcPr>
            <w:tcW w:w="336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D928E6" w:rsidRPr="000F3603" w:rsidRDefault="00D928E6" w:rsidP="008A051C">
            <w:pPr>
              <w:spacing w:after="40"/>
            </w:pPr>
          </w:p>
          <w:p w:rsidR="00D928E6" w:rsidRPr="000F3603" w:rsidRDefault="00D928E6" w:rsidP="008A051C">
            <w:r w:rsidRPr="000F3603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122555</wp:posOffset>
                  </wp:positionV>
                  <wp:extent cx="1929130" cy="2343785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234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>
            <w:pPr>
              <w:jc w:val="center"/>
            </w:pPr>
          </w:p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/>
          <w:p w:rsidR="00D928E6" w:rsidRPr="000F3603" w:rsidRDefault="00D928E6" w:rsidP="008A051C">
            <w:pPr>
              <w:tabs>
                <w:tab w:val="left" w:pos="1065"/>
              </w:tabs>
            </w:pPr>
            <w:r w:rsidRPr="000F3603">
              <w:tab/>
            </w:r>
          </w:p>
        </w:tc>
        <w:tc>
          <w:tcPr>
            <w:tcW w:w="5847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0F3603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ind w:left="527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928E6" w:rsidRPr="000F3603" w:rsidRDefault="00D928E6" w:rsidP="00D928E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120"/>
              <w:ind w:left="639" w:hanging="469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0F3603">
              <w:rPr>
                <w:rFonts w:ascii="Arial" w:hAnsi="Arial" w:cs="Arial"/>
                <w:b/>
                <w:color w:val="000000"/>
                <w:sz w:val="16"/>
                <w:szCs w:val="16"/>
              </w:rPr>
              <w:t>Vakupress</w:t>
            </w:r>
            <w:proofErr w:type="spellEnd"/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>přístroj pro léčbu poruch prokrvení končetin, jejich váznoucího metabolismu a zhoršené trofiky, použitelný v širokém spektru indikací etiologie cévní, diabetické, neuropatické, při tepenné i žilní nedostatečnosti, po úrazech, při degenerativních onemocněních končetin, při zhoršeném krevní oběhu apod.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oproti klasickému zařízení </w:t>
            </w:r>
            <w:proofErr w:type="spellStart"/>
            <w:r w:rsidRPr="000F3603">
              <w:rPr>
                <w:rFonts w:ascii="Arial" w:hAnsi="Arial" w:cs="Arial"/>
                <w:sz w:val="16"/>
                <w:szCs w:val="16"/>
              </w:rPr>
              <w:t>Extremiter</w:t>
            </w:r>
            <w:proofErr w:type="spellEnd"/>
            <w:r w:rsidRPr="000F3603">
              <w:rPr>
                <w:rFonts w:ascii="Arial" w:hAnsi="Arial" w:cs="Arial"/>
                <w:sz w:val="16"/>
                <w:szCs w:val="16"/>
              </w:rPr>
              <w:t xml:space="preserve"> 2010 nabízí rozšířenou nabídku programů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přístroj je vybaven průmyslovým počítačem s dotykovým grafickým displejem, 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>manipulace s válcem je usnadněna díky motorickému pohonu a také možnosti axiálního pohybu válce, který ulehčí manipulaci s přístrojem.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2206FB">
              <w:rPr>
                <w:rFonts w:ascii="Arial" w:hAnsi="Arial" w:cs="Arial"/>
                <w:sz w:val="16"/>
                <w:szCs w:val="16"/>
              </w:rPr>
              <w:t>automatické střídání fáze podtlaku a fáze přetlaku v aplikačním válci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500 léčebných procedur</w:t>
            </w:r>
            <w:r>
              <w:rPr>
                <w:rFonts w:ascii="Arial" w:hAnsi="Arial" w:cs="Arial"/>
                <w:sz w:val="16"/>
                <w:szCs w:val="16"/>
              </w:rPr>
              <w:t>, programů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monitorování časového průběhu procedury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elektronický záznam atributů každé podané procedury do databáze řídícího počítače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knihovna vhodných indikací dle diagnóz.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možnost složky oblíbených procedur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možnost vytváření individuálních uživatelských procedur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835BF9">
              <w:rPr>
                <w:rFonts w:ascii="Arial" w:hAnsi="Arial" w:cs="Arial"/>
                <w:sz w:val="16"/>
                <w:szCs w:val="16"/>
              </w:rPr>
              <w:t>zpětnovazební systém, který nepřetržitě kontroluje parametry a v případě odchylek ihned spustí alarm, popřípadě zastaví proceduru.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B20DAE">
              <w:rPr>
                <w:rFonts w:ascii="Arial" w:hAnsi="Arial" w:cs="Arial"/>
                <w:sz w:val="16"/>
                <w:szCs w:val="16"/>
              </w:rPr>
              <w:t>motorické řízení výšky i sklonu aplikačního válce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B20DAE">
              <w:rPr>
                <w:rFonts w:ascii="Arial" w:hAnsi="Arial" w:cs="Arial"/>
                <w:sz w:val="16"/>
                <w:szCs w:val="16"/>
              </w:rPr>
              <w:t>lineární pojezd aplikačním válcem pro zasunutí končetiny</w:t>
            </w:r>
          </w:p>
          <w:p w:rsidR="00D928E6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B20DAE">
              <w:rPr>
                <w:rFonts w:ascii="Arial" w:hAnsi="Arial" w:cs="Arial"/>
                <w:sz w:val="16"/>
                <w:szCs w:val="16"/>
              </w:rPr>
              <w:t>automatizované udržování co nejnižšího tlaku v těsnicí manžetě</w:t>
            </w:r>
          </w:p>
          <w:p w:rsidR="00D928E6" w:rsidRPr="000A234E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A234E">
              <w:rPr>
                <w:rFonts w:ascii="Arial" w:hAnsi="Arial" w:cs="Arial"/>
                <w:sz w:val="16"/>
                <w:szCs w:val="16"/>
              </w:rPr>
              <w:t>polohovatelné křeslo pacienta s možností bočního vyrovnání pacient</w:t>
            </w:r>
            <w:r>
              <w:rPr>
                <w:rFonts w:ascii="Arial" w:hAnsi="Arial" w:cs="Arial"/>
                <w:sz w:val="16"/>
                <w:szCs w:val="16"/>
              </w:rPr>
              <w:t>ských</w:t>
            </w:r>
            <w:r w:rsidRPr="000A234E">
              <w:rPr>
                <w:rFonts w:ascii="Arial" w:hAnsi="Arial" w:cs="Arial"/>
                <w:sz w:val="16"/>
                <w:szCs w:val="16"/>
              </w:rPr>
              <w:t xml:space="preserve"> anatomických asymetrií</w:t>
            </w:r>
          </w:p>
          <w:p w:rsidR="00D928E6" w:rsidRPr="00B20DAE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B20DAE">
              <w:rPr>
                <w:rFonts w:ascii="Arial" w:hAnsi="Arial" w:cs="Arial"/>
                <w:sz w:val="16"/>
                <w:szCs w:val="16"/>
              </w:rPr>
              <w:t>biokompatibilní materiály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hmotnost: </w:t>
            </w:r>
            <w:smartTag w:uri="urn:schemas-microsoft-com:office:smarttags" w:element="metricconverter">
              <w:smartTagPr>
                <w:attr w:name="ProductID" w:val="120 kg"/>
              </w:smartTagPr>
              <w:r w:rsidRPr="000F3603">
                <w:rPr>
                  <w:rFonts w:ascii="Arial" w:hAnsi="Arial" w:cs="Arial"/>
                  <w:sz w:val="16"/>
                  <w:szCs w:val="16"/>
                </w:rPr>
                <w:t>120 kg</w:t>
              </w:r>
            </w:smartTag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rozměry (v x h x š): 140 x 100 x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0F3603">
                <w:rPr>
                  <w:rFonts w:ascii="Arial" w:hAnsi="Arial" w:cs="Arial"/>
                  <w:sz w:val="16"/>
                  <w:szCs w:val="16"/>
                </w:rPr>
                <w:t>110 cm</w:t>
              </w:r>
            </w:smartTag>
            <w:r w:rsidRPr="000F360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>válcový aplikátor (délka</w:t>
            </w:r>
            <w:r>
              <w:rPr>
                <w:rFonts w:ascii="Arial" w:hAnsi="Arial" w:cs="Arial"/>
                <w:sz w:val="16"/>
                <w:szCs w:val="16"/>
              </w:rPr>
              <w:t xml:space="preserve"> x průměr</w:t>
            </w:r>
            <w:r w:rsidRPr="000F3603">
              <w:rPr>
                <w:rFonts w:ascii="Arial" w:hAnsi="Arial" w:cs="Arial"/>
                <w:sz w:val="16"/>
                <w:szCs w:val="16"/>
              </w:rPr>
              <w:t>) 100 x 32</w:t>
            </w:r>
            <w:r>
              <w:rPr>
                <w:rFonts w:ascii="Arial" w:hAnsi="Arial" w:cs="Arial"/>
                <w:sz w:val="16"/>
                <w:szCs w:val="16"/>
              </w:rPr>
              <w:t xml:space="preserve"> cm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>napájení 230 V / 50 Hz</w:t>
            </w:r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maximální přetlak/podtlak v aplikačním válci: +/- 25 </w:t>
            </w:r>
            <w:proofErr w:type="spellStart"/>
            <w:r w:rsidRPr="000F3603">
              <w:rPr>
                <w:rFonts w:ascii="Arial" w:hAnsi="Arial" w:cs="Arial"/>
                <w:sz w:val="16"/>
                <w:szCs w:val="16"/>
              </w:rPr>
              <w:t>kPa</w:t>
            </w:r>
            <w:proofErr w:type="spellEnd"/>
          </w:p>
          <w:p w:rsidR="00D928E6" w:rsidRPr="000F3603" w:rsidRDefault="00D928E6" w:rsidP="00D928E6">
            <w:pPr>
              <w:numPr>
                <w:ilvl w:val="0"/>
                <w:numId w:val="26"/>
              </w:numPr>
              <w:ind w:left="639" w:hanging="283"/>
              <w:rPr>
                <w:rFonts w:ascii="Arial" w:hAnsi="Arial" w:cs="Arial"/>
                <w:sz w:val="16"/>
                <w:szCs w:val="16"/>
              </w:rPr>
            </w:pPr>
            <w:r w:rsidRPr="000F3603">
              <w:rPr>
                <w:rFonts w:ascii="Arial" w:hAnsi="Arial" w:cs="Arial"/>
                <w:sz w:val="16"/>
                <w:szCs w:val="16"/>
              </w:rPr>
              <w:t xml:space="preserve">maximální tlak v těsnící manžetě: 25 </w:t>
            </w:r>
            <w:proofErr w:type="spellStart"/>
            <w:r w:rsidRPr="000F3603">
              <w:rPr>
                <w:rFonts w:ascii="Arial" w:hAnsi="Arial" w:cs="Arial"/>
                <w:sz w:val="16"/>
                <w:szCs w:val="16"/>
              </w:rPr>
              <w:t>kPa</w:t>
            </w:r>
            <w:proofErr w:type="spellEnd"/>
          </w:p>
          <w:p w:rsidR="00D928E6" w:rsidRPr="000F3603" w:rsidRDefault="00D928E6" w:rsidP="008A051C">
            <w:pPr>
              <w:rPr>
                <w:rFonts w:ascii="Arial" w:hAnsi="Arial" w:cs="Arial"/>
                <w:sz w:val="16"/>
                <w:szCs w:val="16"/>
              </w:rPr>
            </w:pPr>
          </w:p>
          <w:p w:rsidR="00D928E6" w:rsidRPr="000F3603" w:rsidRDefault="00D928E6" w:rsidP="008A051C">
            <w:pPr>
              <w:widowControl w:val="0"/>
              <w:suppressAutoHyphens/>
              <w:autoSpaceDE w:val="0"/>
              <w:autoSpaceDN w:val="0"/>
              <w:adjustRightInd w:val="0"/>
              <w:spacing w:before="8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28E6" w:rsidRPr="000F3603" w:rsidRDefault="00D928E6" w:rsidP="008A051C">
            <w:pPr>
              <w:spacing w:after="40"/>
              <w:rPr>
                <w:sz w:val="16"/>
                <w:szCs w:val="16"/>
              </w:rPr>
            </w:pPr>
          </w:p>
        </w:tc>
      </w:tr>
      <w:tr w:rsidR="00D928E6" w:rsidRPr="000F3603" w:rsidTr="008A051C">
        <w:trPr>
          <w:trHeight w:val="426"/>
        </w:trPr>
        <w:tc>
          <w:tcPr>
            <w:tcW w:w="336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2E74B5"/>
            <w:vAlign w:val="center"/>
          </w:tcPr>
          <w:p w:rsidR="00D928E6" w:rsidRPr="000F3603" w:rsidRDefault="00D928E6" w:rsidP="008A051C">
            <w:pPr>
              <w:spacing w:after="4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F3603">
              <w:rPr>
                <w:rFonts w:ascii="Arial" w:hAnsi="Arial" w:cs="Arial"/>
                <w:b/>
                <w:color w:val="FFFFFF"/>
                <w:sz w:val="16"/>
                <w:szCs w:val="16"/>
              </w:rPr>
              <w:t>Extremiter</w:t>
            </w:r>
            <w:proofErr w:type="spellEnd"/>
            <w:r w:rsidRPr="000F360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2010 </w:t>
            </w:r>
            <w:proofErr w:type="spellStart"/>
            <w:r w:rsidRPr="000F3603">
              <w:rPr>
                <w:rFonts w:ascii="Arial" w:hAnsi="Arial" w:cs="Arial"/>
                <w:b/>
                <w:color w:val="FFFFFF"/>
                <w:sz w:val="16"/>
                <w:szCs w:val="16"/>
              </w:rPr>
              <w:t>Better</w:t>
            </w:r>
            <w:proofErr w:type="spellEnd"/>
            <w:r w:rsidRPr="000F360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F3603">
              <w:rPr>
                <w:rFonts w:ascii="Arial" w:hAnsi="Arial" w:cs="Arial"/>
                <w:b/>
                <w:color w:val="FFFFFF"/>
                <w:sz w:val="16"/>
                <w:szCs w:val="16"/>
              </w:rPr>
              <w:t>Future</w:t>
            </w:r>
            <w:proofErr w:type="spellEnd"/>
          </w:p>
        </w:tc>
        <w:tc>
          <w:tcPr>
            <w:tcW w:w="36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 w:rsidRPr="005F200D">
              <w:rPr>
                <w:bCs/>
                <w:sz w:val="16"/>
                <w:szCs w:val="16"/>
              </w:rPr>
              <w:t>Cena bez 21% DPH</w:t>
            </w:r>
          </w:p>
          <w:p w:rsidR="00D928E6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21 % DPH </w:t>
            </w:r>
          </w:p>
          <w:p w:rsidR="00D928E6" w:rsidRPr="00955B85" w:rsidRDefault="00D928E6" w:rsidP="008A051C">
            <w:pPr>
              <w:pStyle w:val="DPbezloga"/>
              <w:spacing w:after="4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Cena včetně 21% DPH</w:t>
            </w:r>
          </w:p>
        </w:tc>
        <w:tc>
          <w:tcPr>
            <w:tcW w:w="21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D928E6" w:rsidRPr="00955B85" w:rsidRDefault="00EA64DB" w:rsidP="008A051C">
            <w:pPr>
              <w:pStyle w:val="DPbezloga"/>
              <w:spacing w:after="4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XXXX</w:t>
            </w:r>
          </w:p>
        </w:tc>
      </w:tr>
    </w:tbl>
    <w:p w:rsidR="00D928E6" w:rsidRPr="000F3603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D928E6" w:rsidRDefault="00D928E6" w:rsidP="00D928E6">
      <w:pPr>
        <w:spacing w:after="40"/>
        <w:rPr>
          <w:rFonts w:ascii="Arial" w:hAnsi="Arial" w:cs="Arial"/>
          <w:b/>
          <w:sz w:val="20"/>
          <w:szCs w:val="20"/>
        </w:rPr>
      </w:pPr>
    </w:p>
    <w:p w:rsidR="00A45DE6" w:rsidRDefault="00A45DE6"/>
    <w:p w:rsidR="00A22183" w:rsidRDefault="00A22183">
      <w:pPr>
        <w:spacing w:after="200" w:line="276" w:lineRule="auto"/>
      </w:pPr>
      <w:r>
        <w:br w:type="page"/>
      </w:r>
    </w:p>
    <w:p w:rsidR="00A45DE6" w:rsidRDefault="00A45DE6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2 - Cenová kalkulace</w:t>
      </w:r>
      <w:r>
        <w:rPr>
          <w:b/>
        </w:rPr>
        <w:t xml:space="preserve"> </w:t>
      </w:r>
    </w:p>
    <w:p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701"/>
        <w:gridCol w:w="1701"/>
        <w:gridCol w:w="1701"/>
      </w:tblGrid>
      <w:tr w:rsidR="00FB155D" w:rsidRPr="00C22CBD" w:rsidTr="00FB155D">
        <w:trPr>
          <w:trHeight w:val="519"/>
        </w:trPr>
        <w:tc>
          <w:tcPr>
            <w:tcW w:w="195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276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5F132F" w:rsidTr="002D53E5">
        <w:trPr>
          <w:trHeight w:hRule="exact" w:val="8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132F" w:rsidRPr="00CC4EDC" w:rsidRDefault="002D53E5" w:rsidP="005F132F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Aquamanus</w:t>
            </w:r>
            <w:proofErr w:type="spellEnd"/>
            <w:r w:rsidR="005F132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F132F" w:rsidRPr="0055210D" w:rsidRDefault="002D53E5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  <w:r w:rsidR="005F132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ks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EA64DB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Pr="00CC4EDC" w:rsidRDefault="00EA64DB" w:rsidP="005F132F">
            <w:pPr>
              <w:jc w:val="center"/>
              <w:rPr>
                <w:b/>
                <w:sz w:val="20"/>
                <w:szCs w:val="20"/>
              </w:rPr>
            </w:pPr>
            <w:r w:rsidRPr="00EA64DB"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Pr="001D61FC" w:rsidRDefault="00EA64DB" w:rsidP="005F132F">
            <w:pPr>
              <w:jc w:val="center"/>
              <w:rPr>
                <w:sz w:val="20"/>
                <w:szCs w:val="20"/>
              </w:rPr>
            </w:pPr>
            <w:r w:rsidRPr="00EA64DB">
              <w:rPr>
                <w:sz w:val="20"/>
                <w:szCs w:val="20"/>
              </w:rPr>
              <w:t>XXXX</w:t>
            </w:r>
          </w:p>
        </w:tc>
      </w:tr>
      <w:tr w:rsidR="005F132F" w:rsidTr="002D53E5">
        <w:trPr>
          <w:trHeight w:hRule="exact" w:val="7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132F" w:rsidRPr="00CC4EDC" w:rsidRDefault="002D53E5" w:rsidP="005F132F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Aquapedis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I.L</w:t>
            </w:r>
            <w:r w:rsidR="005F13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F132F" w:rsidRPr="0055210D" w:rsidRDefault="002D53E5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  <w:r w:rsidR="005F132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ks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EA64DB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EA64DB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Pr="00CC4EDC" w:rsidRDefault="00EA64DB" w:rsidP="005F132F">
            <w:pPr>
              <w:jc w:val="center"/>
              <w:rPr>
                <w:b/>
                <w:sz w:val="20"/>
                <w:szCs w:val="20"/>
              </w:rPr>
            </w:pPr>
            <w:r w:rsidRPr="00EA64DB"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Default="00EA64DB" w:rsidP="005F132F">
            <w:pPr>
              <w:jc w:val="center"/>
              <w:rPr>
                <w:sz w:val="20"/>
                <w:szCs w:val="20"/>
              </w:rPr>
            </w:pPr>
            <w:r w:rsidRPr="00EA64DB">
              <w:rPr>
                <w:sz w:val="20"/>
                <w:szCs w:val="20"/>
              </w:rPr>
              <w:t>XXXX</w:t>
            </w:r>
          </w:p>
        </w:tc>
      </w:tr>
      <w:tr w:rsidR="005F132F" w:rsidTr="002D53E5">
        <w:trPr>
          <w:trHeight w:hRule="exact" w:val="9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132F" w:rsidRPr="00CC4EDC" w:rsidRDefault="00D928E6" w:rsidP="005F132F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Extremiter</w:t>
            </w:r>
            <w:proofErr w:type="spellEnd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2010 </w:t>
            </w: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Better</w:t>
            </w:r>
            <w:proofErr w:type="spellEnd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Future</w:t>
            </w:r>
            <w:proofErr w:type="spellEnd"/>
            <w:r w:rsidR="005F13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F132F" w:rsidRPr="0055210D" w:rsidRDefault="00D928E6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  <w:r w:rsidR="005F132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ks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EA64DB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:rsidR="005F132F" w:rsidRPr="0055210D" w:rsidRDefault="00EA64DB" w:rsidP="005F132F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EA64DB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Pr="00CC4EDC" w:rsidRDefault="00EA64DB" w:rsidP="005F132F">
            <w:pPr>
              <w:jc w:val="center"/>
              <w:rPr>
                <w:b/>
                <w:sz w:val="20"/>
                <w:szCs w:val="20"/>
              </w:rPr>
            </w:pPr>
            <w:r w:rsidRPr="00EA64DB"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2F" w:rsidRDefault="00EA64DB" w:rsidP="005F132F">
            <w:pPr>
              <w:jc w:val="center"/>
              <w:rPr>
                <w:sz w:val="20"/>
                <w:szCs w:val="20"/>
              </w:rPr>
            </w:pPr>
            <w:r w:rsidRPr="00EA64DB">
              <w:rPr>
                <w:sz w:val="20"/>
                <w:szCs w:val="20"/>
              </w:rPr>
              <w:t>XXXX</w:t>
            </w:r>
          </w:p>
        </w:tc>
      </w:tr>
      <w:tr w:rsidR="005F132F" w:rsidRPr="00FB155D" w:rsidTr="005F132F">
        <w:trPr>
          <w:trHeight w:hRule="exact" w:val="397"/>
        </w:trPr>
        <w:tc>
          <w:tcPr>
            <w:tcW w:w="1951" w:type="dxa"/>
            <w:vAlign w:val="center"/>
          </w:tcPr>
          <w:p w:rsidR="005F132F" w:rsidRPr="0055210D" w:rsidRDefault="005F132F" w:rsidP="005F132F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276" w:type="dxa"/>
            <w:vAlign w:val="center"/>
          </w:tcPr>
          <w:p w:rsidR="005F132F" w:rsidRPr="0055210D" w:rsidRDefault="005F132F" w:rsidP="005F132F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5F132F" w:rsidRPr="0055210D" w:rsidRDefault="00D265B7" w:rsidP="005F132F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871 300</w:t>
            </w:r>
          </w:p>
        </w:tc>
        <w:tc>
          <w:tcPr>
            <w:tcW w:w="1701" w:type="dxa"/>
            <w:vAlign w:val="center"/>
          </w:tcPr>
          <w:p w:rsidR="005F132F" w:rsidRPr="0055210D" w:rsidRDefault="00D265B7" w:rsidP="005F132F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1 054 273</w:t>
            </w:r>
          </w:p>
        </w:tc>
        <w:tc>
          <w:tcPr>
            <w:tcW w:w="1701" w:type="dxa"/>
            <w:vAlign w:val="center"/>
          </w:tcPr>
          <w:p w:rsidR="005F132F" w:rsidRPr="0055210D" w:rsidRDefault="00D265B7" w:rsidP="005F132F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871 300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F132F" w:rsidRDefault="00D265B7" w:rsidP="005F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1 054 273</w:t>
            </w:r>
          </w:p>
        </w:tc>
      </w:tr>
    </w:tbl>
    <w:p w:rsidR="00C22CBD" w:rsidRDefault="00C22CBD"/>
    <w:p w:rsidR="00C22CBD" w:rsidRDefault="00C22CB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B45FD2" w:rsidRDefault="00B45FD2"/>
    <w:p w:rsidR="00B45FD2" w:rsidRDefault="00B45FD2"/>
    <w:p w:rsidR="00B45FD2" w:rsidRDefault="00B45FD2"/>
    <w:p w:rsidR="00B45FD2" w:rsidRDefault="00B45FD2"/>
    <w:p w:rsidR="00B45FD2" w:rsidRDefault="00B45FD2"/>
    <w:p w:rsidR="00B45FD2" w:rsidRDefault="00B45FD2"/>
    <w:p w:rsidR="00B45FD2" w:rsidRDefault="00B45FD2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Pr="0055210D" w:rsidRDefault="0055210D">
      <w:pPr>
        <w:rPr>
          <w:b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3 – Pozáruční servis</w:t>
      </w:r>
      <w:r>
        <w:rPr>
          <w:b/>
        </w:rPr>
        <w:t xml:space="preserve"> </w:t>
      </w:r>
    </w:p>
    <w:p w:rsidR="00C22CBD" w:rsidRDefault="00C22CBD"/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943"/>
        <w:gridCol w:w="2410"/>
        <w:gridCol w:w="2835"/>
        <w:gridCol w:w="1843"/>
      </w:tblGrid>
      <w:tr w:rsidR="009E5250" w:rsidRPr="001A165A" w:rsidTr="00D335CC"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410" w:type="dxa"/>
            <w:vAlign w:val="center"/>
          </w:tcPr>
          <w:p w:rsidR="0055210D" w:rsidRPr="005667FC" w:rsidRDefault="009E5250" w:rsidP="0055210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Dopravné </w:t>
            </w:r>
            <w:r w:rsidR="0055210D" w:rsidRPr="005667FC">
              <w:rPr>
                <w:rFonts w:asciiTheme="minorHAnsi" w:hAnsiTheme="minorHAnsi"/>
                <w:b/>
              </w:rPr>
              <w:t xml:space="preserve">– cena </w:t>
            </w:r>
            <w:r w:rsidR="0055210D" w:rsidRPr="005667FC">
              <w:rPr>
                <w:rFonts w:asciiTheme="minorHAnsi" w:hAnsiTheme="minorHAnsi"/>
                <w:b/>
              </w:rPr>
              <w:br/>
              <w:t>za 1 výjezd do místa plnění</w:t>
            </w:r>
            <w:r w:rsidR="00D335CC">
              <w:rPr>
                <w:rFonts w:asciiTheme="minorHAnsi" w:hAnsiTheme="minorHAnsi"/>
                <w:b/>
              </w:rPr>
              <w:t xml:space="preserve"> </w:t>
            </w:r>
            <w:r w:rsidR="00AD7ACD">
              <w:rPr>
                <w:rFonts w:asciiTheme="minorHAnsi" w:hAnsiTheme="minorHAnsi"/>
                <w:b/>
              </w:rPr>
              <w:t xml:space="preserve">a zpět </w:t>
            </w:r>
            <w:r w:rsidR="0055210D" w:rsidRPr="005667FC">
              <w:rPr>
                <w:rFonts w:asciiTheme="minorHAnsi" w:hAnsiTheme="minorHAnsi"/>
                <w:b/>
              </w:rPr>
              <w:t>v Kč bez DPH</w:t>
            </w:r>
          </w:p>
        </w:tc>
        <w:tc>
          <w:tcPr>
            <w:tcW w:w="2835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servisní práce/1 hod</w:t>
            </w:r>
            <w:r w:rsidR="00FB155D" w:rsidRPr="005667FC">
              <w:rPr>
                <w:rFonts w:asciiTheme="minorHAnsi" w:hAnsiTheme="minorHAnsi"/>
                <w:b/>
              </w:rPr>
              <w:t>.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  <w:tc>
          <w:tcPr>
            <w:tcW w:w="18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Cena PBTK 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</w:tr>
      <w:tr w:rsidR="000E6261" w:rsidTr="002D53E5">
        <w:trPr>
          <w:trHeight w:hRule="exact"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E6261" w:rsidRPr="00CC4EDC" w:rsidRDefault="000E6261" w:rsidP="000E6261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Aquamanus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E6261" w:rsidRPr="005667FC" w:rsidRDefault="000E626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</w:t>
            </w:r>
          </w:p>
        </w:tc>
        <w:tc>
          <w:tcPr>
            <w:tcW w:w="2835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0E6261">
              <w:rPr>
                <w:rFonts w:asciiTheme="minorHAnsi" w:hAnsiTheme="minorHAnsi"/>
              </w:rPr>
              <w:t>00</w:t>
            </w:r>
          </w:p>
        </w:tc>
        <w:tc>
          <w:tcPr>
            <w:tcW w:w="1843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900</w:t>
            </w:r>
          </w:p>
        </w:tc>
      </w:tr>
      <w:tr w:rsidR="000E6261" w:rsidTr="003E562B">
        <w:trPr>
          <w:trHeight w:hRule="exact"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E6261" w:rsidRPr="00CC4EDC" w:rsidRDefault="000E6261" w:rsidP="000E6261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Aquapedis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I.L </w:t>
            </w:r>
          </w:p>
        </w:tc>
        <w:tc>
          <w:tcPr>
            <w:tcW w:w="2410" w:type="dxa"/>
            <w:vAlign w:val="center"/>
          </w:tcPr>
          <w:p w:rsidR="000E6261" w:rsidRPr="005667FC" w:rsidRDefault="000E626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</w:t>
            </w:r>
          </w:p>
        </w:tc>
        <w:tc>
          <w:tcPr>
            <w:tcW w:w="2835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0E6261">
              <w:rPr>
                <w:rFonts w:asciiTheme="minorHAnsi" w:hAnsiTheme="minorHAnsi"/>
              </w:rPr>
              <w:t>00</w:t>
            </w:r>
          </w:p>
        </w:tc>
        <w:tc>
          <w:tcPr>
            <w:tcW w:w="1843" w:type="dxa"/>
            <w:vAlign w:val="center"/>
          </w:tcPr>
          <w:p w:rsidR="000E6261" w:rsidRPr="005667FC" w:rsidRDefault="000E626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900</w:t>
            </w:r>
          </w:p>
        </w:tc>
      </w:tr>
      <w:tr w:rsidR="000E6261" w:rsidTr="003E562B">
        <w:trPr>
          <w:trHeight w:hRule="exact" w:val="8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E6261" w:rsidRPr="00CC4EDC" w:rsidRDefault="000E6261" w:rsidP="000E6261">
            <w:pPr>
              <w:pStyle w:val="Bezmezer"/>
              <w:tabs>
                <w:tab w:val="left" w:pos="-425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Extremiter</w:t>
            </w:r>
            <w:proofErr w:type="spellEnd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2010 </w:t>
            </w: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Better</w:t>
            </w:r>
            <w:proofErr w:type="spellEnd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28E6">
              <w:rPr>
                <w:rFonts w:asciiTheme="minorHAnsi" w:hAnsiTheme="minorHAnsi"/>
                <w:b/>
                <w:bCs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4600</w:t>
            </w:r>
          </w:p>
        </w:tc>
        <w:tc>
          <w:tcPr>
            <w:tcW w:w="2835" w:type="dxa"/>
            <w:vAlign w:val="center"/>
          </w:tcPr>
          <w:p w:rsidR="000E6261" w:rsidRPr="005667FC" w:rsidRDefault="000E626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</w:t>
            </w:r>
          </w:p>
        </w:tc>
        <w:tc>
          <w:tcPr>
            <w:tcW w:w="1843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  <w:r w:rsidR="000E6261">
              <w:rPr>
                <w:rFonts w:asciiTheme="minorHAnsi" w:hAnsiTheme="minorHAnsi"/>
              </w:rPr>
              <w:t>0</w:t>
            </w:r>
          </w:p>
        </w:tc>
      </w:tr>
      <w:tr w:rsidR="000E6261" w:rsidRPr="00FB155D" w:rsidTr="00D335CC">
        <w:trPr>
          <w:trHeight w:hRule="exact" w:val="397"/>
        </w:trPr>
        <w:tc>
          <w:tcPr>
            <w:tcW w:w="2943" w:type="dxa"/>
            <w:vAlign w:val="center"/>
          </w:tcPr>
          <w:p w:rsidR="000E6261" w:rsidRPr="005667FC" w:rsidRDefault="000E6261" w:rsidP="000E6261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CELKEM</w:t>
            </w:r>
          </w:p>
        </w:tc>
        <w:tc>
          <w:tcPr>
            <w:tcW w:w="2410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76</w:t>
            </w:r>
            <w:r w:rsidR="000E6261">
              <w:rPr>
                <w:rFonts w:asciiTheme="minorHAnsi" w:hAnsiTheme="minorHAnsi"/>
                <w:b/>
              </w:rPr>
              <w:t>00</w:t>
            </w:r>
          </w:p>
        </w:tc>
        <w:tc>
          <w:tcPr>
            <w:tcW w:w="2835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2100</w:t>
            </w:r>
          </w:p>
        </w:tc>
        <w:tc>
          <w:tcPr>
            <w:tcW w:w="1843" w:type="dxa"/>
            <w:vAlign w:val="center"/>
          </w:tcPr>
          <w:p w:rsidR="000E6261" w:rsidRPr="005667FC" w:rsidRDefault="007C6531" w:rsidP="000E62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3 300</w:t>
            </w:r>
          </w:p>
        </w:tc>
      </w:tr>
    </w:tbl>
    <w:p w:rsidR="00C22CBD" w:rsidRDefault="00C22CBD"/>
    <w:sectPr w:rsidR="00C22CBD" w:rsidSect="00A2218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FD" w:rsidRDefault="002230FD" w:rsidP="009B0C36">
      <w:r>
        <w:separator/>
      </w:r>
    </w:p>
  </w:endnote>
  <w:endnote w:type="continuationSeparator" w:id="0">
    <w:p w:rsidR="002230FD" w:rsidRDefault="002230FD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2D53E5" w:rsidRDefault="002D53E5">
            <w:pPr>
              <w:pStyle w:val="Zpat"/>
              <w:jc w:val="center"/>
            </w:pPr>
          </w:p>
          <w:p w:rsidR="002D53E5" w:rsidRDefault="00CB3391">
            <w:pPr>
              <w:pStyle w:val="Zpat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2D53E5" w:rsidRDefault="002D53E5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CB3391">
              <w:rPr>
                <w:rFonts w:ascii="Calibri" w:hAnsi="Calibri" w:cs="Calibri"/>
                <w:b/>
                <w:noProof/>
                <w:sz w:val="22"/>
              </w:rPr>
              <w:t>8</w: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CB3391">
              <w:rPr>
                <w:rFonts w:ascii="Calibri" w:hAnsi="Calibri" w:cs="Calibri"/>
                <w:b/>
                <w:noProof/>
                <w:sz w:val="22"/>
              </w:rPr>
              <w:t>13</w:t>
            </w:r>
            <w:r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:rsidR="002D53E5" w:rsidRPr="00FD6359" w:rsidRDefault="002D53E5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Pr="00FD6359">
              <w:rPr>
                <w:rFonts w:ascii="Calibri" w:hAnsi="Calibri" w:cs="Calibri"/>
                <w:sz w:val="20"/>
              </w:rPr>
              <w:t>KS k VZ SNO/FMP/2017/0</w:t>
            </w:r>
            <w:r>
              <w:rPr>
                <w:rFonts w:ascii="Calibri" w:hAnsi="Calibri" w:cs="Calibri"/>
                <w:sz w:val="20"/>
              </w:rPr>
              <w:t>2</w:t>
            </w:r>
            <w:r w:rsidRPr="00FD6359">
              <w:rPr>
                <w:rFonts w:ascii="Calibri" w:hAnsi="Calibri" w:cs="Calibri"/>
                <w:sz w:val="20"/>
              </w:rPr>
              <w:t>/pořízení zdravotnického vybavení pro SNO-2. etapa</w:t>
            </w:r>
          </w:p>
          <w:p w:rsidR="002D53E5" w:rsidRDefault="002D53E5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:rsidR="002D53E5" w:rsidRDefault="002D53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E5" w:rsidRDefault="002D53E5" w:rsidP="00A22183">
    <w:pPr>
      <w:pStyle w:val="Zpat"/>
    </w:pPr>
  </w:p>
  <w:p w:rsidR="002D53E5" w:rsidRDefault="00CB3391" w:rsidP="00A22183">
    <w:pPr>
      <w:pStyle w:val="Zpat"/>
      <w:jc w:val="center"/>
    </w:pPr>
    <w:r>
      <w:pict>
        <v:rect id="_x0000_i1027" style="width:0;height:1.5pt" o:hralign="center" o:hrstd="t" o:hr="t" fillcolor="#a0a0a0" stroked="f"/>
      </w:pict>
    </w:r>
  </w:p>
  <w:p w:rsidR="002D53E5" w:rsidRPr="00A22183" w:rsidRDefault="002D53E5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Pr="00A22183">
      <w:rPr>
        <w:rFonts w:asciiTheme="minorHAnsi" w:hAnsiTheme="minorHAnsi" w:cstheme="minorHAnsi"/>
        <w:b/>
        <w:sz w:val="22"/>
        <w:szCs w:val="22"/>
      </w:rPr>
      <w:t xml:space="preserve"> z 10</w:t>
    </w:r>
  </w:p>
  <w:p w:rsidR="002D53E5" w:rsidRPr="00A22183" w:rsidRDefault="002D53E5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SNO/FMP/2017/0</w:t>
    </w:r>
    <w:r>
      <w:rPr>
        <w:rFonts w:asciiTheme="minorHAnsi" w:hAnsiTheme="minorHAnsi" w:cstheme="minorHAnsi"/>
        <w:sz w:val="20"/>
        <w:szCs w:val="20"/>
      </w:rPr>
      <w:t>2</w:t>
    </w:r>
    <w:r w:rsidRPr="00A22183">
      <w:rPr>
        <w:rFonts w:asciiTheme="minorHAnsi" w:hAnsiTheme="minorHAnsi" w:cstheme="minorHAnsi"/>
        <w:sz w:val="20"/>
        <w:szCs w:val="20"/>
      </w:rPr>
      <w:t>/pořízení zdravotnického vybavení pro SNO-2. etapa</w:t>
    </w:r>
  </w:p>
  <w:p w:rsidR="002D53E5" w:rsidRPr="00A22183" w:rsidRDefault="002D53E5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FD" w:rsidRDefault="002230FD" w:rsidP="009B0C36">
      <w:r>
        <w:separator/>
      </w:r>
    </w:p>
  </w:footnote>
  <w:footnote w:type="continuationSeparator" w:id="0">
    <w:p w:rsidR="002230FD" w:rsidRDefault="002230FD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E5" w:rsidRPr="00A22183" w:rsidRDefault="002D53E5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>
      <w:rPr>
        <w:noProof/>
      </w:rPr>
      <w:drawing>
        <wp:inline distT="0" distB="0" distL="0" distR="0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E5" w:rsidRPr="00876FDC" w:rsidRDefault="002D53E5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</w:t>
    </w:r>
    <w:r w:rsidRPr="00876FDC">
      <w:rPr>
        <w:sz w:val="16"/>
        <w:szCs w:val="16"/>
      </w:rPr>
      <w:t xml:space="preserve">Zadavatel: </w:t>
    </w:r>
  </w:p>
  <w:p w:rsidR="002D53E5" w:rsidRPr="00876FDC" w:rsidRDefault="002D53E5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</w:t>
    </w:r>
    <w:r w:rsidRPr="00876FDC">
      <w:rPr>
        <w:sz w:val="16"/>
        <w:szCs w:val="16"/>
      </w:rPr>
      <w:t xml:space="preserve">lezská nemocnice v Opavě, příspěvková </w:t>
    </w:r>
    <w:proofErr w:type="spellStart"/>
    <w:r w:rsidRPr="00876FDC">
      <w:rPr>
        <w:sz w:val="16"/>
        <w:szCs w:val="16"/>
      </w:rPr>
      <w:t>org</w:t>
    </w:r>
    <w:proofErr w:type="spellEnd"/>
    <w:r w:rsidRPr="00876FDC">
      <w:rPr>
        <w:sz w:val="16"/>
        <w:szCs w:val="16"/>
      </w:rPr>
      <w:t>.</w:t>
    </w:r>
  </w:p>
  <w:p w:rsidR="002D53E5" w:rsidRPr="00876FDC" w:rsidRDefault="002D53E5" w:rsidP="00A22183">
    <w:pPr>
      <w:pStyle w:val="Zhlav"/>
      <w:rPr>
        <w:sz w:val="16"/>
        <w:szCs w:val="16"/>
      </w:rPr>
    </w:pPr>
  </w:p>
  <w:p w:rsidR="002D53E5" w:rsidRPr="00876FDC" w:rsidRDefault="002D53E5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2D53E5" w:rsidRDefault="002D53E5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„Pořízení zdravotnického vybavení pro Slezskou nemocnici v Opavě, p. o. – 2. etapa“</w:t>
    </w:r>
  </w:p>
  <w:p w:rsidR="002D53E5" w:rsidRDefault="002D53E5" w:rsidP="00A22183">
    <w:pPr>
      <w:pStyle w:val="Zhlav"/>
    </w:pPr>
  </w:p>
  <w:p w:rsidR="002D53E5" w:rsidRDefault="002D53E5" w:rsidP="00A22183">
    <w:pPr>
      <w:pStyle w:val="Zhlav"/>
    </w:pPr>
    <w:r>
      <w:rPr>
        <w:noProof/>
      </w:rPr>
      <w:drawing>
        <wp:inline distT="0" distB="0" distL="0" distR="0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3E5" w:rsidRDefault="002D53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0.5pt;height:438.75pt" o:bullet="t">
        <v:imagedata r:id="rId1" o:title="M logo"/>
      </v:shape>
    </w:pict>
  </w:numPicBullet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9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A3526"/>
    <w:multiLevelType w:val="hybridMultilevel"/>
    <w:tmpl w:val="F6D4E00E"/>
    <w:lvl w:ilvl="0" w:tplc="0D2222F8">
      <w:start w:val="1"/>
      <w:numFmt w:val="bullet"/>
      <w:lvlText w:val=""/>
      <w:lvlJc w:val="left"/>
      <w:pPr>
        <w:ind w:left="180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2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27"/>
  </w:num>
  <w:num w:numId="9">
    <w:abstractNumId w:val="5"/>
  </w:num>
  <w:num w:numId="10">
    <w:abstractNumId w:val="22"/>
  </w:num>
  <w:num w:numId="11">
    <w:abstractNumId w:val="11"/>
  </w:num>
  <w:num w:numId="12">
    <w:abstractNumId w:val="18"/>
  </w:num>
  <w:num w:numId="13">
    <w:abstractNumId w:val="16"/>
  </w:num>
  <w:num w:numId="14">
    <w:abstractNumId w:val="24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2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20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A9"/>
    <w:rsid w:val="00010228"/>
    <w:rsid w:val="00036D74"/>
    <w:rsid w:val="00060C8E"/>
    <w:rsid w:val="00070A32"/>
    <w:rsid w:val="000724BF"/>
    <w:rsid w:val="000B4AFD"/>
    <w:rsid w:val="000D36BA"/>
    <w:rsid w:val="000E6261"/>
    <w:rsid w:val="00120FA0"/>
    <w:rsid w:val="00125B5B"/>
    <w:rsid w:val="001304D4"/>
    <w:rsid w:val="00173BE6"/>
    <w:rsid w:val="0018224F"/>
    <w:rsid w:val="00183F7F"/>
    <w:rsid w:val="001A165A"/>
    <w:rsid w:val="001B596A"/>
    <w:rsid w:val="001D792C"/>
    <w:rsid w:val="001F2F85"/>
    <w:rsid w:val="002168F1"/>
    <w:rsid w:val="0022065C"/>
    <w:rsid w:val="002230FD"/>
    <w:rsid w:val="00252EDF"/>
    <w:rsid w:val="00254B7C"/>
    <w:rsid w:val="002627D2"/>
    <w:rsid w:val="002845C1"/>
    <w:rsid w:val="002D53E5"/>
    <w:rsid w:val="002F5FD2"/>
    <w:rsid w:val="00313EE2"/>
    <w:rsid w:val="00324C1F"/>
    <w:rsid w:val="003430C4"/>
    <w:rsid w:val="0034495D"/>
    <w:rsid w:val="00371E40"/>
    <w:rsid w:val="00377317"/>
    <w:rsid w:val="00384616"/>
    <w:rsid w:val="003E562B"/>
    <w:rsid w:val="003F65CD"/>
    <w:rsid w:val="00404291"/>
    <w:rsid w:val="00462F7D"/>
    <w:rsid w:val="00464D2C"/>
    <w:rsid w:val="004722AB"/>
    <w:rsid w:val="004759DF"/>
    <w:rsid w:val="00485D3F"/>
    <w:rsid w:val="004A44B7"/>
    <w:rsid w:val="004A6ACE"/>
    <w:rsid w:val="004C499D"/>
    <w:rsid w:val="004C684E"/>
    <w:rsid w:val="004E44C6"/>
    <w:rsid w:val="0053054B"/>
    <w:rsid w:val="00541181"/>
    <w:rsid w:val="0055210D"/>
    <w:rsid w:val="00562ECE"/>
    <w:rsid w:val="00562FA5"/>
    <w:rsid w:val="005667FC"/>
    <w:rsid w:val="00582AD2"/>
    <w:rsid w:val="00595449"/>
    <w:rsid w:val="005C649E"/>
    <w:rsid w:val="005D13F6"/>
    <w:rsid w:val="005E45F0"/>
    <w:rsid w:val="005F132F"/>
    <w:rsid w:val="005F253D"/>
    <w:rsid w:val="006013B3"/>
    <w:rsid w:val="00647A96"/>
    <w:rsid w:val="006644F1"/>
    <w:rsid w:val="006A36A9"/>
    <w:rsid w:val="006A6079"/>
    <w:rsid w:val="006A66D0"/>
    <w:rsid w:val="006C68BC"/>
    <w:rsid w:val="006E112B"/>
    <w:rsid w:val="006F4943"/>
    <w:rsid w:val="00724329"/>
    <w:rsid w:val="00730495"/>
    <w:rsid w:val="00730E5A"/>
    <w:rsid w:val="00733A32"/>
    <w:rsid w:val="00740349"/>
    <w:rsid w:val="00756F6B"/>
    <w:rsid w:val="00782111"/>
    <w:rsid w:val="00784323"/>
    <w:rsid w:val="007915AF"/>
    <w:rsid w:val="007C6531"/>
    <w:rsid w:val="007F3550"/>
    <w:rsid w:val="008159BA"/>
    <w:rsid w:val="00816E91"/>
    <w:rsid w:val="00820A88"/>
    <w:rsid w:val="0087313E"/>
    <w:rsid w:val="00885D47"/>
    <w:rsid w:val="00886AE5"/>
    <w:rsid w:val="00890709"/>
    <w:rsid w:val="008A7807"/>
    <w:rsid w:val="008F2185"/>
    <w:rsid w:val="00900CE8"/>
    <w:rsid w:val="00913E17"/>
    <w:rsid w:val="009143AC"/>
    <w:rsid w:val="009A5D2F"/>
    <w:rsid w:val="009B0C36"/>
    <w:rsid w:val="009C4C43"/>
    <w:rsid w:val="009E5250"/>
    <w:rsid w:val="009F12A2"/>
    <w:rsid w:val="009F3A86"/>
    <w:rsid w:val="00A11ECF"/>
    <w:rsid w:val="00A1327B"/>
    <w:rsid w:val="00A22183"/>
    <w:rsid w:val="00A32B70"/>
    <w:rsid w:val="00A36F2B"/>
    <w:rsid w:val="00A45DE6"/>
    <w:rsid w:val="00A6153B"/>
    <w:rsid w:val="00A84157"/>
    <w:rsid w:val="00A84E6D"/>
    <w:rsid w:val="00A94CB1"/>
    <w:rsid w:val="00A97DF3"/>
    <w:rsid w:val="00AA0A1C"/>
    <w:rsid w:val="00AD7ACD"/>
    <w:rsid w:val="00AE1F0F"/>
    <w:rsid w:val="00AF367E"/>
    <w:rsid w:val="00AF72DA"/>
    <w:rsid w:val="00AF7FBA"/>
    <w:rsid w:val="00B45FD2"/>
    <w:rsid w:val="00B539F1"/>
    <w:rsid w:val="00B91721"/>
    <w:rsid w:val="00BB6A4B"/>
    <w:rsid w:val="00BF2FC2"/>
    <w:rsid w:val="00C10114"/>
    <w:rsid w:val="00C22CBD"/>
    <w:rsid w:val="00C458BD"/>
    <w:rsid w:val="00C96C5E"/>
    <w:rsid w:val="00CA216B"/>
    <w:rsid w:val="00CB3391"/>
    <w:rsid w:val="00CC3673"/>
    <w:rsid w:val="00D026F4"/>
    <w:rsid w:val="00D265B7"/>
    <w:rsid w:val="00D2701F"/>
    <w:rsid w:val="00D335CC"/>
    <w:rsid w:val="00D34575"/>
    <w:rsid w:val="00D71975"/>
    <w:rsid w:val="00D8774B"/>
    <w:rsid w:val="00D928E6"/>
    <w:rsid w:val="00D92E72"/>
    <w:rsid w:val="00DC64C0"/>
    <w:rsid w:val="00E3141B"/>
    <w:rsid w:val="00E702F2"/>
    <w:rsid w:val="00EA64DB"/>
    <w:rsid w:val="00F204CF"/>
    <w:rsid w:val="00F24E27"/>
    <w:rsid w:val="00F65150"/>
    <w:rsid w:val="00FB155D"/>
    <w:rsid w:val="00FC5BCF"/>
    <w:rsid w:val="00FD3693"/>
    <w:rsid w:val="00FD6359"/>
    <w:rsid w:val="00FE3AF9"/>
    <w:rsid w:val="00FE48BE"/>
    <w:rsid w:val="00FE69B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00F4A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Pbezloga">
    <w:name w:val="DP bez loga"/>
    <w:basedOn w:val="Normln"/>
    <w:rsid w:val="00C10114"/>
    <w:pPr>
      <w:spacing w:line="260" w:lineRule="exact"/>
      <w:ind w:left="1559"/>
    </w:pPr>
    <w:rPr>
      <w:rFonts w:ascii="Arial" w:hAnsi="Arial" w:cs="Arial"/>
      <w:sz w:val="20"/>
      <w:szCs w:val="20"/>
    </w:rPr>
  </w:style>
  <w:style w:type="paragraph" w:customStyle="1" w:styleId="Normln0">
    <w:name w:val="Norm‡ln’"/>
    <w:basedOn w:val="Normln"/>
    <w:uiPriority w:val="99"/>
    <w:rsid w:val="00C1011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D928E6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Pbezloga">
    <w:name w:val="DP bez loga"/>
    <w:basedOn w:val="Normln"/>
    <w:rsid w:val="00C10114"/>
    <w:pPr>
      <w:spacing w:line="260" w:lineRule="exact"/>
      <w:ind w:left="1559"/>
    </w:pPr>
    <w:rPr>
      <w:rFonts w:ascii="Arial" w:hAnsi="Arial" w:cs="Arial"/>
      <w:sz w:val="20"/>
      <w:szCs w:val="20"/>
    </w:rPr>
  </w:style>
  <w:style w:type="paragraph" w:customStyle="1" w:styleId="Normln0">
    <w:name w:val="Norm‡ln’"/>
    <w:basedOn w:val="Normln"/>
    <w:uiPriority w:val="99"/>
    <w:rsid w:val="00C1011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D928E6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gabriel@nemocnice.opava.cz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http://www.medexim.sk/fileadmin/medexim/Produkty/Vodoliecba/Aquapedis_I__II/Pedis_II_2015_05.JPG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3441</Words>
  <Characters>20307</Characters>
  <Application>Microsoft Office Word</Application>
  <DocSecurity>4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Renáta Mrkvová</cp:lastModifiedBy>
  <cp:revision>2</cp:revision>
  <cp:lastPrinted>2018-03-07T08:28:00Z</cp:lastPrinted>
  <dcterms:created xsi:type="dcterms:W3CDTF">2018-03-26T09:06:00Z</dcterms:created>
  <dcterms:modified xsi:type="dcterms:W3CDTF">2018-03-26T09:06:00Z</dcterms:modified>
</cp:coreProperties>
</file>