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E8" w:rsidRDefault="00CA2DBC">
      <w:pPr>
        <w:pStyle w:val="Style1"/>
        <w:widowControl/>
        <w:jc w:val="both"/>
        <w:rPr>
          <w:rStyle w:val="FontStyle19"/>
        </w:rPr>
      </w:pPr>
      <w:bookmarkStart w:id="0" w:name="_GoBack"/>
      <w:bookmarkEnd w:id="0"/>
      <w:proofErr w:type="spellStart"/>
      <w:r>
        <w:rPr>
          <w:rStyle w:val="FontStyle20"/>
        </w:rPr>
        <w:t>Wm</w:t>
      </w:r>
      <w:proofErr w:type="spellEnd"/>
      <w:r>
        <w:rPr>
          <w:rStyle w:val="FontStyle20"/>
        </w:rPr>
        <w:t xml:space="preserve"> </w:t>
      </w:r>
      <w:r>
        <w:rPr>
          <w:rStyle w:val="FontStyle19"/>
        </w:rPr>
        <w:t>i</w:t>
      </w:r>
    </w:p>
    <w:p w:rsidR="00CC5EE8" w:rsidRDefault="00CC5EE8">
      <w:pPr>
        <w:pStyle w:val="Style1"/>
        <w:widowControl/>
        <w:jc w:val="both"/>
        <w:rPr>
          <w:rStyle w:val="FontStyle19"/>
        </w:rPr>
        <w:sectPr w:rsidR="00CC5E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364" w:right="781" w:bottom="1440" w:left="699" w:header="708" w:footer="708" w:gutter="0"/>
          <w:cols w:space="60"/>
          <w:noEndnote/>
        </w:sectPr>
      </w:pPr>
    </w:p>
    <w:p w:rsidR="00CC5EE8" w:rsidRDefault="00CA2DBC">
      <w:pPr>
        <w:pStyle w:val="Style6"/>
        <w:widowControl/>
        <w:spacing w:before="110" w:line="434" w:lineRule="exact"/>
        <w:ind w:left="6041"/>
        <w:jc w:val="both"/>
        <w:rPr>
          <w:rStyle w:val="FontStyle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3175</wp:posOffset>
                </wp:positionV>
                <wp:extent cx="1210310" cy="263525"/>
                <wp:effectExtent l="0" t="3175" r="1905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EE8" w:rsidRDefault="00CA2DBC">
                            <w:pPr>
                              <w:pStyle w:val="Style2"/>
                              <w:widowControl/>
                              <w:spacing w:line="413" w:lineRule="exact"/>
                              <w:jc w:val="both"/>
                              <w:rPr>
                                <w:rStyle w:val="FontStyle23"/>
                              </w:rPr>
                            </w:pPr>
                            <w:proofErr w:type="spellStart"/>
                            <w:r>
                              <w:rPr>
                                <w:rStyle w:val="FontStyle23"/>
                              </w:rPr>
                              <w:t>SYVELplus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05pt;margin-top:.25pt;width:95.3pt;height:20.7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3K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" filled="f" stroked="f">
                <v:textbox inset="0,0,0,0">
                  <w:txbxContent>
                    <w:p w:rsidR="00000000" w:rsidRDefault="00CA2DBC">
                      <w:pPr>
                        <w:pStyle w:val="Style2"/>
                        <w:widowControl/>
                        <w:spacing w:line="413" w:lineRule="exact"/>
                        <w:jc w:val="both"/>
                        <w:rPr>
                          <w:rStyle w:val="FontStyle23"/>
                        </w:rPr>
                      </w:pPr>
                      <w:r>
                        <w:rPr>
                          <w:rStyle w:val="FontStyle23"/>
                        </w:rPr>
                        <w:t>SYVELplus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FontStyle23"/>
        </w:rPr>
        <w:t>Cenová nabídka</w:t>
      </w:r>
    </w:p>
    <w:p w:rsidR="00CC5EE8" w:rsidRDefault="00CA2DBC">
      <w:pPr>
        <w:pStyle w:val="Style7"/>
        <w:widowControl/>
        <w:ind w:left="8088"/>
        <w:jc w:val="both"/>
        <w:rPr>
          <w:rStyle w:val="FontStyle24"/>
        </w:rPr>
      </w:pPr>
      <w:r>
        <w:rPr>
          <w:rStyle w:val="FontStyle24"/>
        </w:rPr>
        <w:t xml:space="preserve">číslo: 442 z </w:t>
      </w:r>
      <w:proofErr w:type="gramStart"/>
      <w:r>
        <w:rPr>
          <w:rStyle w:val="FontStyle24"/>
        </w:rPr>
        <w:t>13.02.2018</w:t>
      </w:r>
      <w:proofErr w:type="gramEnd"/>
    </w:p>
    <w:p w:rsidR="00CC5EE8" w:rsidRDefault="00CA2DBC">
      <w:pPr>
        <w:pStyle w:val="Style8"/>
        <w:widowControl/>
        <w:rPr>
          <w:rStyle w:val="FontStyle24"/>
        </w:rPr>
      </w:pPr>
      <w:proofErr w:type="spellStart"/>
      <w:r>
        <w:rPr>
          <w:rStyle w:val="FontStyle24"/>
        </w:rPr>
        <w:t>Syvel</w:t>
      </w:r>
      <w:proofErr w:type="spellEnd"/>
      <w:r>
        <w:rPr>
          <w:rStyle w:val="FontStyle24"/>
        </w:rPr>
        <w:t xml:space="preserve"> plus, s.r.o.</w:t>
      </w:r>
    </w:p>
    <w:p w:rsidR="00CC5EE8" w:rsidRDefault="00CA2DBC">
      <w:pPr>
        <w:pStyle w:val="Style4"/>
        <w:widowControl/>
        <w:rPr>
          <w:rStyle w:val="FontStyle21"/>
        </w:rPr>
      </w:pPr>
      <w:proofErr w:type="spellStart"/>
      <w:r>
        <w:rPr>
          <w:rStyle w:val="FontStyle21"/>
        </w:rPr>
        <w:t>Nelsonská</w:t>
      </w:r>
      <w:proofErr w:type="spellEnd"/>
      <w:r>
        <w:rPr>
          <w:rStyle w:val="FontStyle21"/>
        </w:rPr>
        <w:t xml:space="preserve"> 8, 41705 Osek u Duchcova, Česká republika</w:t>
      </w:r>
    </w:p>
    <w:p w:rsidR="00CC5EE8" w:rsidRDefault="00CA2DBC">
      <w:pPr>
        <w:pStyle w:val="Style5"/>
        <w:widowControl/>
        <w:tabs>
          <w:tab w:val="left" w:leader="underscore" w:pos="8278"/>
        </w:tabs>
        <w:spacing w:before="103"/>
        <w:ind w:right="2148"/>
        <w:rPr>
          <w:rStyle w:val="FontStyle22"/>
        </w:rPr>
      </w:pPr>
      <w:r>
        <w:rPr>
          <w:rStyle w:val="FontStyle22"/>
        </w:rPr>
        <w:t>IČO: 28738306 DIČ: CZ28738306 tel.: 417 531 917 e-mail:</w:t>
      </w:r>
      <w:r>
        <w:rPr>
          <w:rStyle w:val="FontStyle22"/>
          <w:lang w:val="en-US"/>
        </w:rPr>
        <w:t xml:space="preserve"> </w:t>
      </w:r>
      <w:hyperlink r:id="rId13" w:history="1">
        <w:r>
          <w:rPr>
            <w:rStyle w:val="Hypertextovodkaz"/>
            <w:rFonts w:ascii="Arial Narrow" w:hAnsi="Arial Narrow" w:cs="Arial Narrow"/>
            <w:sz w:val="20"/>
            <w:szCs w:val="20"/>
            <w:lang w:val="en-US"/>
          </w:rPr>
          <w:t>syvel@syvel.cz</w:t>
        </w:r>
      </w:hyperlink>
      <w:r>
        <w:rPr>
          <w:rStyle w:val="FontStyle22"/>
        </w:rPr>
        <w:t xml:space="preserve"> URL:</w:t>
      </w:r>
      <w:r>
        <w:rPr>
          <w:rStyle w:val="FontStyle22"/>
          <w:lang w:val="en-US"/>
        </w:rPr>
        <w:t xml:space="preserve"> </w:t>
      </w:r>
      <w:hyperlink r:id="rId14" w:history="1">
        <w:r>
          <w:rPr>
            <w:rStyle w:val="Hypertextovodkaz"/>
            <w:rFonts w:ascii="Arial Narrow" w:hAnsi="Arial Narrow" w:cs="Arial Narrow"/>
            <w:sz w:val="20"/>
            <w:szCs w:val="20"/>
            <w:lang w:val="en-US"/>
          </w:rPr>
          <w:t>www.syvel.cz</w:t>
        </w:r>
        <w:r>
          <w:rPr>
            <w:rStyle w:val="Hypertextovodkaz"/>
            <w:rFonts w:ascii="Arial Narrow" w:hAnsi="Arial Narrow" w:cs="Arial Narrow"/>
            <w:sz w:val="20"/>
            <w:szCs w:val="20"/>
            <w:lang w:val="en-US"/>
          </w:rPr>
          <w:br/>
        </w:r>
      </w:hyperlink>
      <w:r>
        <w:rPr>
          <w:rStyle w:val="FontStyle22"/>
          <w:u w:val="single"/>
        </w:rPr>
        <w:t>Zapsán: u Krajského soudu v Ústí nad Labem C29655</w:t>
      </w:r>
      <w:r>
        <w:rPr>
          <w:rStyle w:val="FontStyle22"/>
        </w:rPr>
        <w:tab/>
      </w:r>
    </w:p>
    <w:p w:rsidR="00CC5EE8" w:rsidRDefault="00CA2DBC">
      <w:pPr>
        <w:pStyle w:val="Style10"/>
        <w:widowControl/>
        <w:spacing w:before="53" w:after="94"/>
        <w:ind w:left="5122"/>
        <w:jc w:val="both"/>
        <w:rPr>
          <w:rStyle w:val="FontStyle25"/>
        </w:rPr>
      </w:pPr>
      <w:r>
        <w:rPr>
          <w:rStyle w:val="FontStyle25"/>
        </w:rPr>
        <w:t>pro:</w:t>
      </w:r>
    </w:p>
    <w:p w:rsidR="00CC5EE8" w:rsidRDefault="00CC5EE8">
      <w:pPr>
        <w:pStyle w:val="Style10"/>
        <w:widowControl/>
        <w:spacing w:before="53" w:after="94"/>
        <w:ind w:left="5122"/>
        <w:jc w:val="both"/>
        <w:rPr>
          <w:rStyle w:val="FontStyle25"/>
        </w:rPr>
        <w:sectPr w:rsidR="00CC5EE8">
          <w:type w:val="continuous"/>
          <w:pgSz w:w="11905" w:h="16837"/>
          <w:pgMar w:top="364" w:right="781" w:bottom="1440" w:left="699" w:header="708" w:footer="708" w:gutter="0"/>
          <w:cols w:space="60"/>
          <w:noEndnote/>
        </w:sectPr>
      </w:pPr>
    </w:p>
    <w:p w:rsidR="00CC5EE8" w:rsidRDefault="00CA2DBC">
      <w:pPr>
        <w:pStyle w:val="Style8"/>
        <w:widowControl/>
        <w:spacing w:before="17"/>
        <w:jc w:val="both"/>
        <w:rPr>
          <w:rStyle w:val="FontStyle24"/>
        </w:rPr>
      </w:pPr>
      <w:r>
        <w:rPr>
          <w:rStyle w:val="FontStyle24"/>
        </w:rPr>
        <w:lastRenderedPageBreak/>
        <w:t>Rekonstrukce tanečního sálu</w:t>
      </w:r>
    </w:p>
    <w:p w:rsidR="00CC5EE8" w:rsidRDefault="00CA2DBC">
      <w:pPr>
        <w:pStyle w:val="Style11"/>
        <w:widowControl/>
        <w:spacing w:line="252" w:lineRule="exact"/>
        <w:jc w:val="both"/>
        <w:rPr>
          <w:rStyle w:val="FontStyle24"/>
        </w:rPr>
      </w:pPr>
      <w:r>
        <w:rPr>
          <w:rStyle w:val="FontStyle24"/>
        </w:rPr>
        <w:br w:type="column"/>
      </w:r>
      <w:r>
        <w:rPr>
          <w:rStyle w:val="FontStyle24"/>
        </w:rPr>
        <w:lastRenderedPageBreak/>
        <w:t>Dům kultury Teplice</w:t>
      </w:r>
    </w:p>
    <w:p w:rsidR="00CC5EE8" w:rsidRDefault="00CA2DBC">
      <w:pPr>
        <w:pStyle w:val="Style12"/>
        <w:widowControl/>
        <w:spacing w:before="5"/>
        <w:rPr>
          <w:rStyle w:val="FontStyle21"/>
        </w:rPr>
      </w:pPr>
      <w:r>
        <w:rPr>
          <w:rStyle w:val="FontStyle21"/>
        </w:rPr>
        <w:t>Mírové náměstí 2950 415 01 Teplice</w:t>
      </w:r>
    </w:p>
    <w:p w:rsidR="00CC5EE8" w:rsidRDefault="00CC5EE8">
      <w:pPr>
        <w:pStyle w:val="Style12"/>
        <w:widowControl/>
        <w:spacing w:before="5"/>
        <w:rPr>
          <w:rStyle w:val="FontStyle21"/>
        </w:rPr>
        <w:sectPr w:rsidR="00CC5EE8">
          <w:type w:val="continuous"/>
          <w:pgSz w:w="11905" w:h="16837"/>
          <w:pgMar w:top="364" w:right="3171" w:bottom="1440" w:left="747" w:header="708" w:footer="708" w:gutter="0"/>
          <w:cols w:num="2" w:space="708" w:equalWidth="0">
            <w:col w:w="3038" w:space="2789"/>
            <w:col w:w="2160"/>
          </w:cols>
          <w:noEndnote/>
        </w:sectPr>
      </w:pPr>
    </w:p>
    <w:p w:rsidR="00CC5EE8" w:rsidRDefault="00CC5EE8">
      <w:pPr>
        <w:widowControl/>
        <w:spacing w:before="72" w:line="240" w:lineRule="exact"/>
        <w:rPr>
          <w:sz w:val="20"/>
          <w:szCs w:val="20"/>
        </w:rPr>
      </w:pPr>
    </w:p>
    <w:p w:rsidR="00CC5EE8" w:rsidRDefault="00CC5EE8">
      <w:pPr>
        <w:pStyle w:val="Style12"/>
        <w:widowControl/>
        <w:spacing w:before="5"/>
        <w:rPr>
          <w:rStyle w:val="FontStyle21"/>
        </w:rPr>
        <w:sectPr w:rsidR="00CC5EE8">
          <w:type w:val="continuous"/>
          <w:pgSz w:w="11905" w:h="16837"/>
          <w:pgMar w:top="364" w:right="2643" w:bottom="1440" w:left="747" w:header="708" w:footer="708" w:gutter="0"/>
          <w:cols w:space="60"/>
          <w:noEndnote/>
        </w:sectPr>
      </w:pPr>
    </w:p>
    <w:p w:rsidR="00CC5EE8" w:rsidRDefault="00CA2DBC">
      <w:pPr>
        <w:pStyle w:val="Style5"/>
        <w:widowControl/>
        <w:spacing w:line="240" w:lineRule="auto"/>
        <w:rPr>
          <w:rStyle w:val="FontStyle22"/>
        </w:rPr>
      </w:pPr>
      <w:r>
        <w:rPr>
          <w:rStyle w:val="FontStyle22"/>
        </w:rPr>
        <w:lastRenderedPageBreak/>
        <w:t xml:space="preserve">Nabídka platí </w:t>
      </w:r>
      <w:proofErr w:type="gramStart"/>
      <w:r>
        <w:rPr>
          <w:rStyle w:val="FontStyle22"/>
        </w:rPr>
        <w:t>do</w:t>
      </w:r>
      <w:proofErr w:type="gramEnd"/>
      <w:r>
        <w:rPr>
          <w:rStyle w:val="FontStyle22"/>
        </w:rPr>
        <w:t xml:space="preserve">: </w:t>
      </w:r>
      <w:proofErr w:type="gramStart"/>
      <w:r>
        <w:rPr>
          <w:rStyle w:val="FontStyle22"/>
        </w:rPr>
        <w:t>15.03.2018</w:t>
      </w:r>
      <w:proofErr w:type="gramEnd"/>
    </w:p>
    <w:p w:rsidR="00CC5EE8" w:rsidRDefault="00CA2DBC">
      <w:pPr>
        <w:pStyle w:val="Style13"/>
        <w:widowControl/>
        <w:spacing w:before="84"/>
        <w:jc w:val="both"/>
        <w:rPr>
          <w:rStyle w:val="FontStyle22"/>
        </w:rPr>
      </w:pPr>
      <w:r>
        <w:rPr>
          <w:rStyle w:val="FontStyle22"/>
        </w:rPr>
        <w:br w:type="column"/>
        <w:t>ICO: 00081221</w:t>
      </w:r>
    </w:p>
    <w:p w:rsidR="00CC5EE8" w:rsidRDefault="00CA2DBC">
      <w:pPr>
        <w:pStyle w:val="Style14"/>
        <w:widowControl/>
        <w:spacing w:before="65"/>
        <w:jc w:val="both"/>
        <w:rPr>
          <w:rStyle w:val="FontStyle22"/>
        </w:rPr>
      </w:pPr>
      <w:r>
        <w:rPr>
          <w:rStyle w:val="FontStyle22"/>
        </w:rPr>
        <w:br w:type="column"/>
      </w:r>
      <w:r>
        <w:rPr>
          <w:rStyle w:val="FontStyle22"/>
        </w:rPr>
        <w:lastRenderedPageBreak/>
        <w:t>DIČ: CZ00081221</w:t>
      </w:r>
    </w:p>
    <w:p w:rsidR="00CC5EE8" w:rsidRDefault="00CC5EE8">
      <w:pPr>
        <w:pStyle w:val="Style14"/>
        <w:widowControl/>
        <w:spacing w:before="65"/>
        <w:jc w:val="both"/>
        <w:rPr>
          <w:rStyle w:val="FontStyle22"/>
        </w:rPr>
        <w:sectPr w:rsidR="00CC5EE8">
          <w:type w:val="continuous"/>
          <w:pgSz w:w="11905" w:h="16837"/>
          <w:pgMar w:top="364" w:right="2643" w:bottom="1440" w:left="747" w:header="708" w:footer="708" w:gutter="0"/>
          <w:cols w:num="3" w:space="708" w:equalWidth="0">
            <w:col w:w="2193" w:space="2957"/>
            <w:col w:w="1137" w:space="869"/>
            <w:col w:w="1358"/>
          </w:cols>
          <w:noEndnote/>
        </w:sectPr>
      </w:pPr>
    </w:p>
    <w:p w:rsidR="00CC5EE8" w:rsidRDefault="00CA2DBC">
      <w:pPr>
        <w:pStyle w:val="Style3"/>
        <w:widowControl/>
        <w:spacing w:before="7"/>
        <w:jc w:val="both"/>
        <w:rPr>
          <w:rStyle w:val="FontStyle26"/>
        </w:rPr>
      </w:pPr>
      <w:r>
        <w:rPr>
          <w:noProof/>
        </w:rPr>
        <w:lastRenderedPageBreak/>
        <mc:AlternateContent>
          <mc:Choice Requires="wpg">
            <w:drawing>
              <wp:anchor distT="0" distB="838200" distL="24130" distR="24130" simplePos="0" relativeHeight="251659264" behindDoc="0" locked="0" layoutInCell="1" allowOverlap="1">
                <wp:simplePos x="0" y="0"/>
                <wp:positionH relativeFrom="margin">
                  <wp:posOffset>-224155</wp:posOffset>
                </wp:positionH>
                <wp:positionV relativeFrom="paragraph">
                  <wp:posOffset>0</wp:posOffset>
                </wp:positionV>
                <wp:extent cx="6702425" cy="2699385"/>
                <wp:effectExtent l="13970" t="9525" r="8255" b="5715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2699385"/>
                          <a:chOff x="922" y="3883"/>
                          <a:chExt cx="10555" cy="4251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2" y="3883"/>
                            <a:ext cx="10555" cy="399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576"/>
                                <w:gridCol w:w="4699"/>
                                <w:gridCol w:w="1205"/>
                                <w:gridCol w:w="1075"/>
                              </w:tblGrid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 xml:space="preserve">Ceníkové </w:t>
                                    </w:r>
                                    <w:proofErr w:type="gramStart"/>
                                    <w:r>
                                      <w:rPr>
                                        <w:rStyle w:val="FontStyle26"/>
                                      </w:rPr>
                                      <w:t>číslo     Označení</w:t>
                                    </w:r>
                                    <w:proofErr w:type="gramEnd"/>
                                    <w:r>
                                      <w:rPr>
                                        <w:rStyle w:val="FontStyle26"/>
                                      </w:rPr>
                                      <w:t xml:space="preserve"> položky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left="881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 xml:space="preserve">Původní cena %slevy </w:t>
                                    </w:r>
                                    <w:proofErr w:type="spellStart"/>
                                    <w:proofErr w:type="gramStart"/>
                                    <w:r>
                                      <w:rPr>
                                        <w:rStyle w:val="FontStyle26"/>
                                      </w:rPr>
                                      <w:t>Jednot</w:t>
                                    </w:r>
                                    <w:proofErr w:type="gramEnd"/>
                                    <w:r>
                                      <w:rPr>
                                        <w:rStyle w:val="FontStyle26"/>
                                      </w:rPr>
                                      <w:t>.</w:t>
                                    </w:r>
                                    <w:proofErr w:type="gramStart"/>
                                    <w:r>
                                      <w:rPr>
                                        <w:rStyle w:val="FontStyle26"/>
                                      </w:rPr>
                                      <w:t>cena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Style w:val="FontStyle26"/>
                                      </w:rPr>
                                      <w:t xml:space="preserve"> Množství MJ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Celkem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65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sDPH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Prohlídka stavby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1 500,00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1 815,00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Příprava + Sběr podkladů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1 210,00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Koordinace s investorem-požadavky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2 420,00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Návrh elektroinstalace osvětlení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18 000,00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5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21 780,00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Návrh elektroinstalace zásuvky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1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12 000,00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14520,00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Návrh elektroinstalace Bar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61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7 500,00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0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9 075,00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 xml:space="preserve">Výpočet </w:t>
                                    </w: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osvětelní</w:t>
                                    </w:r>
                                    <w:proofErr w:type="spellEnd"/>
                                    <w:r>
                                      <w:rPr>
                                        <w:rStyle w:val="FontStyle26"/>
                                      </w:rPr>
                                      <w:t xml:space="preserve"> prostor BARU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0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2 420,00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Návrh rozváděče elektro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12000,00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14 520,00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Technická zpráva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6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4 500,00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50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5 445,00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Specifikace materiálu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6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2 500,00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46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3 025,00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Rozpočet elektro</w:t>
                                    </w: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6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43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4 840,00</w:t>
                                    </w:r>
                                  </w:p>
                                </w:tc>
                              </w:tr>
                              <w:tr w:rsidR="00CC5EE8">
                                <w:tc>
                                  <w:tcPr>
                                    <w:tcW w:w="357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69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C5EE8">
                                    <w:pPr>
                                      <w:pStyle w:val="Style1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154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67 000,00</w:t>
                                    </w:r>
                                  </w:p>
                                </w:tc>
                                <w:tc>
                                  <w:tcPr>
                                    <w:tcW w:w="107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CC5EE8" w:rsidRDefault="00CA2DBC">
                                    <w:pPr>
                                      <w:pStyle w:val="Style16"/>
                                      <w:widowControl/>
                                      <w:ind w:right="48"/>
                                      <w:jc w:val="right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81 070,00</w:t>
                                    </w:r>
                                  </w:p>
                                </w:tc>
                              </w:tr>
                            </w:tbl>
                            <w:p w:rsidR="00000000" w:rsidRDefault="004028F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7925"/>
                            <a:ext cx="7001" cy="20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5EE8" w:rsidRDefault="00CA2DBC">
                              <w:pPr>
                                <w:pStyle w:val="Style15"/>
                                <w:widowControl/>
                                <w:jc w:val="both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Celkem v původních cenách před slevou: 67 000,00 + DPH = 81 070,00. Celkem sleva: 0,00 + DPH = 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-17.65pt;margin-top:0;width:527.75pt;height:212.55pt;z-index:251659264;mso-wrap-distance-left:1.9pt;mso-wrap-distance-right:1.9pt;mso-wrap-distance-bottom:66pt;mso-position-horizontal-relative:margin" coordorigin="922,3883" coordsize="10555,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2;top:3883;width:10555;height:3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576"/>
                          <w:gridCol w:w="4699"/>
                          <w:gridCol w:w="1205"/>
                          <w:gridCol w:w="1075"/>
                        </w:tblGrid>
                        <w:tr w:rsidR="00CC5EE8">
                          <w:tc>
                            <w:tcPr>
                              <w:tcW w:w="357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 xml:space="preserve">Ceníkové </w:t>
                              </w:r>
                              <w:proofErr w:type="gramStart"/>
                              <w:r>
                                <w:rPr>
                                  <w:rStyle w:val="FontStyle26"/>
                                </w:rPr>
                                <w:t>číslo     Označení</w:t>
                              </w:r>
                              <w:proofErr w:type="gramEnd"/>
                              <w:r>
                                <w:rPr>
                                  <w:rStyle w:val="FontStyle26"/>
                                </w:rPr>
                                <w:t xml:space="preserve"> položky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left="881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 xml:space="preserve">Původní cena %slevy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Style w:val="FontStyle26"/>
                                </w:rPr>
                                <w:t>Jednot</w:t>
                              </w:r>
                              <w:proofErr w:type="gramEnd"/>
                              <w:r>
                                <w:rPr>
                                  <w:rStyle w:val="FontStyle26"/>
                                </w:rPr>
                                <w:t>.</w:t>
                              </w:r>
                              <w:proofErr w:type="gramStart"/>
                              <w:r>
                                <w:rPr>
                                  <w:rStyle w:val="FontStyle26"/>
                                </w:rPr>
                                <w:t>cena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Style w:val="FontStyle26"/>
                                </w:rPr>
                                <w:t xml:space="preserve"> Množství MJ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Celkem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65"/>
                                <w:jc w:val="right"/>
                                <w:rPr>
                                  <w:rStyle w:val="FontStyle26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sDPH</w:t>
                              </w:r>
                              <w:proofErr w:type="spellEnd"/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Prohlídka stavby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1 500,00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1 815,00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Příprava + Sběr podkladů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1 210,00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Koordinace s investorem-požadavky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2 420,00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Návrh elektroinstalace osvětlení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18 000,00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5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21 780,00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Návrh elektroinstalace zásuvky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1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12 000,00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14520,00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Návrh elektroinstalace Bar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61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7 500,00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0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9 075,00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 xml:space="preserve">Výpočet </w:t>
                              </w: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osvětelní</w:t>
                              </w:r>
                              <w:proofErr w:type="spellEnd"/>
                              <w:r>
                                <w:rPr>
                                  <w:rStyle w:val="FontStyle26"/>
                                </w:rPr>
                                <w:t xml:space="preserve"> prostor BARU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0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2 420,00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Návrh rozváděče elektro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12000,00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14 520,00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Technická zpráva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6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4 500,00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50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5 445,00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Specifikace materiálu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6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2 500,00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46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3 025,00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Rozpočet elektro</w:t>
                              </w: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6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43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4 840,00</w:t>
                              </w:r>
                            </w:p>
                          </w:tc>
                        </w:tr>
                        <w:tr w:rsidR="00CC5EE8">
                          <w:tc>
                            <w:tcPr>
                              <w:tcW w:w="3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469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C5EE8">
                              <w:pPr>
                                <w:pStyle w:val="Style17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154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67 000,00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CC5EE8" w:rsidRDefault="00CA2DBC">
                              <w:pPr>
                                <w:pStyle w:val="Style16"/>
                                <w:widowControl/>
                                <w:ind w:right="48"/>
                                <w:jc w:val="right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81 070,00</w:t>
                              </w:r>
                            </w:p>
                          </w:tc>
                        </w:tr>
                      </w:tbl>
                      <w:p w:rsidR="00000000" w:rsidRDefault="004028FB"/>
                    </w:txbxContent>
                  </v:textbox>
                </v:shape>
                <v:shape id="Text Box 5" o:spid="_x0000_s1029" type="#_x0000_t202" style="position:absolute;left:1023;top:7925;width:7001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CC5EE8" w:rsidRDefault="00CA2DBC">
                        <w:pPr>
                          <w:pStyle w:val="Style15"/>
                          <w:widowControl/>
                          <w:jc w:val="both"/>
                          <w:rPr>
                            <w:rStyle w:val="FontStyle26"/>
                          </w:rPr>
                        </w:pPr>
                        <w:r>
                          <w:rPr>
                            <w:rStyle w:val="FontStyle26"/>
                          </w:rPr>
                          <w:t>Celkem v původních cenách před slevou: 67 000,00 + DPH = 81 070,00. Celkem sleva: 0,00 + DPH = 0,00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Style w:val="FontStyle26"/>
        </w:rPr>
        <w:t>Sestavil: Filip Lerch tel.</w:t>
      </w:r>
    </w:p>
    <w:p w:rsidR="00CC5EE8" w:rsidRDefault="00CA2DBC">
      <w:pPr>
        <w:pStyle w:val="Style9"/>
        <w:widowControl/>
        <w:jc w:val="both"/>
        <w:rPr>
          <w:rStyle w:val="FontStyle26"/>
        </w:rPr>
      </w:pPr>
      <w:r>
        <w:rPr>
          <w:rStyle w:val="FontStyle26"/>
        </w:rPr>
        <w:br w:type="column"/>
      </w:r>
      <w:r>
        <w:rPr>
          <w:rStyle w:val="FontStyle26"/>
        </w:rPr>
        <w:lastRenderedPageBreak/>
        <w:t>Vyřizuje: Filip Lerch tel.</w:t>
      </w:r>
    </w:p>
    <w:p w:rsidR="00CC5EE8" w:rsidRDefault="00CC5EE8">
      <w:pPr>
        <w:pStyle w:val="Style9"/>
        <w:widowControl/>
        <w:jc w:val="both"/>
        <w:rPr>
          <w:rStyle w:val="FontStyle26"/>
        </w:rPr>
        <w:sectPr w:rsidR="00CC5EE8">
          <w:type w:val="continuous"/>
          <w:pgSz w:w="11905" w:h="16837"/>
          <w:pgMar w:top="364" w:right="4259" w:bottom="1440" w:left="1027" w:header="708" w:footer="708" w:gutter="0"/>
          <w:cols w:num="2" w:space="708" w:equalWidth="0">
            <w:col w:w="1536" w:space="3518"/>
            <w:col w:w="1564"/>
          </w:cols>
          <w:noEndnote/>
        </w:sectPr>
      </w:pPr>
    </w:p>
    <w:p w:rsidR="00CA2DBC" w:rsidRDefault="00CA2DBC">
      <w:pPr>
        <w:widowControl/>
        <w:rPr>
          <w:rStyle w:val="FontStyle26"/>
        </w:rPr>
      </w:pPr>
    </w:p>
    <w:sectPr w:rsidR="00CA2DBC">
      <w:type w:val="continuous"/>
      <w:pgSz w:w="11905" w:h="16837"/>
      <w:pgMar w:top="364" w:right="675" w:bottom="1440" w:left="67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BC" w:rsidRDefault="00CA2DBC">
      <w:r>
        <w:separator/>
      </w:r>
    </w:p>
  </w:endnote>
  <w:endnote w:type="continuationSeparator" w:id="0">
    <w:p w:rsidR="00CA2DBC" w:rsidRDefault="00CA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BC" w:rsidRDefault="00CA2DBC">
      <w:r>
        <w:separator/>
      </w:r>
    </w:p>
  </w:footnote>
  <w:footnote w:type="continuationSeparator" w:id="0">
    <w:p w:rsidR="00CA2DBC" w:rsidRDefault="00CA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Default="004028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BC"/>
    <w:rsid w:val="004028FB"/>
    <w:rsid w:val="00CA2DBC"/>
    <w:rsid w:val="00CC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50" w:lineRule="exact"/>
      <w:jc w:val="both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52" w:lineRule="exact"/>
      <w:jc w:val="both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character" w:customStyle="1" w:styleId="FontStyle19">
    <w:name w:val="Font Style19"/>
    <w:basedOn w:val="Standardnpsmoodstavce"/>
    <w:uiPriority w:val="99"/>
    <w:rPr>
      <w:rFonts w:ascii="MS Mincho" w:eastAsia="MS Mincho" w:cs="MS Mincho"/>
      <w:b/>
      <w:bCs/>
      <w:sz w:val="12"/>
      <w:szCs w:val="12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sz w:val="22"/>
      <w:szCs w:val="22"/>
    </w:rPr>
  </w:style>
  <w:style w:type="character" w:customStyle="1" w:styleId="FontStyle22">
    <w:name w:val="Font Style22"/>
    <w:basedOn w:val="Standardnpsmoodstavce"/>
    <w:uiPriority w:val="99"/>
    <w:rPr>
      <w:rFonts w:ascii="Arial Narrow" w:hAnsi="Arial Narrow" w:cs="Arial Narrow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Arial Narrow" w:hAnsi="Arial Narrow" w:cs="Arial Narrow"/>
      <w:b/>
      <w:bCs/>
      <w:spacing w:val="-10"/>
      <w:sz w:val="38"/>
      <w:szCs w:val="38"/>
    </w:rPr>
  </w:style>
  <w:style w:type="character" w:customStyle="1" w:styleId="FontStyle24">
    <w:name w:val="Font Style24"/>
    <w:basedOn w:val="Standardnpsmoodstavce"/>
    <w:uiPriority w:val="99"/>
    <w:rPr>
      <w:rFonts w:ascii="Arial Narrow" w:hAnsi="Arial Narrow" w:cs="Arial Narrow"/>
      <w:b/>
      <w:bCs/>
      <w:sz w:val="24"/>
      <w:szCs w:val="24"/>
    </w:rPr>
  </w:style>
  <w:style w:type="character" w:customStyle="1" w:styleId="FontStyle25">
    <w:name w:val="Font Style25"/>
    <w:basedOn w:val="Standardnpsmoodstavce"/>
    <w:uiPriority w:val="99"/>
    <w:rPr>
      <w:rFonts w:ascii="Arial Narrow" w:hAnsi="Arial Narrow" w:cs="Arial Narrow"/>
      <w:i/>
      <w:iCs/>
      <w:sz w:val="18"/>
      <w:szCs w:val="18"/>
    </w:rPr>
  </w:style>
  <w:style w:type="character" w:customStyle="1" w:styleId="FontStyle26">
    <w:name w:val="Font Style26"/>
    <w:basedOn w:val="Standardnpsmoodstavce"/>
    <w:uiPriority w:val="99"/>
    <w:rPr>
      <w:rFonts w:ascii="Arial Narrow" w:hAnsi="Arial Narrow" w:cs="Arial Narrow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402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8FB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8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8FB"/>
    <w:rPr>
      <w:rFonts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50" w:lineRule="exact"/>
      <w:jc w:val="both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52" w:lineRule="exact"/>
      <w:jc w:val="both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character" w:customStyle="1" w:styleId="FontStyle19">
    <w:name w:val="Font Style19"/>
    <w:basedOn w:val="Standardnpsmoodstavce"/>
    <w:uiPriority w:val="99"/>
    <w:rPr>
      <w:rFonts w:ascii="MS Mincho" w:eastAsia="MS Mincho" w:cs="MS Mincho"/>
      <w:b/>
      <w:bCs/>
      <w:sz w:val="12"/>
      <w:szCs w:val="12"/>
    </w:rPr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i/>
      <w:iCs/>
      <w:sz w:val="10"/>
      <w:szCs w:val="10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sz w:val="22"/>
      <w:szCs w:val="22"/>
    </w:rPr>
  </w:style>
  <w:style w:type="character" w:customStyle="1" w:styleId="FontStyle22">
    <w:name w:val="Font Style22"/>
    <w:basedOn w:val="Standardnpsmoodstavce"/>
    <w:uiPriority w:val="99"/>
    <w:rPr>
      <w:rFonts w:ascii="Arial Narrow" w:hAnsi="Arial Narrow" w:cs="Arial Narrow"/>
      <w:sz w:val="20"/>
      <w:szCs w:val="20"/>
    </w:rPr>
  </w:style>
  <w:style w:type="character" w:customStyle="1" w:styleId="FontStyle23">
    <w:name w:val="Font Style23"/>
    <w:basedOn w:val="Standardnpsmoodstavce"/>
    <w:uiPriority w:val="99"/>
    <w:rPr>
      <w:rFonts w:ascii="Arial Narrow" w:hAnsi="Arial Narrow" w:cs="Arial Narrow"/>
      <w:b/>
      <w:bCs/>
      <w:spacing w:val="-10"/>
      <w:sz w:val="38"/>
      <w:szCs w:val="38"/>
    </w:rPr>
  </w:style>
  <w:style w:type="character" w:customStyle="1" w:styleId="FontStyle24">
    <w:name w:val="Font Style24"/>
    <w:basedOn w:val="Standardnpsmoodstavce"/>
    <w:uiPriority w:val="99"/>
    <w:rPr>
      <w:rFonts w:ascii="Arial Narrow" w:hAnsi="Arial Narrow" w:cs="Arial Narrow"/>
      <w:b/>
      <w:bCs/>
      <w:sz w:val="24"/>
      <w:szCs w:val="24"/>
    </w:rPr>
  </w:style>
  <w:style w:type="character" w:customStyle="1" w:styleId="FontStyle25">
    <w:name w:val="Font Style25"/>
    <w:basedOn w:val="Standardnpsmoodstavce"/>
    <w:uiPriority w:val="99"/>
    <w:rPr>
      <w:rFonts w:ascii="Arial Narrow" w:hAnsi="Arial Narrow" w:cs="Arial Narrow"/>
      <w:i/>
      <w:iCs/>
      <w:sz w:val="18"/>
      <w:szCs w:val="18"/>
    </w:rPr>
  </w:style>
  <w:style w:type="character" w:customStyle="1" w:styleId="FontStyle26">
    <w:name w:val="Font Style26"/>
    <w:basedOn w:val="Standardnpsmoodstavce"/>
    <w:uiPriority w:val="99"/>
    <w:rPr>
      <w:rFonts w:ascii="Arial Narrow" w:hAnsi="Arial Narrow" w:cs="Arial Narrow"/>
      <w:sz w:val="18"/>
      <w:szCs w:val="18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402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8FB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8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8FB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yvel@syvel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yve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475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2018-03-26T07:49:00Z</dcterms:created>
  <dcterms:modified xsi:type="dcterms:W3CDTF">2018-03-26T07:50:00Z</dcterms:modified>
</cp:coreProperties>
</file>