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4260D550"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646914">
        <w:rPr>
          <w:rFonts w:ascii="Arial Narrow" w:hAnsi="Arial Narrow"/>
          <w:sz w:val="24"/>
          <w:szCs w:val="24"/>
        </w:rPr>
        <w:t>t</w:t>
      </w:r>
      <w:r>
        <w:rPr>
          <w:rFonts w:ascii="Arial Narrow" w:hAnsi="Arial Narrow"/>
          <w:sz w:val="24"/>
          <w:szCs w:val="24"/>
        </w:rPr>
        <w:t>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347191C0" w:rsidR="00482E9F" w:rsidRDefault="005634DB"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7FAFC680"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r w:rsidR="005634DB">
        <w:rPr>
          <w:rFonts w:ascii="Arial Narrow" w:hAnsi="Arial Narrow"/>
          <w:b/>
          <w:sz w:val="24"/>
          <w:szCs w:val="24"/>
        </w:rPr>
        <w:t>BTL zdravotnická technika, a.s.</w:t>
      </w:r>
    </w:p>
    <w:p w14:paraId="2DEF98D1" w14:textId="41D68F0D"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005634DB">
        <w:rPr>
          <w:rFonts w:ascii="Arial Narrow" w:hAnsi="Arial Narrow"/>
          <w:sz w:val="24"/>
          <w:szCs w:val="24"/>
        </w:rPr>
        <w:t>v obchodním rejstříku vedeného Městským soudem v Brně v oddíle B, vložce 3889</w:t>
      </w:r>
    </w:p>
    <w:p w14:paraId="5BC64BC9" w14:textId="0C1244F3" w:rsidR="00482E9F" w:rsidRPr="005634DB"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5634DB" w:rsidRPr="005634DB">
        <w:rPr>
          <w:rFonts w:ascii="Arial Narrow" w:hAnsi="Arial Narrow"/>
          <w:sz w:val="24"/>
          <w:szCs w:val="24"/>
        </w:rPr>
        <w:t>Makovského náměstí 2, 616 00 Brno</w:t>
      </w:r>
    </w:p>
    <w:p w14:paraId="6709D7EC" w14:textId="4B2FBD5F" w:rsidR="005634DB"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5634DB">
        <w:rPr>
          <w:rFonts w:ascii="Arial Narrow" w:hAnsi="Arial Narrow"/>
          <w:sz w:val="24"/>
          <w:szCs w:val="24"/>
        </w:rPr>
        <w:t>26884143</w:t>
      </w:r>
    </w:p>
    <w:p w14:paraId="477838C1" w14:textId="4CCC492B"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5634DB">
        <w:rPr>
          <w:rFonts w:ascii="Arial Narrow" w:hAnsi="Arial Narrow"/>
          <w:sz w:val="24"/>
          <w:szCs w:val="24"/>
        </w:rPr>
        <w:t>CZ26884143</w:t>
      </w:r>
    </w:p>
    <w:p w14:paraId="68824208" w14:textId="337BB533" w:rsidR="005634DB"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sidR="005634DB">
        <w:rPr>
          <w:rFonts w:ascii="Arial Narrow" w:hAnsi="Arial Narrow"/>
          <w:sz w:val="24"/>
          <w:szCs w:val="24"/>
        </w:rPr>
        <w:t xml:space="preserve"> Ing. Radovan Sedlář, prokurista</w:t>
      </w:r>
    </w:p>
    <w:p w14:paraId="50E267A2" w14:textId="35D8D8E0"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7C0E7AF3"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CC6498">
        <w:rPr>
          <w:rFonts w:ascii="Arial Narrow" w:hAnsi="Arial Narrow"/>
          <w:sz w:val="24"/>
          <w:szCs w:val="24"/>
        </w:rPr>
        <w:t>znění (dále jen „</w:t>
      </w:r>
      <w:r w:rsidRPr="00CC6498">
        <w:rPr>
          <w:rFonts w:ascii="Arial Narrow" w:hAnsi="Arial Narrow"/>
          <w:b/>
          <w:sz w:val="24"/>
          <w:szCs w:val="24"/>
        </w:rPr>
        <w:t>občanský zákoník</w:t>
      </w:r>
      <w:r w:rsidRPr="00CC6498">
        <w:rPr>
          <w:rFonts w:ascii="Arial Narrow" w:hAnsi="Arial Narrow"/>
          <w:sz w:val="24"/>
          <w:szCs w:val="24"/>
        </w:rPr>
        <w:t xml:space="preserve">“), jako výsledek </w:t>
      </w:r>
      <w:r w:rsidR="003D7EE2" w:rsidRPr="00CC6498">
        <w:rPr>
          <w:rFonts w:ascii="Arial Narrow" w:hAnsi="Arial Narrow"/>
          <w:sz w:val="24"/>
          <w:szCs w:val="24"/>
        </w:rPr>
        <w:t xml:space="preserve">otevřeného </w:t>
      </w:r>
      <w:r w:rsidRPr="00CC6498">
        <w:rPr>
          <w:rFonts w:ascii="Arial Narrow" w:hAnsi="Arial Narrow"/>
          <w:sz w:val="24"/>
          <w:szCs w:val="24"/>
        </w:rPr>
        <w:t>zadávacího řízení na realizaci</w:t>
      </w:r>
      <w:r w:rsidR="001C7E73" w:rsidRPr="00CC6498">
        <w:rPr>
          <w:rFonts w:ascii="Arial Narrow" w:hAnsi="Arial Narrow"/>
          <w:sz w:val="24"/>
          <w:szCs w:val="24"/>
        </w:rPr>
        <w:t xml:space="preserve"> </w:t>
      </w:r>
      <w:r w:rsidR="007C4200">
        <w:rPr>
          <w:rFonts w:ascii="Arial Narrow" w:hAnsi="Arial Narrow"/>
          <w:b/>
          <w:sz w:val="24"/>
          <w:szCs w:val="24"/>
          <w:u w:val="single"/>
        </w:rPr>
        <w:t>Části 6</w:t>
      </w:r>
      <w:r w:rsidR="003044BE" w:rsidRPr="00CC6498">
        <w:rPr>
          <w:rFonts w:ascii="Arial Narrow" w:hAnsi="Arial Narrow"/>
          <w:sz w:val="24"/>
          <w:szCs w:val="24"/>
        </w:rPr>
        <w:t xml:space="preserve"> </w:t>
      </w:r>
      <w:r w:rsidR="003D7EE2" w:rsidRPr="00CC6498">
        <w:rPr>
          <w:rFonts w:ascii="Arial Narrow" w:hAnsi="Arial Narrow"/>
          <w:sz w:val="24"/>
          <w:szCs w:val="24"/>
        </w:rPr>
        <w:t xml:space="preserve">nadlimitní </w:t>
      </w:r>
      <w:r w:rsidR="001C7E73" w:rsidRPr="00CC6498">
        <w:rPr>
          <w:rFonts w:ascii="Arial Narrow" w:hAnsi="Arial Narrow"/>
          <w:sz w:val="24"/>
          <w:szCs w:val="24"/>
        </w:rPr>
        <w:t>veřejn</w:t>
      </w:r>
      <w:r w:rsidR="008D781A" w:rsidRPr="00CC6498">
        <w:rPr>
          <w:rFonts w:ascii="Arial Narrow" w:hAnsi="Arial Narrow"/>
          <w:sz w:val="24"/>
          <w:szCs w:val="24"/>
        </w:rPr>
        <w:t>é</w:t>
      </w:r>
      <w:r w:rsidR="001C7E73" w:rsidRPr="00CC6498">
        <w:rPr>
          <w:rFonts w:ascii="Arial Narrow" w:hAnsi="Arial Narrow"/>
          <w:sz w:val="24"/>
          <w:szCs w:val="24"/>
        </w:rPr>
        <w:t xml:space="preserve"> zakázk</w:t>
      </w:r>
      <w:r w:rsidR="008D781A" w:rsidRPr="00CC6498">
        <w:rPr>
          <w:rFonts w:ascii="Arial Narrow" w:hAnsi="Arial Narrow"/>
          <w:sz w:val="24"/>
          <w:szCs w:val="24"/>
        </w:rPr>
        <w:t>y</w:t>
      </w:r>
      <w:r w:rsidR="003D7EE2" w:rsidRPr="00CC6498">
        <w:rPr>
          <w:rFonts w:ascii="Arial Narrow" w:hAnsi="Arial Narrow"/>
          <w:sz w:val="24"/>
          <w:szCs w:val="24"/>
        </w:rPr>
        <w:t xml:space="preserve"> </w:t>
      </w:r>
      <w:r w:rsidRPr="00CC6498">
        <w:rPr>
          <w:rFonts w:ascii="Arial Narrow" w:hAnsi="Arial Narrow"/>
          <w:sz w:val="24"/>
          <w:szCs w:val="24"/>
        </w:rPr>
        <w:t>nazvané „</w:t>
      </w:r>
      <w:r w:rsidR="00646914">
        <w:rPr>
          <w:rFonts w:ascii="Arial Narrow" w:hAnsi="Arial Narrow"/>
          <w:sz w:val="24"/>
          <w:szCs w:val="24"/>
        </w:rPr>
        <w:t>Vybavení pro Rehabilitaci</w:t>
      </w:r>
      <w:r w:rsidR="003D7EE2" w:rsidRPr="00CC6498">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609BA9EB"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646914">
        <w:rPr>
          <w:rFonts w:ascii="Arial Narrow" w:hAnsi="Arial Narrow"/>
          <w:b/>
          <w:sz w:val="24"/>
          <w:szCs w:val="24"/>
        </w:rPr>
        <w:t>1</w:t>
      </w:r>
      <w:r w:rsidR="00A1131F" w:rsidRPr="00A1131F">
        <w:rPr>
          <w:rFonts w:ascii="Arial Narrow" w:hAnsi="Arial Narrow"/>
          <w:b/>
          <w:sz w:val="24"/>
          <w:szCs w:val="24"/>
        </w:rPr>
        <w:t>ks</w:t>
      </w:r>
      <w:r w:rsidR="00A1131F">
        <w:rPr>
          <w:rFonts w:ascii="Arial Narrow" w:hAnsi="Arial Narrow"/>
          <w:sz w:val="24"/>
          <w:szCs w:val="24"/>
        </w:rPr>
        <w:t xml:space="preserve"> </w:t>
      </w:r>
      <w:r w:rsidR="00646914">
        <w:rPr>
          <w:rFonts w:ascii="Arial Narrow" w:hAnsi="Arial Narrow"/>
          <w:b/>
          <w:sz w:val="24"/>
          <w:szCs w:val="24"/>
        </w:rPr>
        <w:t>zdra</w:t>
      </w:r>
      <w:r w:rsidR="007C4200">
        <w:rPr>
          <w:rFonts w:ascii="Arial Narrow" w:hAnsi="Arial Narrow"/>
          <w:b/>
          <w:sz w:val="24"/>
          <w:szCs w:val="24"/>
        </w:rPr>
        <w:t>votnického prostředku - „Přístroj pro vakuovou terapii</w:t>
      </w:r>
      <w:r w:rsidR="00646914">
        <w:rPr>
          <w:rFonts w:ascii="Arial Narrow" w:hAnsi="Arial Narrow"/>
          <w:b/>
          <w:sz w:val="24"/>
          <w:szCs w:val="24"/>
        </w:rPr>
        <w:t>“</w:t>
      </w:r>
      <w:r w:rsidR="000967EF">
        <w:rPr>
          <w:rFonts w:ascii="Arial Narrow" w:hAnsi="Arial Narrow"/>
          <w:b/>
          <w:sz w:val="24"/>
          <w:szCs w:val="24"/>
        </w:rPr>
        <w:t xml:space="preserve">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 xml:space="preserve">uvedené v příloze </w:t>
      </w:r>
      <w:proofErr w:type="gramStart"/>
      <w:r w:rsidR="00EB46DE">
        <w:rPr>
          <w:rFonts w:ascii="Arial Narrow" w:hAnsi="Arial Narrow"/>
          <w:sz w:val="24"/>
          <w:szCs w:val="24"/>
        </w:rPr>
        <w:t>č. 2</w:t>
      </w:r>
      <w:r>
        <w:rPr>
          <w:rFonts w:ascii="Arial Narrow" w:hAnsi="Arial Narrow"/>
          <w:sz w:val="24"/>
          <w:szCs w:val="24"/>
        </w:rPr>
        <w:t xml:space="preserve"> této</w:t>
      </w:r>
      <w:proofErr w:type="gramEnd"/>
      <w:r>
        <w:rPr>
          <w:rFonts w:ascii="Arial Narrow" w:hAnsi="Arial Narrow"/>
          <w:sz w:val="24"/>
          <w:szCs w:val="24"/>
        </w:rPr>
        <w:t xml:space="preserve">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1FC1A424"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Kupující se zavazuje zařízení převzít a zaplatit prodávaj</w:t>
      </w:r>
      <w:r w:rsidR="00541654">
        <w:rPr>
          <w:rFonts w:ascii="Arial Narrow" w:hAnsi="Arial Narrow"/>
          <w:sz w:val="24"/>
          <w:szCs w:val="24"/>
        </w:rPr>
        <w:t>ícímu níže uvedenou kupní cenu.</w:t>
      </w:r>
    </w:p>
    <w:p w14:paraId="62C2BE89" w14:textId="50E98CC6" w:rsidR="00541654" w:rsidRPr="00541654" w:rsidRDefault="00541654" w:rsidP="00541654">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Prodávající</w:t>
      </w:r>
      <w:r w:rsidRPr="009A1647">
        <w:rPr>
          <w:rFonts w:ascii="Arial Narrow" w:hAnsi="Arial Narrow"/>
          <w:sz w:val="24"/>
          <w:szCs w:val="24"/>
        </w:rPr>
        <w:t xml:space="preserve"> je povinen provádět servisní činnost pouze prostřednictvím řádně kvalifikovaných osob. Požadavky na kvalifikaci jednotlivých osob poskytujících servisní činnost jsou uvedeny v příloze č. </w:t>
      </w:r>
      <w:r>
        <w:rPr>
          <w:rFonts w:ascii="Arial Narrow" w:hAnsi="Arial Narrow"/>
          <w:sz w:val="24"/>
          <w:szCs w:val="24"/>
        </w:rPr>
        <w:t>6</w:t>
      </w:r>
      <w:r w:rsidRPr="009A1647">
        <w:rPr>
          <w:rFonts w:ascii="Arial Narrow" w:hAnsi="Arial Narrow"/>
          <w:sz w:val="24"/>
          <w:szCs w:val="24"/>
        </w:rPr>
        <w:t xml:space="preserve"> této smlouvy. Výměna jakékoli z těchto osob bude možná pouze se souhlasem </w:t>
      </w:r>
      <w:r>
        <w:rPr>
          <w:rFonts w:ascii="Arial Narrow" w:hAnsi="Arial Narrow"/>
          <w:sz w:val="24"/>
          <w:szCs w:val="24"/>
        </w:rPr>
        <w:t>Kupujícího</w:t>
      </w:r>
      <w:r w:rsidRPr="009A1647">
        <w:rPr>
          <w:rFonts w:ascii="Arial Narrow" w:hAnsi="Arial Narrow"/>
          <w:sz w:val="24"/>
          <w:szCs w:val="24"/>
        </w:rPr>
        <w:t xml:space="preserve">, který nebude bezdůvodně zdržován ani odpírán, pokud však </w:t>
      </w:r>
      <w:r w:rsidRPr="005F081E">
        <w:rPr>
          <w:rFonts w:ascii="Arial Narrow" w:hAnsi="Arial Narrow"/>
          <w:sz w:val="24"/>
          <w:szCs w:val="24"/>
        </w:rPr>
        <w:t>Prodávající</w:t>
      </w:r>
      <w:r w:rsidRPr="009A1647">
        <w:rPr>
          <w:rFonts w:ascii="Arial Narrow" w:hAnsi="Arial Narrow"/>
          <w:sz w:val="24"/>
          <w:szCs w:val="24"/>
        </w:rPr>
        <w:t xml:space="preserve"> prokáže, že nový člen týmu disponuje minimálně stejnou kvalifikací, jako člen nahrazovaný; nedodržení povinnosti podle tohoto odstavce bude důvodem pro odstoupení od smlouvy.</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48CA880E"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Pr="00FD6F3F">
        <w:rPr>
          <w:rFonts w:ascii="Arial Narrow" w:hAnsi="Arial Narrow"/>
          <w:sz w:val="24"/>
          <w:szCs w:val="24"/>
        </w:rPr>
        <w:t xml:space="preserve">na </w:t>
      </w:r>
      <w:r w:rsidR="00081149" w:rsidRPr="00FD6F3F">
        <w:rPr>
          <w:rFonts w:ascii="Arial Narrow" w:hAnsi="Arial Narrow"/>
          <w:sz w:val="24"/>
          <w:szCs w:val="24"/>
        </w:rPr>
        <w:t>Č</w:t>
      </w:r>
      <w:r w:rsidR="003044BE" w:rsidRPr="00FD6F3F">
        <w:rPr>
          <w:rFonts w:ascii="Arial Narrow" w:hAnsi="Arial Narrow"/>
          <w:sz w:val="24"/>
          <w:szCs w:val="24"/>
        </w:rPr>
        <w:t>ást</w:t>
      </w:r>
      <w:r w:rsidR="007C4200">
        <w:rPr>
          <w:rFonts w:ascii="Arial Narrow" w:hAnsi="Arial Narrow"/>
          <w:sz w:val="24"/>
          <w:szCs w:val="24"/>
        </w:rPr>
        <w:t xml:space="preserve"> 6</w:t>
      </w:r>
      <w:r w:rsidR="003044BE">
        <w:rPr>
          <w:rFonts w:ascii="Arial Narrow" w:hAnsi="Arial Narrow"/>
          <w:sz w:val="24"/>
          <w:szCs w:val="24"/>
        </w:rPr>
        <w:t xml:space="preserve"> veřejné zakázky</w:t>
      </w:r>
      <w:r w:rsidRPr="005F081E">
        <w:rPr>
          <w:rFonts w:ascii="Arial Narrow" w:hAnsi="Arial Narrow"/>
          <w:sz w:val="24"/>
          <w:szCs w:val="24"/>
        </w:rPr>
        <w:t xml:space="preserve">. </w:t>
      </w:r>
    </w:p>
    <w:p w14:paraId="0BA1CFEF" w14:textId="395503FA" w:rsidR="00482E9F" w:rsidRPr="005634DB" w:rsidRDefault="00482E9F" w:rsidP="000F7615">
      <w:pPr>
        <w:numPr>
          <w:ilvl w:val="0"/>
          <w:numId w:val="4"/>
        </w:numPr>
        <w:spacing w:after="0"/>
        <w:ind w:left="284" w:hanging="284"/>
        <w:jc w:val="both"/>
        <w:rPr>
          <w:rFonts w:ascii="Arial Narrow" w:hAnsi="Arial Narrow"/>
          <w:sz w:val="24"/>
          <w:szCs w:val="24"/>
        </w:rPr>
      </w:pPr>
      <w:r w:rsidRPr="005634DB">
        <w:rPr>
          <w:rFonts w:ascii="Arial Narrow" w:hAnsi="Arial Narrow"/>
          <w:sz w:val="24"/>
          <w:szCs w:val="24"/>
        </w:rPr>
        <w:t xml:space="preserve">Kupní cena činí: </w:t>
      </w:r>
      <w:r w:rsidR="005634DB" w:rsidRPr="005634DB">
        <w:rPr>
          <w:rFonts w:ascii="Arial Narrow" w:hAnsi="Arial Narrow"/>
          <w:sz w:val="24"/>
          <w:szCs w:val="24"/>
        </w:rPr>
        <w:t>56870,00</w:t>
      </w:r>
      <w:r w:rsidRPr="005634DB">
        <w:rPr>
          <w:rFonts w:ascii="Arial Narrow" w:hAnsi="Arial Narrow"/>
          <w:sz w:val="24"/>
          <w:szCs w:val="24"/>
        </w:rPr>
        <w:t xml:space="preserve">Kč bez DPH, tj. </w:t>
      </w:r>
      <w:r w:rsidR="005634DB">
        <w:rPr>
          <w:rFonts w:ascii="Arial Narrow" w:hAnsi="Arial Narrow"/>
          <w:sz w:val="24"/>
          <w:szCs w:val="24"/>
        </w:rPr>
        <w:t>68812,70</w:t>
      </w:r>
      <w:r w:rsidRPr="005634DB">
        <w:rPr>
          <w:rFonts w:ascii="Arial Narrow" w:hAnsi="Arial Narrow"/>
          <w:sz w:val="24"/>
          <w:szCs w:val="24"/>
        </w:rPr>
        <w:t xml:space="preserve"> Kč vč. </w:t>
      </w:r>
      <w:r w:rsidR="005634DB">
        <w:rPr>
          <w:rFonts w:ascii="Arial Narrow" w:hAnsi="Arial Narrow"/>
          <w:sz w:val="24"/>
          <w:szCs w:val="24"/>
        </w:rPr>
        <w:t xml:space="preserve">21 </w:t>
      </w:r>
      <w:r w:rsidRPr="005634DB">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w:t>
      </w:r>
      <w:r w:rsidR="003044BE" w:rsidRPr="00FD6F3F">
        <w:rPr>
          <w:rFonts w:ascii="Arial Narrow" w:hAnsi="Arial Narrow"/>
          <w:sz w:val="24"/>
          <w:szCs w:val="24"/>
        </w:rPr>
        <w:t>být kupní</w:t>
      </w:r>
      <w:r w:rsidRPr="00FD6F3F">
        <w:rPr>
          <w:rFonts w:ascii="Arial Narrow" w:hAnsi="Arial Narrow"/>
          <w:sz w:val="24"/>
          <w:szCs w:val="24"/>
        </w:rPr>
        <w:t xml:space="preserve"> cena</w:t>
      </w:r>
      <w:r>
        <w:rPr>
          <w:rFonts w:ascii="Arial Narrow" w:hAnsi="Arial Narrow"/>
          <w:sz w:val="24"/>
          <w:szCs w:val="24"/>
        </w:rPr>
        <w:t xml:space="preserve">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lastRenderedPageBreak/>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24B5DAF8"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3931AF">
        <w:rPr>
          <w:rFonts w:ascii="Arial Narrow" w:hAnsi="Arial Narrow"/>
          <w:sz w:val="24"/>
          <w:szCs w:val="24"/>
        </w:rPr>
        <w:t xml:space="preserve">do </w:t>
      </w:r>
      <w:r w:rsidR="0057796F">
        <w:rPr>
          <w:rFonts w:ascii="Arial Narrow" w:hAnsi="Arial Narrow"/>
          <w:sz w:val="24"/>
          <w:szCs w:val="24"/>
        </w:rPr>
        <w:t>2 měsíců</w:t>
      </w:r>
      <w:r w:rsidRPr="005F081E">
        <w:rPr>
          <w:rFonts w:ascii="Arial Narrow" w:hAnsi="Arial Narrow"/>
          <w:sz w:val="24"/>
          <w:szCs w:val="24"/>
        </w:rPr>
        <w:t xml:space="preserve"> </w:t>
      </w:r>
      <w:r w:rsidRPr="004A4EAF">
        <w:rPr>
          <w:rFonts w:ascii="Arial Narrow" w:hAnsi="Arial Narrow"/>
          <w:sz w:val="24"/>
          <w:szCs w:val="24"/>
        </w:rPr>
        <w:t xml:space="preserve">od </w:t>
      </w:r>
      <w:r w:rsidR="00C26B93" w:rsidRPr="004A4EAF">
        <w:rPr>
          <w:rFonts w:ascii="Arial Narrow" w:hAnsi="Arial Narrow"/>
          <w:sz w:val="24"/>
          <w:szCs w:val="24"/>
        </w:rPr>
        <w:t>podpisu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28244C" w:rsidRDefault="00482E9F" w:rsidP="00482E9F">
      <w:pPr>
        <w:numPr>
          <w:ilvl w:val="0"/>
          <w:numId w:val="13"/>
        </w:numPr>
        <w:spacing w:after="0"/>
        <w:ind w:left="284" w:hanging="284"/>
        <w:jc w:val="center"/>
        <w:rPr>
          <w:rFonts w:ascii="Arial Narrow" w:hAnsi="Arial Narrow"/>
          <w:b/>
          <w:sz w:val="24"/>
          <w:szCs w:val="24"/>
        </w:rPr>
      </w:pPr>
      <w:r w:rsidRPr="0028244C">
        <w:rPr>
          <w:rFonts w:ascii="Arial Narrow" w:hAnsi="Arial Narrow"/>
          <w:b/>
          <w:sz w:val="24"/>
          <w:szCs w:val="24"/>
        </w:rPr>
        <w:t>Místo plnění</w:t>
      </w:r>
    </w:p>
    <w:p w14:paraId="3D3A7683" w14:textId="77777777" w:rsidR="00482E9F" w:rsidRPr="0028244C" w:rsidRDefault="00482E9F" w:rsidP="00482E9F">
      <w:pPr>
        <w:spacing w:after="0"/>
        <w:ind w:left="284" w:hanging="284"/>
        <w:rPr>
          <w:rFonts w:ascii="Arial Narrow" w:hAnsi="Arial Narrow"/>
          <w:b/>
          <w:sz w:val="24"/>
          <w:szCs w:val="24"/>
        </w:rPr>
      </w:pPr>
    </w:p>
    <w:p w14:paraId="06E16306" w14:textId="134B8A5A" w:rsidR="00482E9F" w:rsidRPr="0028244C" w:rsidRDefault="00482E9F" w:rsidP="00482E9F">
      <w:pPr>
        <w:numPr>
          <w:ilvl w:val="0"/>
          <w:numId w:val="6"/>
        </w:numPr>
        <w:spacing w:after="0"/>
        <w:ind w:left="284" w:hanging="284"/>
        <w:jc w:val="both"/>
        <w:rPr>
          <w:rFonts w:ascii="Arial Narrow" w:hAnsi="Arial Narrow"/>
          <w:sz w:val="24"/>
          <w:szCs w:val="24"/>
        </w:rPr>
      </w:pPr>
      <w:r w:rsidRPr="0028244C">
        <w:rPr>
          <w:rFonts w:ascii="Arial Narrow" w:hAnsi="Arial Narrow"/>
          <w:sz w:val="24"/>
          <w:szCs w:val="24"/>
        </w:rPr>
        <w:t>Zařízení bude odevzdáno v sídle kupujícího</w:t>
      </w:r>
      <w:r w:rsidR="00C8432C" w:rsidRPr="0028244C">
        <w:rPr>
          <w:rFonts w:ascii="Arial Narrow" w:hAnsi="Arial Narrow"/>
          <w:sz w:val="24"/>
          <w:szCs w:val="24"/>
        </w:rPr>
        <w:t xml:space="preserve"> v pavilonu </w:t>
      </w:r>
      <w:r w:rsidR="001F4E11">
        <w:rPr>
          <w:rFonts w:ascii="Arial Narrow" w:hAnsi="Arial Narrow"/>
          <w:sz w:val="24"/>
          <w:szCs w:val="24"/>
        </w:rPr>
        <w:t>„I“</w:t>
      </w:r>
      <w:r w:rsidR="00E47E07">
        <w:rPr>
          <w:rFonts w:ascii="Arial Narrow" w:hAnsi="Arial Narrow"/>
          <w:sz w:val="24"/>
          <w:szCs w:val="24"/>
        </w:rPr>
        <w:t xml:space="preserve"> – </w:t>
      </w:r>
      <w:r w:rsidR="001F4E11">
        <w:rPr>
          <w:rFonts w:ascii="Arial Narrow" w:hAnsi="Arial Narrow"/>
          <w:sz w:val="24"/>
          <w:szCs w:val="24"/>
        </w:rPr>
        <w:t xml:space="preserve">oddělení </w:t>
      </w:r>
      <w:r w:rsidR="00E47E07">
        <w:rPr>
          <w:rFonts w:ascii="Arial Narrow" w:hAnsi="Arial Narrow"/>
          <w:sz w:val="24"/>
          <w:szCs w:val="24"/>
        </w:rPr>
        <w:t>Rehabilitace</w:t>
      </w:r>
      <w:r w:rsidRPr="0028244C">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0D866D0F"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bookmarkStart w:id="0" w:name="_GoBack"/>
      <w:bookmarkEnd w:id="0"/>
    </w:p>
    <w:p w14:paraId="0A4404B5" w14:textId="4DF79C7B" w:rsidR="00482E9F" w:rsidRDefault="00482E9F" w:rsidP="00482E9F">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r w:rsidR="008D781A">
        <w:rPr>
          <w:rFonts w:ascii="Arial Narrow" w:hAnsi="Arial Narrow"/>
          <w:sz w:val="24"/>
          <w:szCs w:val="24"/>
        </w:rPr>
        <w:t xml:space="preserve"> </w:t>
      </w:r>
      <w:r w:rsidRPr="00E11EDA">
        <w:rPr>
          <w:rFonts w:ascii="Arial Narrow" w:hAnsi="Arial Narrow"/>
          <w:sz w:val="24"/>
          <w:szCs w:val="24"/>
        </w:rPr>
        <w:t>tel.</w:t>
      </w:r>
      <w:r>
        <w:rPr>
          <w:rFonts w:ascii="Arial Narrow" w:hAnsi="Arial Narrow"/>
          <w:sz w:val="24"/>
          <w:szCs w:val="24"/>
        </w:rPr>
        <w:t xml:space="preserve">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r w:rsidR="000842A0">
        <w:rPr>
          <w:rFonts w:ascii="Arial Narrow" w:hAnsi="Arial Narrow"/>
          <w:sz w:val="24"/>
          <w:szCs w:val="24"/>
        </w:rPr>
        <w:t xml:space="preserve">, </w:t>
      </w:r>
      <w:r w:rsidRPr="00E11EDA">
        <w:rPr>
          <w:rFonts w:ascii="Arial Narrow" w:hAnsi="Arial Narrow"/>
          <w:sz w:val="24"/>
          <w:szCs w:val="24"/>
        </w:rPr>
        <w:t xml:space="preserve">e-mail: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lastRenderedPageBreak/>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w:t>
      </w:r>
      <w:proofErr w:type="gramStart"/>
      <w:r w:rsidR="00AB1392" w:rsidRPr="008171A9">
        <w:rPr>
          <w:rFonts w:ascii="Arial Narrow" w:hAnsi="Arial Narrow"/>
          <w:sz w:val="24"/>
          <w:szCs w:val="24"/>
        </w:rPr>
        <w:t>této</w:t>
      </w:r>
      <w:proofErr w:type="gramEnd"/>
      <w:r w:rsidR="00AB1392" w:rsidRPr="008171A9">
        <w:rPr>
          <w:rFonts w:ascii="Arial Narrow" w:hAnsi="Arial Narrow"/>
          <w:sz w:val="24"/>
          <w:szCs w:val="24"/>
        </w:rPr>
        <w:t xml:space="preserve">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w:t>
      </w:r>
      <w:proofErr w:type="gramStart"/>
      <w:r w:rsidRPr="008171A9">
        <w:rPr>
          <w:rFonts w:ascii="Arial Narrow" w:hAnsi="Arial Narrow"/>
          <w:sz w:val="24"/>
          <w:szCs w:val="24"/>
        </w:rPr>
        <w:t>této</w:t>
      </w:r>
      <w:proofErr w:type="gramEnd"/>
      <w:r w:rsidRPr="008171A9">
        <w:rPr>
          <w:rFonts w:ascii="Arial Narrow" w:hAnsi="Arial Narrow"/>
          <w:sz w:val="24"/>
          <w:szCs w:val="24"/>
        </w:rPr>
        <w:t xml:space="preserve">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 xml:space="preserve">prokazoval v Zadávacím řízení kvalifikaci a Poskytovatel neprokáže způsobem stanoveným pro prokazování kvalifikace v Zadávacím řízení, že nový poddodavatel splňuje </w:t>
      </w:r>
      <w:r w:rsidRPr="008171A9">
        <w:rPr>
          <w:rFonts w:ascii="Arial Narrow" w:hAnsi="Arial Narrow"/>
          <w:sz w:val="24"/>
          <w:szCs w:val="24"/>
        </w:rPr>
        <w:lastRenderedPageBreak/>
        <w:t>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w:t>
      </w:r>
      <w:proofErr w:type="gramStart"/>
      <w:r w:rsidRPr="008171A9">
        <w:rPr>
          <w:rFonts w:ascii="Arial Narrow" w:hAnsi="Arial Narrow"/>
          <w:sz w:val="24"/>
          <w:szCs w:val="24"/>
        </w:rPr>
        <w:t>jejíchž</w:t>
      </w:r>
      <w:proofErr w:type="gramEnd"/>
      <w:r w:rsidRPr="008171A9">
        <w:rPr>
          <w:rFonts w:ascii="Arial Narrow" w:hAnsi="Arial Narrow"/>
          <w:sz w:val="24"/>
          <w:szCs w:val="24"/>
        </w:rPr>
        <w:t xml:space="preserve">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4C9C8F7F" w:rsidR="00482E9F" w:rsidRDefault="00482E9F" w:rsidP="00482E9F">
      <w:pPr>
        <w:numPr>
          <w:ilvl w:val="0"/>
          <w:numId w:val="12"/>
        </w:numPr>
        <w:spacing w:after="0"/>
        <w:ind w:left="284" w:hanging="284"/>
        <w:jc w:val="both"/>
        <w:rPr>
          <w:rFonts w:ascii="Arial Narrow" w:hAnsi="Arial Narrow"/>
          <w:sz w:val="24"/>
          <w:szCs w:val="24"/>
        </w:rPr>
      </w:pPr>
      <w:r w:rsidRPr="003931AF">
        <w:rPr>
          <w:rFonts w:ascii="Arial Narrow" w:hAnsi="Arial Narrow"/>
          <w:sz w:val="24"/>
          <w:szCs w:val="24"/>
        </w:rPr>
        <w:t>Záruční doba</w:t>
      </w:r>
      <w:r>
        <w:rPr>
          <w:rFonts w:ascii="Arial Narrow" w:hAnsi="Arial Narrow"/>
          <w:sz w:val="24"/>
          <w:szCs w:val="24"/>
        </w:rPr>
        <w:t xml:space="preserve"> se sjednává v délce </w:t>
      </w:r>
      <w:r w:rsidR="00183792">
        <w:rPr>
          <w:rFonts w:ascii="Arial Narrow" w:hAnsi="Arial Narrow"/>
          <w:sz w:val="24"/>
          <w:szCs w:val="24"/>
        </w:rPr>
        <w:t>24</w:t>
      </w:r>
      <w:r>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45434D38"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w:t>
      </w:r>
      <w:r w:rsidR="0080049E">
        <w:rPr>
          <w:rFonts w:ascii="Arial Narrow" w:hAnsi="Arial Narrow"/>
          <w:sz w:val="24"/>
          <w:szCs w:val="24"/>
        </w:rPr>
        <w:t xml:space="preserve"> odstranit nejpozději však do 48</w:t>
      </w:r>
      <w:r w:rsidR="00B23185">
        <w:rPr>
          <w:rFonts w:ascii="Arial Narrow" w:hAnsi="Arial Narrow"/>
          <w:sz w:val="24"/>
          <w:szCs w:val="24"/>
        </w:rPr>
        <w:t xml:space="preserve"> hodin od nahlášení vady. Pokud v důsledku výskytu záruční vady na zařízení, kterou se prodávajícímu nepodař</w:t>
      </w:r>
      <w:r w:rsidR="0080049E">
        <w:rPr>
          <w:rFonts w:ascii="Arial Narrow" w:hAnsi="Arial Narrow"/>
          <w:sz w:val="24"/>
          <w:szCs w:val="24"/>
        </w:rPr>
        <w:t>í odstranit do stanovené doby 48</w:t>
      </w:r>
      <w:r w:rsidR="00B23185">
        <w:rPr>
          <w:rFonts w:ascii="Arial Narrow" w:hAnsi="Arial Narrow"/>
          <w:sz w:val="24"/>
          <w:szCs w:val="24"/>
        </w:rPr>
        <w:t xml:space="preserve">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305194"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7844F6C" w14:textId="77777777" w:rsidR="00482E9F" w:rsidRDefault="00482E9F" w:rsidP="00482E9F">
      <w:pPr>
        <w:spacing w:after="0"/>
        <w:rPr>
          <w:rFonts w:ascii="Arial Narrow" w:hAnsi="Arial Narrow"/>
          <w:b/>
          <w:sz w:val="24"/>
          <w:szCs w:val="24"/>
        </w:rPr>
      </w:pPr>
    </w:p>
    <w:p w14:paraId="696FD416" w14:textId="77777777" w:rsidR="00A1131F" w:rsidRDefault="00A1131F" w:rsidP="00482E9F">
      <w:pPr>
        <w:spacing w:after="0"/>
        <w:rPr>
          <w:rFonts w:ascii="Arial Narrow" w:hAnsi="Arial Narrow"/>
          <w:b/>
          <w:sz w:val="24"/>
          <w:szCs w:val="24"/>
        </w:rPr>
      </w:pPr>
    </w:p>
    <w:p w14:paraId="02285033" w14:textId="77777777" w:rsidR="00A1131F" w:rsidRDefault="00A1131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7FAF19C7" w14:textId="39D2C168" w:rsidR="00C30E9E" w:rsidRPr="00C30E9E" w:rsidRDefault="00482E9F" w:rsidP="00C30E9E">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3A119436" w14:textId="1ADA49D2" w:rsidR="00C30E9E" w:rsidRPr="00D35837" w:rsidRDefault="00C30E9E" w:rsidP="00C30E9E">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lastRenderedPageBreak/>
        <w:t xml:space="preserve">Prodávající </w:t>
      </w:r>
      <w:r w:rsidRPr="00CD55E9">
        <w:rPr>
          <w:rFonts w:ascii="Arial Narrow" w:hAnsi="Arial Narrow"/>
          <w:sz w:val="24"/>
          <w:szCs w:val="24"/>
        </w:rPr>
        <w:t xml:space="preserve">se zavazuje uzavřít </w:t>
      </w:r>
      <w:r w:rsidRPr="00CC6498">
        <w:rPr>
          <w:rFonts w:ascii="Arial Narrow" w:hAnsi="Arial Narrow"/>
          <w:sz w:val="24"/>
          <w:szCs w:val="24"/>
        </w:rPr>
        <w:t xml:space="preserve">pojištění odpovědnosti za škodu způsobenou prodávajícím </w:t>
      </w:r>
      <w:r w:rsidR="00E47E07">
        <w:rPr>
          <w:rFonts w:ascii="Arial Narrow" w:hAnsi="Arial Narrow"/>
          <w:sz w:val="24"/>
          <w:szCs w:val="24"/>
        </w:rPr>
        <w:t>třetí osobě ve výši minimálně 10</w:t>
      </w:r>
      <w:r w:rsidRPr="00CC6498">
        <w:rPr>
          <w:rFonts w:ascii="Arial Narrow" w:hAnsi="Arial Narrow"/>
          <w:sz w:val="24"/>
          <w:szCs w:val="24"/>
        </w:rPr>
        <w:t xml:space="preserve"> mil. Kč</w:t>
      </w:r>
      <w:r>
        <w:rPr>
          <w:rFonts w:ascii="Arial Narrow" w:hAnsi="Arial Narrow"/>
          <w:sz w:val="24"/>
          <w:szCs w:val="24"/>
        </w:rPr>
        <w:t xml:space="preserve"> </w:t>
      </w:r>
      <w:r w:rsidRPr="00560806">
        <w:rPr>
          <w:rFonts w:ascii="Arial Narrow" w:hAnsi="Arial Narrow"/>
          <w:sz w:val="24"/>
          <w:szCs w:val="24"/>
        </w:rPr>
        <w:t>se spoluúčastí prodávajícího nejvýše 150 tis. Kč</w:t>
      </w:r>
      <w:r>
        <w:rPr>
          <w:rFonts w:ascii="Arial Narrow" w:hAnsi="Arial Narrow"/>
          <w:sz w:val="24"/>
          <w:szCs w:val="24"/>
        </w:rPr>
        <w:t>,</w:t>
      </w:r>
      <w:r w:rsidRPr="00CC6498">
        <w:rPr>
          <w:rFonts w:ascii="Arial Narrow" w:hAnsi="Arial Narrow"/>
          <w:sz w:val="24"/>
          <w:szCs w:val="24"/>
        </w:rPr>
        <w:t xml:space="preserve"> a to</w:t>
      </w:r>
      <w:r w:rsidRPr="00CD55E9">
        <w:rPr>
          <w:rFonts w:ascii="Arial Narrow" w:hAnsi="Arial Narrow"/>
          <w:sz w:val="24"/>
          <w:szCs w:val="24"/>
        </w:rPr>
        <w:t xml:space="preserve"> v případě, že pojištění v požadovaném rozsahu a výši již sjednáno nemá. Prodávající se zavazuje předložit před podpisem smlouvy doklad o uzavření pojištění kupujícímu.</w:t>
      </w:r>
      <w:r>
        <w:rPr>
          <w:rFonts w:ascii="Arial Narrow" w:hAnsi="Arial Narrow"/>
          <w:sz w:val="24"/>
          <w:szCs w:val="24"/>
        </w:rPr>
        <w:t xml:space="preserve"> </w:t>
      </w:r>
      <w:r w:rsidRPr="00AB1392">
        <w:rPr>
          <w:rFonts w:ascii="Arial Narrow" w:hAnsi="Arial Narrow"/>
          <w:sz w:val="24"/>
          <w:szCs w:val="24"/>
        </w:rPr>
        <w:t xml:space="preserve">Pojistná smlouva musí být platná po celou dobu </w:t>
      </w:r>
      <w:r>
        <w:rPr>
          <w:rFonts w:ascii="Arial Narrow" w:hAnsi="Arial Narrow"/>
          <w:sz w:val="24"/>
          <w:szCs w:val="24"/>
        </w:rPr>
        <w:t>trvání této smlouvy.</w:t>
      </w:r>
    </w:p>
    <w:p w14:paraId="3644D1AD" w14:textId="77777777" w:rsidR="00FD6F3F" w:rsidRDefault="00FD6F3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w:t>
      </w:r>
      <w:proofErr w:type="gramStart"/>
      <w:r w:rsidRPr="005F081E">
        <w:rPr>
          <w:rFonts w:ascii="Arial Narrow" w:hAnsi="Arial Narrow"/>
          <w:sz w:val="24"/>
          <w:szCs w:val="24"/>
        </w:rPr>
        <w:t>této</w:t>
      </w:r>
      <w:proofErr w:type="gramEnd"/>
      <w:r w:rsidRPr="005F081E">
        <w:rPr>
          <w:rFonts w:ascii="Arial Narrow" w:hAnsi="Arial Narrow"/>
          <w:sz w:val="24"/>
          <w:szCs w:val="24"/>
        </w:rPr>
        <w:t xml:space="preserve">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443D8FE1"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w:t>
      </w:r>
      <w:proofErr w:type="gramStart"/>
      <w:r>
        <w:rPr>
          <w:rFonts w:ascii="Arial Narrow" w:hAnsi="Arial Narrow"/>
          <w:sz w:val="24"/>
          <w:szCs w:val="24"/>
        </w:rPr>
        <w:t>této</w:t>
      </w:r>
      <w:proofErr w:type="gramEnd"/>
      <w:r>
        <w:rPr>
          <w:rFonts w:ascii="Arial Narrow" w:hAnsi="Arial Narrow"/>
          <w:sz w:val="24"/>
          <w:szCs w:val="24"/>
        </w:rPr>
        <w:t xml:space="preserve"> smlouvy, zaplatí kupujícímu smluvní pokutu ve výši 0,5% kupní ceny</w:t>
      </w:r>
      <w:r w:rsidR="0057796F">
        <w:rPr>
          <w:rFonts w:ascii="Arial Narrow" w:hAnsi="Arial Narrow"/>
          <w:sz w:val="24"/>
          <w:szCs w:val="24"/>
        </w:rPr>
        <w:t xml:space="preserve"> zařízení včetně DPH uvedené v příloze č. 1 </w:t>
      </w:r>
      <w:r>
        <w:rPr>
          <w:rFonts w:ascii="Arial Narrow" w:hAnsi="Arial Narrow"/>
          <w:sz w:val="24"/>
          <w:szCs w:val="24"/>
        </w:rPr>
        <w:t xml:space="preserve">této smlouvy za každých započatých 24 hodin prodlení. </w:t>
      </w:r>
    </w:p>
    <w:p w14:paraId="2A9304C5" w14:textId="04D82872"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w:t>
      </w:r>
      <w:r w:rsidR="0057796F">
        <w:rPr>
          <w:rFonts w:ascii="Arial Narrow" w:hAnsi="Arial Narrow"/>
          <w:sz w:val="24"/>
          <w:szCs w:val="24"/>
        </w:rPr>
        <w:t xml:space="preserve">ení včetně DPH uvedené v příloze č. 1 </w:t>
      </w:r>
      <w:r>
        <w:rPr>
          <w:rFonts w:ascii="Arial Narrow" w:hAnsi="Arial Narrow"/>
          <w:sz w:val="24"/>
          <w:szCs w:val="24"/>
        </w:rPr>
        <w:t>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w:t>
      </w:r>
      <w:proofErr w:type="gramStart"/>
      <w:r>
        <w:rPr>
          <w:rFonts w:ascii="Arial Narrow" w:hAnsi="Arial Narrow"/>
          <w:sz w:val="24"/>
          <w:szCs w:val="24"/>
        </w:rPr>
        <w:t>této</w:t>
      </w:r>
      <w:proofErr w:type="gramEnd"/>
      <w:r>
        <w:rPr>
          <w:rFonts w:ascii="Arial Narrow" w:hAnsi="Arial Narrow"/>
          <w:sz w:val="24"/>
          <w:szCs w:val="24"/>
        </w:rPr>
        <w:t xml:space="preserve"> smlouvy. </w:t>
      </w:r>
    </w:p>
    <w:p w14:paraId="3747CB17" w14:textId="0CDD635E" w:rsidR="00482E9F" w:rsidRPr="0057796F" w:rsidRDefault="00482E9F" w:rsidP="0057796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643D3B2" w14:textId="77777777" w:rsidR="00CC6498" w:rsidRPr="00286643" w:rsidRDefault="00CC6498" w:rsidP="00CC6498">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Prodávající je povinen archivovat originální vyhotovení smlouvy, její dodatky, originály účetních dokladů a dalších dokladů vztahujících se k realizaci předmětu této smlouvy po dobu 10 let od zániku závazku vyplývajícího ze smlouvy, minimálně však do konce roku 2028. Po tuto dobu je prodávající povinen 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lastRenderedPageBreak/>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w:t>
      </w:r>
      <w:proofErr w:type="gramStart"/>
      <w:r w:rsidR="0077581C" w:rsidRPr="0077581C">
        <w:rPr>
          <w:rFonts w:ascii="Arial Narrow" w:hAnsi="Arial Narrow"/>
        </w:rPr>
        <w:t>určitých</w:t>
      </w:r>
      <w:proofErr w:type="gramEnd"/>
      <w:r w:rsidR="0077581C" w:rsidRPr="0077581C">
        <w:rPr>
          <w:rFonts w:ascii="Arial Narrow" w:hAnsi="Arial Narrow"/>
        </w:rPr>
        <w:t xml:space="preserve">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6F250718" w14:textId="1969AB75" w:rsidR="00FD6F3F" w:rsidRPr="00A1131F" w:rsidRDefault="00482E9F" w:rsidP="00FD6F3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7A8E0AE4" w14:textId="77777777" w:rsidR="00FD6F3F" w:rsidRPr="005F081E" w:rsidRDefault="00FD6F3F" w:rsidP="00FD6F3F">
      <w:pPr>
        <w:pStyle w:val="Smlouva-slo"/>
        <w:widowControl w:val="0"/>
        <w:tabs>
          <w:tab w:val="left" w:pos="0"/>
        </w:tabs>
        <w:spacing w:before="0" w:line="276" w:lineRule="auto"/>
        <w:rPr>
          <w:rFonts w:ascii="Arial Narrow" w:hAnsi="Arial Narrow"/>
        </w:rPr>
      </w:pP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lastRenderedPageBreak/>
        <w:t xml:space="preserve">Příloha č. 5 – </w:t>
      </w:r>
      <w:r w:rsidR="00305194" w:rsidRPr="00EB46DE">
        <w:rPr>
          <w:rFonts w:ascii="Arial Narrow" w:hAnsi="Arial Narrow"/>
        </w:rPr>
        <w:t>Prohlášení o shodě – CE certifikát</w:t>
      </w:r>
    </w:p>
    <w:p w14:paraId="32EA1F29" w14:textId="7573CA70" w:rsidR="00541654" w:rsidRPr="00541654" w:rsidRDefault="00541654" w:rsidP="00541654">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6 – Seznam techniků</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C2FAD">
            <w:pPr>
              <w:keepNext/>
              <w:suppressAutoHyphens/>
              <w:spacing w:after="0"/>
              <w:rPr>
                <w:rFonts w:ascii="Arial Narrow" w:hAnsi="Arial Narrow"/>
                <w:b/>
                <w:caps/>
                <w:sz w:val="24"/>
              </w:rPr>
            </w:pPr>
          </w:p>
          <w:p w14:paraId="7CDEE1FC"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C2FAD">
            <w:pPr>
              <w:keepNext/>
              <w:suppressAutoHyphens/>
              <w:spacing w:after="0"/>
              <w:rPr>
                <w:rFonts w:ascii="Arial Narrow" w:hAnsi="Arial Narrow"/>
                <w:sz w:val="24"/>
              </w:rPr>
            </w:pPr>
          </w:p>
          <w:p w14:paraId="7AA28330" w14:textId="77777777" w:rsidR="0029712C" w:rsidRDefault="0029712C" w:rsidP="005C2FAD">
            <w:pPr>
              <w:keepNext/>
              <w:suppressAutoHyphens/>
              <w:spacing w:after="0"/>
              <w:rPr>
                <w:rFonts w:ascii="Arial Narrow" w:hAnsi="Arial Narrow"/>
                <w:sz w:val="24"/>
              </w:rPr>
            </w:pPr>
          </w:p>
          <w:p w14:paraId="478FBF93" w14:textId="77777777" w:rsidR="00482E9F" w:rsidRPr="007157BD" w:rsidRDefault="00482E9F" w:rsidP="005C2FAD">
            <w:pPr>
              <w:keepNext/>
              <w:suppressAutoHyphens/>
              <w:spacing w:after="0"/>
              <w:rPr>
                <w:rFonts w:ascii="Arial Narrow" w:hAnsi="Arial Narrow"/>
                <w:sz w:val="24"/>
              </w:rPr>
            </w:pPr>
          </w:p>
          <w:p w14:paraId="70B53D0C"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C2FAD">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C2FAD">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C2FAD">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117BD3F0" w:rsidR="006F5FB0" w:rsidRPr="006F5FB0" w:rsidRDefault="006F5FB0" w:rsidP="005C2FAD">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69C4E79E"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41F67D8D" w14:textId="77777777" w:rsidR="0029712C" w:rsidRDefault="0029712C" w:rsidP="005C2FAD">
            <w:pPr>
              <w:keepNext/>
              <w:suppressAutoHyphens/>
              <w:spacing w:after="0"/>
              <w:rPr>
                <w:rFonts w:ascii="Arial Narrow" w:hAnsi="Arial Narrow"/>
                <w:b/>
                <w:caps/>
                <w:sz w:val="24"/>
              </w:rPr>
            </w:pPr>
          </w:p>
          <w:p w14:paraId="283B6C4E"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C2FAD">
            <w:pPr>
              <w:keepNext/>
              <w:suppressAutoHyphens/>
              <w:spacing w:after="0"/>
              <w:rPr>
                <w:rFonts w:ascii="Arial Narrow" w:hAnsi="Arial Narrow"/>
                <w:sz w:val="24"/>
              </w:rPr>
            </w:pPr>
          </w:p>
          <w:p w14:paraId="1F876D69" w14:textId="77777777" w:rsidR="00305194" w:rsidRDefault="00305194" w:rsidP="005C2FAD">
            <w:pPr>
              <w:keepNext/>
              <w:suppressAutoHyphens/>
              <w:spacing w:after="0"/>
              <w:rPr>
                <w:rFonts w:ascii="Arial Narrow" w:hAnsi="Arial Narrow"/>
                <w:sz w:val="24"/>
              </w:rPr>
            </w:pPr>
          </w:p>
          <w:p w14:paraId="297D2638" w14:textId="77777777" w:rsidR="0029712C" w:rsidRPr="007157BD" w:rsidRDefault="0029712C" w:rsidP="005C2FAD">
            <w:pPr>
              <w:keepNext/>
              <w:suppressAutoHyphens/>
              <w:spacing w:after="0"/>
              <w:rPr>
                <w:rFonts w:ascii="Arial Narrow" w:hAnsi="Arial Narrow"/>
                <w:sz w:val="24"/>
              </w:rPr>
            </w:pPr>
          </w:p>
          <w:p w14:paraId="412FFA5A"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7CAB679E" w:rsidR="00482E9F" w:rsidRPr="000915D6" w:rsidRDefault="00482E9F" w:rsidP="005C2FAD">
            <w:pPr>
              <w:keepNext/>
              <w:suppressAutoHyphens/>
              <w:spacing w:after="0"/>
              <w:rPr>
                <w:rFonts w:ascii="Arial Narrow" w:hAnsi="Arial Narrow"/>
                <w:b/>
                <w:sz w:val="24"/>
              </w:rPr>
            </w:pPr>
            <w:r w:rsidRPr="004A4EAF">
              <w:rPr>
                <w:rFonts w:ascii="Arial Narrow" w:hAnsi="Arial Narrow"/>
                <w:b/>
                <w:sz w:val="24"/>
              </w:rPr>
              <w:t>[</w:t>
            </w:r>
            <w:r w:rsidR="006F5FB0" w:rsidRPr="004A4EAF">
              <w:rPr>
                <w:rFonts w:ascii="Arial Narrow" w:hAnsi="Arial Narrow"/>
                <w:b/>
                <w:i/>
                <w:sz w:val="24"/>
              </w:rPr>
              <w:t>název</w:t>
            </w:r>
            <w:r w:rsidR="006F5FB0" w:rsidRPr="004A4EAF">
              <w:rPr>
                <w:rFonts w:ascii="Arial Narrow" w:hAnsi="Arial Narrow"/>
                <w:b/>
                <w:sz w:val="24"/>
              </w:rPr>
              <w:t>]</w:t>
            </w:r>
          </w:p>
          <w:p w14:paraId="7A275ECC" w14:textId="77777777" w:rsidR="00482E9F" w:rsidRPr="007157BD" w:rsidRDefault="00482E9F" w:rsidP="005C2FAD">
            <w:pPr>
              <w:keepNext/>
              <w:suppressAutoHyphens/>
              <w:spacing w:after="0"/>
              <w:rPr>
                <w:rFonts w:ascii="Arial Narrow" w:hAnsi="Arial Narrow"/>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6F954051" w14:textId="68F34A97" w:rsidR="00913D4F" w:rsidRDefault="00CF5A5C" w:rsidP="00E47E07">
      <w:pPr>
        <w:jc w:val="right"/>
        <w:rPr>
          <w:b/>
          <w:i/>
        </w:rPr>
      </w:pPr>
      <w:r w:rsidRPr="00050BF0">
        <w:rPr>
          <w:b/>
          <w:i/>
        </w:rPr>
        <w:lastRenderedPageBreak/>
        <w:t>Příloha č. 1</w:t>
      </w:r>
      <w:r w:rsidR="006F5FB0" w:rsidRPr="00050BF0">
        <w:rPr>
          <w:b/>
          <w:i/>
        </w:rPr>
        <w:t xml:space="preserve"> k………………ze dne……..</w:t>
      </w:r>
    </w:p>
    <w:p w14:paraId="1CD2681D" w14:textId="77777777" w:rsidR="007C4200" w:rsidRPr="005C2FAD" w:rsidRDefault="007C4200" w:rsidP="00E47E07">
      <w:pPr>
        <w:jc w:val="right"/>
        <w:rPr>
          <w:b/>
          <w:i/>
        </w:rPr>
      </w:pPr>
    </w:p>
    <w:tbl>
      <w:tblPr>
        <w:tblW w:w="13112" w:type="dxa"/>
        <w:tblInd w:w="55" w:type="dxa"/>
        <w:tblCellMar>
          <w:left w:w="70" w:type="dxa"/>
          <w:right w:w="70" w:type="dxa"/>
        </w:tblCellMar>
        <w:tblLook w:val="04A0" w:firstRow="1" w:lastRow="0" w:firstColumn="1" w:lastColumn="0" w:noHBand="0" w:noVBand="1"/>
      </w:tblPr>
      <w:tblGrid>
        <w:gridCol w:w="3977"/>
        <w:gridCol w:w="445"/>
        <w:gridCol w:w="556"/>
        <w:gridCol w:w="1442"/>
        <w:gridCol w:w="263"/>
        <w:gridCol w:w="1361"/>
        <w:gridCol w:w="1234"/>
        <w:gridCol w:w="1361"/>
        <w:gridCol w:w="1235"/>
        <w:gridCol w:w="1238"/>
      </w:tblGrid>
      <w:tr w:rsidR="00CF5A5C" w14:paraId="29323ABB" w14:textId="77777777" w:rsidTr="005C2FAD">
        <w:trPr>
          <w:trHeight w:val="346"/>
        </w:trPr>
        <w:tc>
          <w:tcPr>
            <w:tcW w:w="131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793CADE0" w:rsidR="00CF5A5C" w:rsidRDefault="007F06C0">
            <w:pPr>
              <w:rPr>
                <w:rFonts w:eastAsia="Times New Roman" w:cs="Times New Roman"/>
                <w:b/>
                <w:bCs/>
                <w:color w:val="000000"/>
                <w:sz w:val="26"/>
                <w:szCs w:val="26"/>
                <w:lang w:eastAsia="cs-CZ"/>
              </w:rPr>
            </w:pPr>
            <w:r>
              <w:rPr>
                <w:rFonts w:eastAsia="Times New Roman"/>
                <w:b/>
                <w:bCs/>
                <w:color w:val="000000"/>
                <w:sz w:val="26"/>
                <w:szCs w:val="26"/>
                <w:lang w:eastAsia="cs-CZ"/>
              </w:rPr>
              <w:t>POLOŽKOVÝ ROZPOČET  „</w:t>
            </w:r>
            <w:r w:rsidR="00E47E07">
              <w:rPr>
                <w:rFonts w:eastAsia="Times New Roman"/>
                <w:b/>
                <w:bCs/>
                <w:color w:val="000000"/>
                <w:sz w:val="26"/>
                <w:szCs w:val="26"/>
                <w:lang w:eastAsia="cs-CZ"/>
              </w:rPr>
              <w:t>Vybavení pro Rehabilitaci</w:t>
            </w:r>
            <w:r w:rsidR="00CF5A5C">
              <w:rPr>
                <w:rFonts w:eastAsia="Times New Roman"/>
                <w:b/>
                <w:bCs/>
                <w:color w:val="000000"/>
                <w:sz w:val="26"/>
                <w:szCs w:val="26"/>
                <w:lang w:eastAsia="cs-CZ"/>
              </w:rPr>
              <w:t xml:space="preserve"> – Zvýšení kvality návazné </w:t>
            </w:r>
            <w:proofErr w:type="gramStart"/>
            <w:r w:rsidR="00CF5A5C">
              <w:rPr>
                <w:rFonts w:eastAsia="Times New Roman"/>
                <w:b/>
                <w:bCs/>
                <w:color w:val="000000"/>
                <w:sz w:val="26"/>
                <w:szCs w:val="26"/>
                <w:lang w:eastAsia="cs-CZ"/>
              </w:rPr>
              <w:t>péče v ON</w:t>
            </w:r>
            <w:proofErr w:type="gramEnd"/>
            <w:r w:rsidR="00CF5A5C">
              <w:rPr>
                <w:rFonts w:eastAsia="Times New Roman"/>
                <w:b/>
                <w:bCs/>
                <w:color w:val="000000"/>
                <w:sz w:val="26"/>
                <w:szCs w:val="26"/>
                <w:lang w:eastAsia="cs-CZ"/>
              </w:rPr>
              <w:t xml:space="preserve"> Kolín“</w:t>
            </w:r>
          </w:p>
        </w:tc>
      </w:tr>
      <w:tr w:rsidR="005C2FAD" w14:paraId="3FAA018F" w14:textId="77777777" w:rsidTr="00913D4F">
        <w:trPr>
          <w:trHeight w:val="37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63"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361"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234"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361"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235"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238"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5C2FAD" w14:paraId="76C6603B" w14:textId="77777777" w:rsidTr="00913D4F">
        <w:trPr>
          <w:trHeight w:val="661"/>
        </w:trPr>
        <w:tc>
          <w:tcPr>
            <w:tcW w:w="4422"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1998"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63"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235"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238"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5C2FAD" w14:paraId="70F92660" w14:textId="77777777" w:rsidTr="005C2FAD">
        <w:trPr>
          <w:trHeight w:val="54"/>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63"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5C2FAD">
        <w:trPr>
          <w:trHeight w:val="196"/>
        </w:trPr>
        <w:tc>
          <w:tcPr>
            <w:tcW w:w="131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3A58714C" w:rsidR="00CF5A5C" w:rsidRPr="00B57AE0" w:rsidRDefault="007C4200">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Přístroj pro vakuovou terapii</w:t>
            </w:r>
          </w:p>
        </w:tc>
      </w:tr>
      <w:tr w:rsidR="005C2FAD" w14:paraId="74ED69EF" w14:textId="77777777" w:rsidTr="00913D4F">
        <w:trPr>
          <w:trHeight w:val="328"/>
        </w:trPr>
        <w:tc>
          <w:tcPr>
            <w:tcW w:w="4422"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998"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777777" w:rsidR="00CF5A5C" w:rsidRDefault="00CF5A5C">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63"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4"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5"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5C2FAD" w14:paraId="5B3C0D27" w14:textId="77777777" w:rsidTr="00913D4F">
        <w:trPr>
          <w:trHeight w:val="156"/>
        </w:trPr>
        <w:tc>
          <w:tcPr>
            <w:tcW w:w="3977"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442"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63"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234"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235"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238"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5C2FAD" w14:paraId="62860533" w14:textId="77777777" w:rsidTr="00913D4F">
        <w:trPr>
          <w:trHeight w:val="236"/>
        </w:trPr>
        <w:tc>
          <w:tcPr>
            <w:tcW w:w="3977"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2"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63"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4"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235"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7AB331F2" w14:textId="77777777" w:rsidR="00E47E07" w:rsidRDefault="00E47E07" w:rsidP="00E47E07">
      <w:pPr>
        <w:keepNext/>
        <w:suppressAutoHyphens/>
        <w:spacing w:after="0"/>
        <w:ind w:left="10620"/>
        <w:jc w:val="center"/>
        <w:rPr>
          <w:rFonts w:ascii="Arial Narrow" w:hAnsi="Arial Narrow"/>
          <w:sz w:val="24"/>
        </w:rPr>
      </w:pPr>
    </w:p>
    <w:p w14:paraId="479016F6" w14:textId="77777777" w:rsidR="00E47E07" w:rsidRDefault="00E47E07" w:rsidP="00E47E07">
      <w:pPr>
        <w:keepNext/>
        <w:suppressAutoHyphens/>
        <w:spacing w:after="0"/>
        <w:ind w:left="10620"/>
        <w:jc w:val="center"/>
        <w:rPr>
          <w:rFonts w:ascii="Arial Narrow" w:hAnsi="Arial Narrow"/>
          <w:sz w:val="24"/>
        </w:rPr>
      </w:pPr>
    </w:p>
    <w:p w14:paraId="6DFF38B0" w14:textId="77777777" w:rsidR="007C4200" w:rsidRDefault="007C4200" w:rsidP="00E47E07">
      <w:pPr>
        <w:keepNext/>
        <w:suppressAutoHyphens/>
        <w:spacing w:after="0"/>
        <w:ind w:left="10620"/>
        <w:jc w:val="center"/>
        <w:rPr>
          <w:rFonts w:ascii="Arial Narrow" w:hAnsi="Arial Narrow"/>
          <w:sz w:val="24"/>
        </w:rPr>
      </w:pPr>
    </w:p>
    <w:p w14:paraId="732EAE19" w14:textId="77777777" w:rsidR="007C4200" w:rsidRDefault="007C4200" w:rsidP="00E47E07">
      <w:pPr>
        <w:keepNext/>
        <w:suppressAutoHyphens/>
        <w:spacing w:after="0"/>
        <w:ind w:left="10620"/>
        <w:jc w:val="center"/>
        <w:rPr>
          <w:rFonts w:ascii="Arial Narrow" w:hAnsi="Arial Narrow"/>
          <w:sz w:val="24"/>
        </w:rPr>
      </w:pPr>
    </w:p>
    <w:p w14:paraId="5CEF818E" w14:textId="627A7633" w:rsidR="00431E58" w:rsidRPr="007157BD" w:rsidRDefault="00431E58" w:rsidP="00E47E07">
      <w:pPr>
        <w:keepNext/>
        <w:suppressAutoHyphens/>
        <w:spacing w:after="0"/>
        <w:ind w:left="10620"/>
        <w:jc w:val="center"/>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431E58">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77777777" w:rsidR="00431E58" w:rsidRPr="000915D6" w:rsidRDefault="00431E58" w:rsidP="00431E58">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531EB16B" w14:textId="77777777" w:rsidR="003443A2" w:rsidRDefault="00431E58" w:rsidP="00431E58">
      <w:pPr>
        <w:jc w:val="right"/>
        <w:rPr>
          <w:rFonts w:ascii="Arial Narrow" w:hAnsi="Arial Narrow"/>
          <w:b/>
          <w:sz w:val="24"/>
        </w:rPr>
        <w:sectPr w:rsidR="003443A2" w:rsidSect="00E47E07">
          <w:pgSz w:w="16838" w:h="11906" w:orient="landscape" w:code="9"/>
          <w:pgMar w:top="1418" w:right="1276" w:bottom="1134" w:left="1134" w:header="709" w:footer="709" w:gutter="0"/>
          <w:cols w:space="708"/>
          <w:docGrid w:linePitch="360"/>
        </w:sect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2317C343" w14:textId="67556C0A" w:rsidR="00431E58" w:rsidRDefault="00431E58" w:rsidP="00431E58">
      <w:pPr>
        <w:jc w:val="right"/>
        <w:rPr>
          <w:rFonts w:ascii="Arial Narrow" w:hAnsi="Arial Narrow"/>
          <w:b/>
          <w:sz w:val="24"/>
        </w:rPr>
      </w:pPr>
    </w:p>
    <w:p w14:paraId="3BE90EE2" w14:textId="00ADEBA0" w:rsidR="00EC0D41" w:rsidRDefault="007F06C0" w:rsidP="00EC0D41">
      <w:pPr>
        <w:jc w:val="right"/>
        <w:rPr>
          <w:b/>
          <w:i/>
        </w:rPr>
      </w:pPr>
      <w:r w:rsidRPr="00050BF0">
        <w:rPr>
          <w:b/>
          <w:i/>
        </w:rPr>
        <w:t xml:space="preserve">Příloha č. </w:t>
      </w:r>
      <w:r>
        <w:rPr>
          <w:b/>
          <w:i/>
        </w:rPr>
        <w:t>2</w:t>
      </w:r>
      <w:r w:rsidRPr="00050BF0">
        <w:rPr>
          <w:b/>
          <w:i/>
        </w:rPr>
        <w:t xml:space="preserve"> k………………ze dne……..</w:t>
      </w:r>
    </w:p>
    <w:p w14:paraId="30B14CDD" w14:textId="77777777" w:rsidR="007C4200" w:rsidRPr="00EC0D41" w:rsidRDefault="007C4200" w:rsidP="00EC0D41">
      <w:pPr>
        <w:jc w:val="right"/>
        <w:rPr>
          <w:b/>
          <w:i/>
        </w:rPr>
      </w:pPr>
    </w:p>
    <w:p w14:paraId="6E8D75F5" w14:textId="07A5816D" w:rsidR="00EC0D41" w:rsidRPr="00EC0D41" w:rsidRDefault="007C4200" w:rsidP="005C2FAD">
      <w:pPr>
        <w:suppressAutoHyphens/>
        <w:rPr>
          <w:rFonts w:cs="Arial"/>
          <w:b/>
          <w:color w:val="FF0000"/>
          <w:sz w:val="28"/>
          <w:szCs w:val="28"/>
          <w:u w:val="single"/>
        </w:rPr>
      </w:pPr>
      <w:r>
        <w:rPr>
          <w:rFonts w:cs="Arial"/>
          <w:b/>
          <w:color w:val="FF0000"/>
          <w:sz w:val="28"/>
          <w:szCs w:val="28"/>
          <w:u w:val="single"/>
        </w:rPr>
        <w:t>Přístroj pro vakuovou terapii</w:t>
      </w:r>
      <w:r w:rsidR="00E47E07">
        <w:rPr>
          <w:rFonts w:cs="Arial"/>
          <w:b/>
          <w:color w:val="FF0000"/>
          <w:sz w:val="28"/>
          <w:szCs w:val="28"/>
          <w:u w:val="single"/>
        </w:rPr>
        <w:t xml:space="preserve"> – 1ks</w:t>
      </w:r>
    </w:p>
    <w:p w14:paraId="61081261"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vakuová jednotka pro elektroléčbu</w:t>
      </w:r>
    </w:p>
    <w:p w14:paraId="0DB5F207"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 xml:space="preserve">nutná kompatibilita s </w:t>
      </w:r>
      <w:r w:rsidRPr="007C4200">
        <w:rPr>
          <w:rFonts w:ascii="Calibri" w:eastAsia="Calibri" w:hAnsi="Calibri" w:cs="Arial"/>
          <w:b/>
          <w:bCs/>
          <w:sz w:val="24"/>
          <w:szCs w:val="24"/>
          <w:lang w:eastAsia="zh-CN"/>
        </w:rPr>
        <w:t>Kombinovaný přístroj elektro-</w:t>
      </w:r>
      <w:proofErr w:type="spellStart"/>
      <w:r w:rsidRPr="007C4200">
        <w:rPr>
          <w:rFonts w:ascii="Calibri" w:eastAsia="Calibri" w:hAnsi="Calibri" w:cs="Arial"/>
          <w:b/>
          <w:bCs/>
          <w:sz w:val="24"/>
          <w:szCs w:val="24"/>
          <w:lang w:eastAsia="zh-CN"/>
        </w:rPr>
        <w:t>sono</w:t>
      </w:r>
      <w:proofErr w:type="spellEnd"/>
      <w:r w:rsidRPr="007C4200">
        <w:rPr>
          <w:rFonts w:ascii="Calibri" w:eastAsia="Calibri" w:hAnsi="Calibri" w:cs="Arial"/>
          <w:b/>
          <w:bCs/>
          <w:sz w:val="24"/>
          <w:szCs w:val="24"/>
          <w:lang w:eastAsia="zh-CN"/>
        </w:rPr>
        <w:t xml:space="preserve"> BTL-5825S, </w:t>
      </w:r>
      <w:r w:rsidRPr="007C4200">
        <w:rPr>
          <w:rFonts w:ascii="Calibri" w:eastAsia="Calibri" w:hAnsi="Calibri" w:cs="Arial"/>
          <w:b/>
          <w:bCs/>
          <w:sz w:val="24"/>
          <w:szCs w:val="24"/>
          <w:lang w:eastAsia="zh-CN"/>
        </w:rPr>
        <w:br/>
        <w:t>(SN 5000-0388005)</w:t>
      </w:r>
    </w:p>
    <w:p w14:paraId="1812A168"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2 nezávislé kanály</w:t>
      </w:r>
    </w:p>
    <w:p w14:paraId="1DC6C25D"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kontinuální a pulzní režim</w:t>
      </w:r>
    </w:p>
    <w:p w14:paraId="6D1B2A5F"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předdefinované programy pulzace</w:t>
      </w:r>
    </w:p>
    <w:p w14:paraId="46356E61"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nastavitelná pulzní frekvence v několika krocích</w:t>
      </w:r>
    </w:p>
    <w:p w14:paraId="0AD8606D"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 xml:space="preserve">možnost volby rozměrů vakuových elektrod (30, 60, 90 mm) </w:t>
      </w:r>
    </w:p>
    <w:p w14:paraId="29F7D944"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nádobka na kondenzát; integrovaný ventil na vypouštění</w:t>
      </w:r>
    </w:p>
    <w:p w14:paraId="2456CADD" w14:textId="77777777" w:rsidR="007C4200" w:rsidRPr="007C4200" w:rsidRDefault="007C4200" w:rsidP="007C4200">
      <w:pPr>
        <w:numPr>
          <w:ilvl w:val="0"/>
          <w:numId w:val="18"/>
        </w:numPr>
        <w:suppressAutoHyphens/>
        <w:rPr>
          <w:rFonts w:ascii="Calibri" w:eastAsia="Calibri" w:hAnsi="Calibri" w:cs="Arial"/>
          <w:sz w:val="24"/>
          <w:szCs w:val="24"/>
          <w:lang w:eastAsia="zh-CN"/>
        </w:rPr>
      </w:pPr>
      <w:r w:rsidRPr="007C4200">
        <w:rPr>
          <w:rFonts w:ascii="Calibri" w:eastAsia="Calibri" w:hAnsi="Calibri" w:cs="Arial"/>
          <w:sz w:val="24"/>
          <w:szCs w:val="24"/>
          <w:lang w:eastAsia="zh-CN"/>
        </w:rPr>
        <w:t>včetně stolku s kolečky a brzdami</w:t>
      </w:r>
    </w:p>
    <w:p w14:paraId="6998C141" w14:textId="77777777" w:rsidR="00EC0D41" w:rsidRDefault="00EC0D41" w:rsidP="00EC0D41">
      <w:pPr>
        <w:suppressAutoHyphens/>
        <w:rPr>
          <w:rFonts w:ascii="Calibri" w:eastAsia="Calibri" w:hAnsi="Calibri" w:cs="Arial"/>
          <w:color w:val="000000"/>
          <w:sz w:val="24"/>
          <w:szCs w:val="24"/>
          <w:lang w:eastAsia="zh-CN"/>
        </w:rPr>
      </w:pPr>
    </w:p>
    <w:p w14:paraId="243ABBB9" w14:textId="77777777" w:rsidR="00EC0D41" w:rsidRDefault="00EC0D41" w:rsidP="00EC0D41">
      <w:pPr>
        <w:suppressAutoHyphens/>
        <w:rPr>
          <w:rFonts w:ascii="Calibri" w:eastAsia="Calibri" w:hAnsi="Calibri" w:cs="Arial"/>
          <w:color w:val="000000"/>
          <w:sz w:val="24"/>
          <w:szCs w:val="24"/>
          <w:lang w:eastAsia="zh-CN"/>
        </w:rPr>
      </w:pPr>
    </w:p>
    <w:p w14:paraId="7C4076BB" w14:textId="77777777" w:rsidR="00EC0D41" w:rsidRDefault="00EC0D41" w:rsidP="00EC0D41">
      <w:pPr>
        <w:suppressAutoHyphens/>
        <w:rPr>
          <w:rFonts w:ascii="Calibri" w:eastAsia="Calibri" w:hAnsi="Calibri" w:cs="Arial"/>
          <w:color w:val="000000"/>
          <w:sz w:val="24"/>
          <w:szCs w:val="24"/>
          <w:lang w:eastAsia="zh-CN"/>
        </w:rPr>
      </w:pPr>
    </w:p>
    <w:p w14:paraId="5017CB8F" w14:textId="77777777" w:rsidR="00EC0D41" w:rsidRPr="00E47E07" w:rsidRDefault="00EC0D41" w:rsidP="00EC0D41">
      <w:pPr>
        <w:suppressAutoHyphens/>
        <w:rPr>
          <w:rFonts w:ascii="Calibri" w:eastAsia="Calibri" w:hAnsi="Calibri" w:cs="Arial"/>
          <w:color w:val="000000"/>
          <w:sz w:val="24"/>
          <w:szCs w:val="24"/>
          <w:lang w:eastAsia="zh-CN"/>
        </w:rPr>
      </w:pPr>
    </w:p>
    <w:p w14:paraId="12330867" w14:textId="1991AEE6" w:rsidR="00A17F2A" w:rsidRPr="00EC0D41" w:rsidRDefault="00A17F2A" w:rsidP="00EC0D41">
      <w:pPr>
        <w:suppressAutoHyphens/>
        <w:spacing w:after="143"/>
        <w:ind w:left="720"/>
        <w:jc w:val="right"/>
        <w:rPr>
          <w:rFonts w:cs="Arial"/>
          <w:color w:val="000000"/>
        </w:rPr>
      </w:pPr>
      <w:r w:rsidRPr="003C62C0">
        <w:rPr>
          <w:rFonts w:cs="Arial"/>
          <w:color w:val="000000"/>
        </w:rPr>
        <w:t>V ……………… dne ……………………….</w:t>
      </w:r>
    </w:p>
    <w:p w14:paraId="4AD616B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PRODÁVAJÍCÍ:</w:t>
      </w:r>
    </w:p>
    <w:p w14:paraId="473E8666" w14:textId="77777777" w:rsidR="00A17F2A" w:rsidRPr="00A17F2A" w:rsidRDefault="00A17F2A" w:rsidP="00A17F2A">
      <w:pPr>
        <w:suppressAutoHyphens/>
        <w:spacing w:after="143"/>
        <w:ind w:left="720"/>
        <w:jc w:val="right"/>
        <w:rPr>
          <w:rFonts w:cs="Arial"/>
          <w:b/>
          <w:color w:val="000000"/>
        </w:rPr>
      </w:pPr>
    </w:p>
    <w:p w14:paraId="44B6DA1C" w14:textId="77777777" w:rsidR="00A17F2A" w:rsidRPr="00A17F2A" w:rsidRDefault="00A17F2A" w:rsidP="00A17F2A">
      <w:pPr>
        <w:suppressAutoHyphens/>
        <w:spacing w:after="143"/>
        <w:ind w:left="720"/>
        <w:jc w:val="right"/>
        <w:rPr>
          <w:rFonts w:cs="Arial"/>
          <w:b/>
          <w:color w:val="000000"/>
        </w:rPr>
      </w:pPr>
    </w:p>
    <w:p w14:paraId="35DA42F5"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___________________________________</w:t>
      </w:r>
    </w:p>
    <w:p w14:paraId="1147823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[název]</w:t>
      </w:r>
    </w:p>
    <w:p w14:paraId="45E803BF" w14:textId="7F5BC102" w:rsidR="00A17F2A" w:rsidRPr="00A17F2A" w:rsidRDefault="00A17F2A" w:rsidP="00A17F2A">
      <w:pPr>
        <w:suppressAutoHyphens/>
        <w:spacing w:after="143"/>
        <w:ind w:left="720"/>
        <w:jc w:val="right"/>
        <w:rPr>
          <w:rFonts w:cs="Arial"/>
          <w:b/>
          <w:color w:val="000000"/>
        </w:rPr>
      </w:pPr>
      <w:r w:rsidRPr="00A17F2A">
        <w:rPr>
          <w:rFonts w:cs="Arial"/>
          <w:b/>
          <w:color w:val="000000"/>
        </w:rPr>
        <w:t xml:space="preserve"> [jméno a funkce oprávněné osoby]</w:t>
      </w:r>
    </w:p>
    <w:sectPr w:rsidR="00A17F2A" w:rsidRPr="00A17F2A" w:rsidSect="003443A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BEF2" w14:textId="77777777" w:rsidR="001B787C" w:rsidRDefault="001B787C" w:rsidP="007916FA">
      <w:pPr>
        <w:spacing w:after="0" w:line="240" w:lineRule="auto"/>
      </w:pPr>
      <w:r>
        <w:separator/>
      </w:r>
    </w:p>
  </w:endnote>
  <w:endnote w:type="continuationSeparator" w:id="0">
    <w:p w14:paraId="1F25688F" w14:textId="77777777" w:rsidR="001B787C" w:rsidRDefault="001B787C"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720E" w14:textId="77777777" w:rsidR="001B787C" w:rsidRDefault="001B787C" w:rsidP="007916FA">
      <w:pPr>
        <w:spacing w:after="0" w:line="240" w:lineRule="auto"/>
      </w:pPr>
      <w:r>
        <w:separator/>
      </w:r>
    </w:p>
  </w:footnote>
  <w:footnote w:type="continuationSeparator" w:id="0">
    <w:p w14:paraId="2A01EF98" w14:textId="77777777" w:rsidR="001B787C" w:rsidRDefault="001B787C"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5C2FAD" w:rsidRDefault="005C2FAD">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771D51"/>
    <w:multiLevelType w:val="hybridMultilevel"/>
    <w:tmpl w:val="E69EC8EA"/>
    <w:lvl w:ilvl="0" w:tplc="6D8035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60E61C8E"/>
    <w:multiLevelType w:val="hybridMultilevel"/>
    <w:tmpl w:val="6C0C99EA"/>
    <w:lvl w:ilvl="0" w:tplc="44B64DA6">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33"/>
  </w:num>
  <w:num w:numId="5">
    <w:abstractNumId w:val="23"/>
  </w:num>
  <w:num w:numId="6">
    <w:abstractNumId w:val="21"/>
  </w:num>
  <w:num w:numId="7">
    <w:abstractNumId w:val="19"/>
  </w:num>
  <w:num w:numId="8">
    <w:abstractNumId w:val="20"/>
  </w:num>
  <w:num w:numId="9">
    <w:abstractNumId w:val="29"/>
  </w:num>
  <w:num w:numId="10">
    <w:abstractNumId w:val="27"/>
  </w:num>
  <w:num w:numId="11">
    <w:abstractNumId w:val="30"/>
  </w:num>
  <w:num w:numId="12">
    <w:abstractNumId w:val="26"/>
  </w:num>
  <w:num w:numId="13">
    <w:abstractNumId w:val="32"/>
  </w:num>
  <w:num w:numId="14">
    <w:abstractNumId w:val="28"/>
  </w:num>
  <w:num w:numId="15">
    <w:abstractNumId w:val="25"/>
  </w:num>
  <w:num w:numId="16">
    <w:abstractNumId w:val="31"/>
  </w:num>
  <w:num w:numId="17">
    <w:abstractNumId w:val="3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00418"/>
    <w:rsid w:val="00050BF0"/>
    <w:rsid w:val="00055730"/>
    <w:rsid w:val="0007693D"/>
    <w:rsid w:val="00081149"/>
    <w:rsid w:val="000842A0"/>
    <w:rsid w:val="000878E3"/>
    <w:rsid w:val="000967EF"/>
    <w:rsid w:val="000C5E48"/>
    <w:rsid w:val="000C7208"/>
    <w:rsid w:val="000D38F7"/>
    <w:rsid w:val="0011401C"/>
    <w:rsid w:val="00133051"/>
    <w:rsid w:val="001430EF"/>
    <w:rsid w:val="00144934"/>
    <w:rsid w:val="00183792"/>
    <w:rsid w:val="00183B4E"/>
    <w:rsid w:val="00192BD5"/>
    <w:rsid w:val="0019531D"/>
    <w:rsid w:val="001A4AA1"/>
    <w:rsid w:val="001A4B87"/>
    <w:rsid w:val="001B3ADC"/>
    <w:rsid w:val="001B787C"/>
    <w:rsid w:val="001C1546"/>
    <w:rsid w:val="001C6E26"/>
    <w:rsid w:val="001C7E73"/>
    <w:rsid w:val="001F1CE2"/>
    <w:rsid w:val="001F4E11"/>
    <w:rsid w:val="0020125F"/>
    <w:rsid w:val="002064BE"/>
    <w:rsid w:val="00211F79"/>
    <w:rsid w:val="00214D31"/>
    <w:rsid w:val="00271ABF"/>
    <w:rsid w:val="0028244C"/>
    <w:rsid w:val="0029712C"/>
    <w:rsid w:val="002A0219"/>
    <w:rsid w:val="002A4192"/>
    <w:rsid w:val="002A57EE"/>
    <w:rsid w:val="002C5E0C"/>
    <w:rsid w:val="002D113E"/>
    <w:rsid w:val="002D4256"/>
    <w:rsid w:val="002D5494"/>
    <w:rsid w:val="002F3466"/>
    <w:rsid w:val="003044BE"/>
    <w:rsid w:val="00305194"/>
    <w:rsid w:val="003443A2"/>
    <w:rsid w:val="003469E5"/>
    <w:rsid w:val="003573E8"/>
    <w:rsid w:val="003721EF"/>
    <w:rsid w:val="00372DF6"/>
    <w:rsid w:val="00386CE1"/>
    <w:rsid w:val="003928EA"/>
    <w:rsid w:val="003931AF"/>
    <w:rsid w:val="003A0839"/>
    <w:rsid w:val="003C3232"/>
    <w:rsid w:val="003C62C0"/>
    <w:rsid w:val="003D7EE2"/>
    <w:rsid w:val="003F3CD5"/>
    <w:rsid w:val="00403649"/>
    <w:rsid w:val="0040661F"/>
    <w:rsid w:val="00412089"/>
    <w:rsid w:val="00431E58"/>
    <w:rsid w:val="00437F71"/>
    <w:rsid w:val="0045000F"/>
    <w:rsid w:val="00454777"/>
    <w:rsid w:val="00467E68"/>
    <w:rsid w:val="00482E9F"/>
    <w:rsid w:val="00483BE7"/>
    <w:rsid w:val="00493019"/>
    <w:rsid w:val="004A4EAF"/>
    <w:rsid w:val="004A5C77"/>
    <w:rsid w:val="004B2CAA"/>
    <w:rsid w:val="004B5DDA"/>
    <w:rsid w:val="004C3988"/>
    <w:rsid w:val="004F3A9D"/>
    <w:rsid w:val="00506E29"/>
    <w:rsid w:val="00514FAB"/>
    <w:rsid w:val="00516B25"/>
    <w:rsid w:val="00541654"/>
    <w:rsid w:val="00546586"/>
    <w:rsid w:val="005634DB"/>
    <w:rsid w:val="0056722E"/>
    <w:rsid w:val="0057796F"/>
    <w:rsid w:val="00577A2A"/>
    <w:rsid w:val="005C0134"/>
    <w:rsid w:val="005C2FAD"/>
    <w:rsid w:val="005C796C"/>
    <w:rsid w:val="005D5729"/>
    <w:rsid w:val="005E1E72"/>
    <w:rsid w:val="005E77D8"/>
    <w:rsid w:val="005F39E5"/>
    <w:rsid w:val="00603DC3"/>
    <w:rsid w:val="00646914"/>
    <w:rsid w:val="00653D47"/>
    <w:rsid w:val="00655040"/>
    <w:rsid w:val="00662AA5"/>
    <w:rsid w:val="006707AA"/>
    <w:rsid w:val="00673C98"/>
    <w:rsid w:val="006A199B"/>
    <w:rsid w:val="006B071E"/>
    <w:rsid w:val="006B554A"/>
    <w:rsid w:val="006B7827"/>
    <w:rsid w:val="006C144E"/>
    <w:rsid w:val="006D2CB7"/>
    <w:rsid w:val="006F5059"/>
    <w:rsid w:val="006F5FB0"/>
    <w:rsid w:val="00705BA7"/>
    <w:rsid w:val="00750F56"/>
    <w:rsid w:val="00755608"/>
    <w:rsid w:val="0077581C"/>
    <w:rsid w:val="00785E21"/>
    <w:rsid w:val="007916FA"/>
    <w:rsid w:val="007A0CA9"/>
    <w:rsid w:val="007B40C7"/>
    <w:rsid w:val="007B65EF"/>
    <w:rsid w:val="007C4200"/>
    <w:rsid w:val="007D7945"/>
    <w:rsid w:val="007F06C0"/>
    <w:rsid w:val="007F5B14"/>
    <w:rsid w:val="0080049E"/>
    <w:rsid w:val="00804EBE"/>
    <w:rsid w:val="008171A9"/>
    <w:rsid w:val="008254E4"/>
    <w:rsid w:val="008268D8"/>
    <w:rsid w:val="00835061"/>
    <w:rsid w:val="008369B1"/>
    <w:rsid w:val="008633C9"/>
    <w:rsid w:val="00871C6B"/>
    <w:rsid w:val="0088755A"/>
    <w:rsid w:val="008A4097"/>
    <w:rsid w:val="008B5D96"/>
    <w:rsid w:val="008D781A"/>
    <w:rsid w:val="008F6A5A"/>
    <w:rsid w:val="00904F49"/>
    <w:rsid w:val="00911332"/>
    <w:rsid w:val="00913D4F"/>
    <w:rsid w:val="0091480B"/>
    <w:rsid w:val="009240B7"/>
    <w:rsid w:val="009266D0"/>
    <w:rsid w:val="00946277"/>
    <w:rsid w:val="009905DA"/>
    <w:rsid w:val="0099703A"/>
    <w:rsid w:val="009A21DF"/>
    <w:rsid w:val="009B64F7"/>
    <w:rsid w:val="009C2A50"/>
    <w:rsid w:val="009D2D54"/>
    <w:rsid w:val="00A1131F"/>
    <w:rsid w:val="00A17F2A"/>
    <w:rsid w:val="00A344DF"/>
    <w:rsid w:val="00A44341"/>
    <w:rsid w:val="00A536B3"/>
    <w:rsid w:val="00A5575D"/>
    <w:rsid w:val="00A65A26"/>
    <w:rsid w:val="00A7529E"/>
    <w:rsid w:val="00A752C2"/>
    <w:rsid w:val="00A773F4"/>
    <w:rsid w:val="00A84A1C"/>
    <w:rsid w:val="00AA449B"/>
    <w:rsid w:val="00AB1392"/>
    <w:rsid w:val="00AB50B3"/>
    <w:rsid w:val="00AC26BB"/>
    <w:rsid w:val="00AC3695"/>
    <w:rsid w:val="00B02A2F"/>
    <w:rsid w:val="00B05E89"/>
    <w:rsid w:val="00B223CE"/>
    <w:rsid w:val="00B23185"/>
    <w:rsid w:val="00B569CA"/>
    <w:rsid w:val="00B57AE0"/>
    <w:rsid w:val="00B57DBA"/>
    <w:rsid w:val="00B743D1"/>
    <w:rsid w:val="00B950E7"/>
    <w:rsid w:val="00B979D2"/>
    <w:rsid w:val="00BC2B56"/>
    <w:rsid w:val="00C11A58"/>
    <w:rsid w:val="00C14B76"/>
    <w:rsid w:val="00C22D76"/>
    <w:rsid w:val="00C244BC"/>
    <w:rsid w:val="00C26B93"/>
    <w:rsid w:val="00C30E9E"/>
    <w:rsid w:val="00C4547F"/>
    <w:rsid w:val="00C73FA5"/>
    <w:rsid w:val="00C8432C"/>
    <w:rsid w:val="00C96E4E"/>
    <w:rsid w:val="00CB5ECE"/>
    <w:rsid w:val="00CC6498"/>
    <w:rsid w:val="00CF2E08"/>
    <w:rsid w:val="00CF51D9"/>
    <w:rsid w:val="00CF5A5C"/>
    <w:rsid w:val="00D00F87"/>
    <w:rsid w:val="00D24DFD"/>
    <w:rsid w:val="00D35837"/>
    <w:rsid w:val="00D52E28"/>
    <w:rsid w:val="00D63CA5"/>
    <w:rsid w:val="00D6597B"/>
    <w:rsid w:val="00D74A21"/>
    <w:rsid w:val="00D9523F"/>
    <w:rsid w:val="00DA6366"/>
    <w:rsid w:val="00DD1BEA"/>
    <w:rsid w:val="00DE682B"/>
    <w:rsid w:val="00DF65EE"/>
    <w:rsid w:val="00E050EF"/>
    <w:rsid w:val="00E130F7"/>
    <w:rsid w:val="00E13761"/>
    <w:rsid w:val="00E13C8B"/>
    <w:rsid w:val="00E14D96"/>
    <w:rsid w:val="00E23D24"/>
    <w:rsid w:val="00E34423"/>
    <w:rsid w:val="00E41362"/>
    <w:rsid w:val="00E47E07"/>
    <w:rsid w:val="00E66E08"/>
    <w:rsid w:val="00E77BAA"/>
    <w:rsid w:val="00E87A1B"/>
    <w:rsid w:val="00E93BB9"/>
    <w:rsid w:val="00E97FC9"/>
    <w:rsid w:val="00EB3851"/>
    <w:rsid w:val="00EB46DE"/>
    <w:rsid w:val="00EB72F1"/>
    <w:rsid w:val="00EC0D41"/>
    <w:rsid w:val="00ED408E"/>
    <w:rsid w:val="00ED75F6"/>
    <w:rsid w:val="00F104A3"/>
    <w:rsid w:val="00F30A73"/>
    <w:rsid w:val="00F53B9F"/>
    <w:rsid w:val="00FC53B9"/>
    <w:rsid w:val="00FD6F3F"/>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0F156E2D-4D5E-4872-8853-DC4C6256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8EBE-13F9-47B1-A282-846061BD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3644</Words>
  <Characters>21501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2</cp:revision>
  <cp:lastPrinted>2016-11-21T12:12:00Z</cp:lastPrinted>
  <dcterms:created xsi:type="dcterms:W3CDTF">2018-03-26T06:30:00Z</dcterms:created>
  <dcterms:modified xsi:type="dcterms:W3CDTF">2018-03-26T06:30:00Z</dcterms:modified>
</cp:coreProperties>
</file>