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78" w:rsidRDefault="00C8153B">
      <w:pPr>
        <w:pStyle w:val="Nadpis10"/>
        <w:keepNext/>
        <w:keepLines/>
        <w:shd w:val="clear" w:color="auto" w:fill="auto"/>
        <w:ind w:left="160"/>
      </w:pPr>
      <w:bookmarkStart w:id="0" w:name="bookmark0"/>
      <w:bookmarkStart w:id="1" w:name="_GoBack"/>
      <w:bookmarkEnd w:id="1"/>
      <w:r>
        <w:t>PŘÍKAZNÍ SMLOUVA</w:t>
      </w:r>
      <w:bookmarkEnd w:id="0"/>
    </w:p>
    <w:p w:rsidR="002C2878" w:rsidRDefault="00C8153B">
      <w:pPr>
        <w:pStyle w:val="Zkladntext30"/>
        <w:shd w:val="clear" w:color="auto" w:fill="auto"/>
        <w:ind w:left="320"/>
      </w:pPr>
      <w:r>
        <w:t>dle § 2430 násl. zákona č. 89/2012 Sb., občanského zákoníku, ve znění pozdějších předpisů (dále jen „občanský zákoník")</w:t>
      </w:r>
    </w:p>
    <w:p w:rsidR="002C2878" w:rsidRDefault="00C8153B">
      <w:pPr>
        <w:pStyle w:val="Zkladntext40"/>
        <w:shd w:val="clear" w:color="auto" w:fill="auto"/>
        <w:ind w:left="3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6pt;margin-top:1pt;width:94.1pt;height:95.75pt;z-index:-125829376;mso-wrap-distance-left:5pt;mso-wrap-distance-right:17.3pt;mso-wrap-distance-bottom:26.6pt;mso-position-horizontal-relative:margin" filled="f" stroked="f">
            <v:textbox style="mso-fit-shape-to-text:t" inset="0,0,0,0">
              <w:txbxContent>
                <w:p w:rsidR="002C2878" w:rsidRDefault="00C8153B">
                  <w:pPr>
                    <w:pStyle w:val="Zkladntext40"/>
                    <w:shd w:val="clear" w:color="auto" w:fill="auto"/>
                    <w:ind w:firstLine="0"/>
                  </w:pPr>
                  <w:r>
                    <w:rPr>
                      <w:rStyle w:val="Zkladntext4Exact"/>
                      <w:b/>
                      <w:bCs/>
                    </w:rPr>
                    <w:t>Příkazník:</w:t>
                  </w:r>
                </w:p>
                <w:p w:rsidR="002C2878" w:rsidRDefault="00C8153B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IČ/DIČ:</w:t>
                  </w:r>
                </w:p>
                <w:p w:rsidR="002C2878" w:rsidRDefault="00C8153B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sídlem:</w:t>
                  </w:r>
                </w:p>
                <w:p w:rsidR="002C2878" w:rsidRDefault="00C8153B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zapsaný:</w:t>
                  </w:r>
                </w:p>
                <w:p w:rsidR="002C2878" w:rsidRDefault="00C8153B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zastoupený:</w:t>
                  </w:r>
                </w:p>
                <w:p w:rsidR="002C2878" w:rsidRDefault="00C8153B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bankovní spojení:</w:t>
                  </w:r>
                </w:p>
                <w:p w:rsidR="002C2878" w:rsidRDefault="00C8153B">
                  <w:pPr>
                    <w:pStyle w:val="Zkladntext40"/>
                    <w:shd w:val="clear" w:color="auto" w:fill="auto"/>
                    <w:ind w:firstLine="0"/>
                  </w:pPr>
                  <w:r>
                    <w:rPr>
                      <w:rStyle w:val="Zkladntext410ptNetunExact"/>
                    </w:rPr>
                    <w:t xml:space="preserve">(dále jen </w:t>
                  </w:r>
                  <w:r>
                    <w:rPr>
                      <w:rStyle w:val="Zkladntext4Exact"/>
                      <w:b/>
                      <w:bCs/>
                    </w:rPr>
                    <w:t>„Příkazník")</w:t>
                  </w:r>
                </w:p>
              </w:txbxContent>
            </v:textbox>
            <w10:wrap type="square" side="right" anchorx="margin"/>
          </v:shape>
        </w:pict>
      </w:r>
      <w:r>
        <w:t xml:space="preserve">Turistické informační </w:t>
      </w:r>
      <w:r>
        <w:t>centrum Pardubice, příspěvková organizace</w:t>
      </w:r>
    </w:p>
    <w:p w:rsidR="002C2878" w:rsidRDefault="00C8153B">
      <w:pPr>
        <w:pStyle w:val="Zkladntext20"/>
        <w:shd w:val="clear" w:color="auto" w:fill="auto"/>
        <w:ind w:left="320"/>
      </w:pPr>
      <w:r>
        <w:t>06495001</w:t>
      </w:r>
    </w:p>
    <w:p w:rsidR="002C2878" w:rsidRDefault="00C8153B">
      <w:pPr>
        <w:pStyle w:val="Zkladntext20"/>
        <w:shd w:val="clear" w:color="auto" w:fill="auto"/>
        <w:spacing w:after="260"/>
        <w:ind w:left="320"/>
      </w:pPr>
      <w:r>
        <w:t>náměstí Republiky 1, Zelené Předměstí, 530 02 Pardubice</w:t>
      </w:r>
    </w:p>
    <w:p w:rsidR="002C2878" w:rsidRDefault="00C8153B">
      <w:pPr>
        <w:pStyle w:val="Zkladntext20"/>
        <w:shd w:val="clear" w:color="auto" w:fill="auto"/>
        <w:spacing w:after="387"/>
        <w:ind w:firstLine="0"/>
      </w:pPr>
      <w:r>
        <w:t>Mgr. Marinou Vančatovou, Ph.D., ředitelkou č.ú. 115-5858100267/0100, Komerční banka a.s.</w:t>
      </w:r>
    </w:p>
    <w:p w:rsidR="002C2878" w:rsidRDefault="00C8153B">
      <w:pPr>
        <w:pStyle w:val="Titulektabulky0"/>
        <w:framePr w:w="9806" w:wrap="notBeside" w:vAnchor="text" w:hAnchor="text" w:xAlign="center" w:y="1"/>
        <w:shd w:val="clear" w:color="auto" w:fill="auto"/>
      </w:pPr>
      <w:r>
        <w:t>a</w:t>
      </w:r>
    </w:p>
    <w:p w:rsidR="002C2878" w:rsidRDefault="00C8153B">
      <w:pPr>
        <w:pStyle w:val="Titulektabulky20"/>
        <w:framePr w:w="9806" w:wrap="notBeside" w:vAnchor="text" w:hAnchor="text" w:xAlign="center" w:y="1"/>
        <w:shd w:val="clear" w:color="auto" w:fill="auto"/>
      </w:pPr>
      <w:r>
        <w:t>Příkazce: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034"/>
        <w:gridCol w:w="1925"/>
        <w:gridCol w:w="2362"/>
      </w:tblGrid>
      <w:tr w:rsidR="002C287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2878" w:rsidRDefault="00C8153B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105ptTun"/>
              </w:rPr>
              <w:t>název / firma: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2878" w:rsidRDefault="00C8153B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105ptTun"/>
              </w:rPr>
              <w:t>Nezávislý spolek Přátelé ZUŠ</w:t>
            </w:r>
          </w:p>
        </w:tc>
      </w:tr>
      <w:tr w:rsidR="002C287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878" w:rsidRDefault="00C8153B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105ptTun"/>
              </w:rPr>
              <w:t>IČ: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878" w:rsidRDefault="00C8153B">
            <w:pPr>
              <w:pStyle w:val="Zkladntext20"/>
              <w:framePr w:w="9806" w:wrap="notBeside" w:vAnchor="text" w:hAnchor="text" w:xAlign="center" w:y="1"/>
              <w:shd w:val="clear" w:color="auto" w:fill="auto"/>
              <w:tabs>
                <w:tab w:val="left" w:pos="3029"/>
              </w:tabs>
              <w:spacing w:line="256" w:lineRule="exact"/>
              <w:ind w:firstLine="0"/>
              <w:jc w:val="both"/>
            </w:pPr>
            <w:r>
              <w:rPr>
                <w:rStyle w:val="Zkladntext2105ptTun"/>
              </w:rPr>
              <w:t>67440436</w:t>
            </w:r>
            <w:r>
              <w:rPr>
                <w:rStyle w:val="Zkladntext2105ptTun"/>
              </w:rPr>
              <w:tab/>
              <w:t>DIČ: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878" w:rsidRDefault="002C2878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287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2878" w:rsidRDefault="00C8153B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105ptTun"/>
              </w:rPr>
              <w:t>sídlem: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2878" w:rsidRDefault="00C8153B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1"/>
              </w:rPr>
              <w:t xml:space="preserve">Lonkova </w:t>
            </w:r>
            <w:r>
              <w:rPr>
                <w:rStyle w:val="Zkladntext2105ptTun"/>
              </w:rPr>
              <w:t xml:space="preserve">510, 530 09 </w:t>
            </w:r>
            <w:r>
              <w:rPr>
                <w:rStyle w:val="Zkladntext21"/>
              </w:rPr>
              <w:t>Pardubice</w:t>
            </w:r>
          </w:p>
        </w:tc>
      </w:tr>
      <w:tr w:rsidR="002C287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2878" w:rsidRDefault="00C8153B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105ptTun"/>
              </w:rPr>
              <w:t>zastoupený: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2878" w:rsidRDefault="00C8153B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Zkladntext21"/>
              </w:rPr>
              <w:t>Mgr. Naděžda Gregorová</w:t>
            </w:r>
          </w:p>
        </w:tc>
      </w:tr>
      <w:tr w:rsidR="002C287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2878" w:rsidRDefault="00C8153B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105ptTun"/>
              </w:rPr>
              <w:t>kontaktní osoba: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2878" w:rsidRDefault="00C8153B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Zkladntext21"/>
              </w:rPr>
              <w:t>Mgr. Radka Hronová</w:t>
            </w:r>
          </w:p>
        </w:tc>
      </w:tr>
      <w:tr w:rsidR="002C287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2878" w:rsidRDefault="00C8153B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105ptTun"/>
              </w:rPr>
              <w:t>kontaktní e-mail: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2878" w:rsidRDefault="00C8153B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line="244" w:lineRule="exact"/>
              <w:ind w:firstLine="0"/>
              <w:jc w:val="both"/>
            </w:pPr>
            <w:hyperlink r:id="rId7" w:history="1">
              <w:r>
                <w:rPr>
                  <w:rStyle w:val="Zkladntext21"/>
                  <w:lang w:val="en-US" w:eastAsia="en-US" w:bidi="en-US"/>
                </w:rPr>
                <w:t>hronova@zuspardubice.cz</w:t>
              </w:r>
            </w:hyperlink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2878" w:rsidRDefault="00C8153B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105ptTun"/>
              </w:rPr>
              <w:t>kontaktní telefon: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2878" w:rsidRDefault="00C8153B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105ptTun"/>
              </w:rPr>
              <w:t>608 949 180</w:t>
            </w:r>
          </w:p>
        </w:tc>
      </w:tr>
      <w:tr w:rsidR="002C287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878" w:rsidRDefault="00C8153B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105ptTun"/>
              </w:rPr>
              <w:t>bankovní</w:t>
            </w:r>
            <w:r>
              <w:rPr>
                <w:rStyle w:val="Zkladntext2105ptTun"/>
              </w:rPr>
              <w:t xml:space="preserve"> spojení: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878" w:rsidRDefault="00C8153B">
            <w:pPr>
              <w:pStyle w:val="Zkladntext20"/>
              <w:framePr w:w="9806" w:wrap="notBeside" w:vAnchor="text" w:hAnchor="text" w:xAlign="center" w:y="1"/>
              <w:shd w:val="clear" w:color="auto" w:fill="auto"/>
              <w:tabs>
                <w:tab w:val="left" w:pos="686"/>
              </w:tabs>
              <w:spacing w:line="256" w:lineRule="exact"/>
              <w:ind w:firstLine="0"/>
              <w:jc w:val="both"/>
            </w:pPr>
            <w:r>
              <w:rPr>
                <w:rStyle w:val="Zkladntext2105ptTun"/>
              </w:rPr>
              <w:t>č.ú.:</w:t>
            </w:r>
            <w:r>
              <w:rPr>
                <w:rStyle w:val="Zkladntext2105ptTun"/>
              </w:rPr>
              <w:tab/>
              <w:t>2400872077/2010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878" w:rsidRDefault="00C8153B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line="256" w:lineRule="exact"/>
              <w:ind w:firstLine="0"/>
            </w:pPr>
            <w:r>
              <w:rPr>
                <w:rStyle w:val="Zkladntext2105ptTun"/>
              </w:rPr>
              <w:t>banka: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878" w:rsidRDefault="00C8153B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Zkladntext21"/>
              </w:rPr>
              <w:t>Fio banka</w:t>
            </w:r>
          </w:p>
        </w:tc>
      </w:tr>
    </w:tbl>
    <w:p w:rsidR="002C2878" w:rsidRDefault="00C8153B">
      <w:pPr>
        <w:pStyle w:val="Titulektabulky20"/>
        <w:framePr w:w="9806" w:wrap="notBeside" w:vAnchor="text" w:hAnchor="text" w:xAlign="center" w:y="1"/>
        <w:shd w:val="clear" w:color="auto" w:fill="auto"/>
        <w:spacing w:after="60"/>
      </w:pPr>
      <w:r>
        <w:rPr>
          <w:rStyle w:val="Titulektabulky210ptNetun"/>
        </w:rPr>
        <w:t xml:space="preserve">(dále jen </w:t>
      </w:r>
      <w:r>
        <w:t>„Příkazce")</w:t>
      </w:r>
    </w:p>
    <w:p w:rsidR="002C2878" w:rsidRDefault="00C8153B">
      <w:pPr>
        <w:pStyle w:val="Titulektabulky0"/>
        <w:framePr w:w="9806" w:wrap="notBeside" w:vAnchor="text" w:hAnchor="text" w:xAlign="center" w:y="1"/>
        <w:shd w:val="clear" w:color="auto" w:fill="auto"/>
        <w:spacing w:line="256" w:lineRule="exact"/>
      </w:pPr>
      <w:r>
        <w:t xml:space="preserve">(společně dále jako </w:t>
      </w:r>
      <w:r>
        <w:rPr>
          <w:rStyle w:val="Titulektabulky105ptTun"/>
        </w:rPr>
        <w:t>„Smluvní strany")</w:t>
      </w:r>
    </w:p>
    <w:p w:rsidR="002C2878" w:rsidRDefault="002C2878">
      <w:pPr>
        <w:framePr w:w="9806" w:wrap="notBeside" w:vAnchor="text" w:hAnchor="text" w:xAlign="center" w:y="1"/>
        <w:rPr>
          <w:sz w:val="2"/>
          <w:szCs w:val="2"/>
        </w:rPr>
      </w:pPr>
    </w:p>
    <w:p w:rsidR="002C2878" w:rsidRDefault="002C2878">
      <w:pPr>
        <w:rPr>
          <w:sz w:val="2"/>
          <w:szCs w:val="2"/>
        </w:rPr>
      </w:pPr>
    </w:p>
    <w:p w:rsidR="002C2878" w:rsidRDefault="00C8153B">
      <w:pPr>
        <w:pStyle w:val="Zkladntext20"/>
        <w:shd w:val="clear" w:color="auto" w:fill="auto"/>
        <w:spacing w:line="322" w:lineRule="exact"/>
        <w:ind w:left="160" w:firstLine="0"/>
        <w:jc w:val="center"/>
      </w:pPr>
      <w:r>
        <w:t>uzavírají níže uvedeného dne, měsíce a roku tuto</w:t>
      </w:r>
      <w:r>
        <w:br/>
      </w:r>
      <w:r>
        <w:rPr>
          <w:rStyle w:val="Zkladntext2105ptTun0"/>
        </w:rPr>
        <w:t xml:space="preserve">Příkazní smlouvu </w:t>
      </w:r>
      <w:r>
        <w:t xml:space="preserve">(dále jen </w:t>
      </w:r>
      <w:r>
        <w:rPr>
          <w:rStyle w:val="Zkladntext2105ptTun0"/>
        </w:rPr>
        <w:t>„Smlouva")</w:t>
      </w:r>
    </w:p>
    <w:p w:rsidR="002C2878" w:rsidRDefault="00C8153B">
      <w:pPr>
        <w:pStyle w:val="Zkladntext40"/>
        <w:shd w:val="clear" w:color="auto" w:fill="auto"/>
        <w:spacing w:line="259" w:lineRule="exact"/>
        <w:ind w:left="4140" w:firstLine="0"/>
      </w:pPr>
      <w:r>
        <w:t>Článek I.</w:t>
      </w:r>
    </w:p>
    <w:p w:rsidR="002C2878" w:rsidRDefault="00C8153B">
      <w:pPr>
        <w:pStyle w:val="Zkladntext40"/>
        <w:shd w:val="clear" w:color="auto" w:fill="auto"/>
        <w:spacing w:line="259" w:lineRule="exact"/>
        <w:ind w:left="4140" w:firstLine="0"/>
      </w:pPr>
      <w:r>
        <w:t>Preambule</w:t>
      </w:r>
    </w:p>
    <w:p w:rsidR="002C2878" w:rsidRDefault="00C8153B">
      <w:pPr>
        <w:pStyle w:val="Zkladntext20"/>
        <w:shd w:val="clear" w:color="auto" w:fill="auto"/>
        <w:spacing w:line="259" w:lineRule="exact"/>
        <w:ind w:left="320"/>
      </w:pPr>
      <w:r>
        <w:pict>
          <v:shape id="_x0000_s1027" type="#_x0000_t202" style="position:absolute;left:0;text-align:left;margin-left:.7pt;margin-top:1pt;width:10.8pt;height:94.4pt;z-index:-125829375;mso-wrap-distance-left:5pt;mso-wrap-distance-top:18.65pt;mso-wrap-distance-right:5pt;mso-wrap-distance-bottom:3.1pt;mso-position-horizontal-relative:margin" filled="f" stroked="f">
            <v:textbox style="mso-fit-shape-to-text:t" inset="0,0,0,0">
              <w:txbxContent>
                <w:p w:rsidR="002C2878" w:rsidRDefault="00C8153B">
                  <w:pPr>
                    <w:pStyle w:val="Zkladntext5"/>
                    <w:shd w:val="clear" w:color="auto" w:fill="auto"/>
                  </w:pPr>
                  <w:r>
                    <w:rPr>
                      <w:rStyle w:val="Zkladntext5105ptNetunExact"/>
                    </w:rPr>
                    <w:t>1</w:t>
                  </w:r>
                  <w:r>
                    <w:t>.</w:t>
                  </w:r>
                </w:p>
                <w:p w:rsidR="002C2878" w:rsidRDefault="00C8153B">
                  <w:pPr>
                    <w:pStyle w:val="Zkladntext6"/>
                    <w:shd w:val="clear" w:color="auto" w:fill="auto"/>
                    <w:spacing w:after="279"/>
                  </w:pPr>
                  <w:r>
                    <w:rPr>
                      <w:rStyle w:val="Zkladntext611ptNetunExact"/>
                    </w:rPr>
                    <w:t>2</w:t>
                  </w:r>
                  <w:r>
                    <w:t>.</w:t>
                  </w:r>
                </w:p>
                <w:p w:rsidR="002C2878" w:rsidRDefault="00C8153B">
                  <w:pPr>
                    <w:pStyle w:val="Zkladntext20"/>
                    <w:shd w:val="clear" w:color="auto" w:fill="auto"/>
                    <w:spacing w:after="530" w:line="244" w:lineRule="exact"/>
                    <w:ind w:firstLine="0"/>
                  </w:pPr>
                  <w:r>
                    <w:rPr>
                      <w:rStyle w:val="Zkladntext2Exact"/>
                    </w:rPr>
                    <w:t>3.</w:t>
                  </w:r>
                </w:p>
                <w:p w:rsidR="002C2878" w:rsidRDefault="00C8153B">
                  <w:pPr>
                    <w:pStyle w:val="Zkladntext40"/>
                    <w:shd w:val="clear" w:color="auto" w:fill="auto"/>
                    <w:spacing w:line="256" w:lineRule="exact"/>
                    <w:ind w:firstLine="0"/>
                  </w:pPr>
                  <w:r>
                    <w:rPr>
                      <w:rStyle w:val="Zkladntext4Exact"/>
                      <w:b/>
                      <w:bCs/>
                    </w:rPr>
                    <w:t>4.</w:t>
                  </w:r>
                </w:p>
              </w:txbxContent>
            </v:textbox>
            <w10:wrap type="square" side="right" anchorx="margin"/>
          </v:shape>
        </w:pict>
      </w:r>
      <w:r>
        <w:t xml:space="preserve">Příkazník je </w:t>
      </w:r>
      <w:r>
        <w:t>příspěvkovou organizací, jejímž zřizovatelem je Statutární město Pardubice.</w:t>
      </w:r>
    </w:p>
    <w:p w:rsidR="002C2878" w:rsidRDefault="00C8153B">
      <w:pPr>
        <w:pStyle w:val="Zkladntext20"/>
        <w:shd w:val="clear" w:color="auto" w:fill="auto"/>
        <w:spacing w:line="259" w:lineRule="exact"/>
        <w:ind w:firstLine="0"/>
      </w:pPr>
      <w:r>
        <w:rPr>
          <w:rStyle w:val="Zkladntext2105ptTun0"/>
        </w:rPr>
        <w:t xml:space="preserve">Systém Ticketportal </w:t>
      </w:r>
      <w:r>
        <w:t xml:space="preserve">je objednávkový a distribuční systém umožňující zejména rezervace, prodej a výdej vstupenek na různé kulturní, sportovní a společenské akce (dále jen </w:t>
      </w:r>
      <w:r>
        <w:rPr>
          <w:rStyle w:val="Zkladntext2105ptTun0"/>
        </w:rPr>
        <w:t>„Ticketpor</w:t>
      </w:r>
      <w:r>
        <w:rPr>
          <w:rStyle w:val="Zkladntext2105ptTun0"/>
        </w:rPr>
        <w:t>tal").</w:t>
      </w:r>
    </w:p>
    <w:p w:rsidR="002C2878" w:rsidRDefault="00C8153B">
      <w:pPr>
        <w:pStyle w:val="Zkladntext20"/>
        <w:shd w:val="clear" w:color="auto" w:fill="auto"/>
        <w:spacing w:line="259" w:lineRule="exact"/>
        <w:ind w:right="240" w:firstLine="0"/>
        <w:jc w:val="both"/>
      </w:pPr>
      <w:r>
        <w:rPr>
          <w:rStyle w:val="Zkladntext2105ptTun0"/>
        </w:rPr>
        <w:t xml:space="preserve">Vstupenkový systém TicketCity </w:t>
      </w:r>
      <w:r>
        <w:t xml:space="preserve">je vlastní vstupenkový systém pro rezervaci, prodej a výdej vstupenek na různé kulturní, sportovní a společenská akce, jehož provozovatelem a vlastníkem je Příkazník, a který je provozován ve spojení se systémem Ticketportal (dále jen </w:t>
      </w:r>
      <w:r>
        <w:rPr>
          <w:rStyle w:val="Zkladntext2105ptTun0"/>
        </w:rPr>
        <w:t>„TicketCity").</w:t>
      </w:r>
    </w:p>
    <w:p w:rsidR="002C2878" w:rsidRDefault="00C8153B">
      <w:pPr>
        <w:pStyle w:val="Zkladntext20"/>
        <w:shd w:val="clear" w:color="auto" w:fill="auto"/>
        <w:spacing w:line="259" w:lineRule="exact"/>
        <w:ind w:firstLine="0"/>
      </w:pPr>
      <w:r>
        <w:t>Příkaz</w:t>
      </w:r>
      <w:r>
        <w:t xml:space="preserve">ce zabezpečuje organizaci a průběh různých kulturních, společenských a sportovních akcí, na která se prodávají vstupenky (dále jen </w:t>
      </w:r>
      <w:r>
        <w:rPr>
          <w:rStyle w:val="Zkladntext2105ptTun0"/>
        </w:rPr>
        <w:t>„akce").</w:t>
      </w:r>
    </w:p>
    <w:p w:rsidR="002C2878" w:rsidRDefault="00C8153B">
      <w:pPr>
        <w:pStyle w:val="Zkladntext40"/>
        <w:shd w:val="clear" w:color="auto" w:fill="auto"/>
        <w:spacing w:line="259" w:lineRule="exact"/>
        <w:ind w:left="160" w:firstLine="0"/>
        <w:jc w:val="center"/>
      </w:pPr>
      <w:r>
        <w:t>Článek II.</w:t>
      </w:r>
    </w:p>
    <w:p w:rsidR="002C2878" w:rsidRDefault="00C8153B">
      <w:pPr>
        <w:pStyle w:val="Zkladntext40"/>
        <w:shd w:val="clear" w:color="auto" w:fill="auto"/>
        <w:spacing w:line="259" w:lineRule="exact"/>
        <w:ind w:left="4140" w:firstLine="0"/>
      </w:pPr>
      <w:r>
        <w:t>Předmět Smlouvy</w:t>
      </w:r>
    </w:p>
    <w:p w:rsidR="002C2878" w:rsidRDefault="00C8153B">
      <w:pPr>
        <w:pStyle w:val="Zkladntext20"/>
        <w:numPr>
          <w:ilvl w:val="0"/>
          <w:numId w:val="1"/>
        </w:numPr>
        <w:shd w:val="clear" w:color="auto" w:fill="auto"/>
        <w:tabs>
          <w:tab w:val="left" w:pos="320"/>
        </w:tabs>
        <w:spacing w:line="259" w:lineRule="exact"/>
        <w:ind w:left="320"/>
      </w:pPr>
      <w:r>
        <w:t>Příkazník se zavazuje pro Příkazce a jeho jménem uskutečnit výkon činností a souvisejícíc</w:t>
      </w:r>
      <w:r>
        <w:t>h služeb dle této Smlouvy spočívajících v zajištění prodeje vstupenek na konkrétní akce pořádané Příkazníkem (dále jen „vstupenky").</w:t>
      </w:r>
    </w:p>
    <w:p w:rsidR="002C2878" w:rsidRDefault="00C8153B">
      <w:pPr>
        <w:pStyle w:val="Zkladntext20"/>
        <w:numPr>
          <w:ilvl w:val="0"/>
          <w:numId w:val="1"/>
        </w:numPr>
        <w:shd w:val="clear" w:color="auto" w:fill="auto"/>
        <w:tabs>
          <w:tab w:val="left" w:pos="334"/>
        </w:tabs>
        <w:spacing w:line="259" w:lineRule="exact"/>
        <w:ind w:left="320"/>
      </w:pPr>
      <w:r>
        <w:t>Příkazce se za činnost Příkazníka dle této Smlouvy zavazuje zaplatit Příkazníkovi odměnu dle čl. VI. této Smlouvy.</w:t>
      </w:r>
    </w:p>
    <w:p w:rsidR="002C2878" w:rsidRDefault="00C8153B">
      <w:pPr>
        <w:pStyle w:val="Zkladntext40"/>
        <w:shd w:val="clear" w:color="auto" w:fill="auto"/>
        <w:spacing w:line="259" w:lineRule="exact"/>
        <w:ind w:left="160" w:firstLine="0"/>
        <w:jc w:val="center"/>
      </w:pPr>
      <w:r>
        <w:t>Článek I</w:t>
      </w:r>
      <w:r>
        <w:t>II.</w:t>
      </w:r>
    </w:p>
    <w:p w:rsidR="002C2878" w:rsidRDefault="00C8153B">
      <w:pPr>
        <w:pStyle w:val="Zkladntext40"/>
        <w:shd w:val="clear" w:color="auto" w:fill="auto"/>
        <w:spacing w:line="259" w:lineRule="exact"/>
        <w:ind w:left="160" w:firstLine="0"/>
        <w:jc w:val="center"/>
      </w:pPr>
      <w:r>
        <w:t>Podmínky spolupráce</w:t>
      </w:r>
    </w:p>
    <w:p w:rsidR="002C2878" w:rsidRDefault="00C8153B">
      <w:pPr>
        <w:pStyle w:val="Zkladntext20"/>
        <w:numPr>
          <w:ilvl w:val="0"/>
          <w:numId w:val="2"/>
        </w:numPr>
        <w:shd w:val="clear" w:color="auto" w:fill="auto"/>
        <w:tabs>
          <w:tab w:val="left" w:pos="330"/>
        </w:tabs>
        <w:spacing w:line="259" w:lineRule="exact"/>
        <w:ind w:left="320"/>
      </w:pPr>
      <w:r>
        <w:t>Prodej vstupenek bude realizován prostřednictvím vstupenkového systému TicketCity na prodejních místech Příkazníka či případně i prostřednictvím systému Ticketportal.</w:t>
      </w:r>
    </w:p>
    <w:p w:rsidR="002C2878" w:rsidRDefault="00C8153B">
      <w:pPr>
        <w:pStyle w:val="Zkladntext20"/>
        <w:numPr>
          <w:ilvl w:val="0"/>
          <w:numId w:val="2"/>
        </w:numPr>
        <w:shd w:val="clear" w:color="auto" w:fill="auto"/>
        <w:tabs>
          <w:tab w:val="left" w:pos="334"/>
        </w:tabs>
        <w:spacing w:line="259" w:lineRule="exact"/>
        <w:ind w:left="320"/>
      </w:pPr>
      <w:r>
        <w:t xml:space="preserve">Příkazník se po dobu účinnosti této Smlouvy zavazuje zastupovat </w:t>
      </w:r>
      <w:r>
        <w:t>Příkazce při inkasu kupní ceny za jednotlivé vstupenky, prodané prostřednictvím systémů uvedených v ustanovení odst. 1 tohoto článku.</w:t>
      </w:r>
    </w:p>
    <w:p w:rsidR="002C2878" w:rsidRDefault="00C8153B">
      <w:pPr>
        <w:pStyle w:val="Zkladntext20"/>
        <w:numPr>
          <w:ilvl w:val="0"/>
          <w:numId w:val="2"/>
        </w:numPr>
        <w:shd w:val="clear" w:color="auto" w:fill="auto"/>
        <w:tabs>
          <w:tab w:val="left" w:pos="334"/>
        </w:tabs>
        <w:spacing w:line="259" w:lineRule="exact"/>
        <w:ind w:left="320"/>
        <w:sectPr w:rsidR="002C2878">
          <w:footerReference w:type="default" r:id="rId8"/>
          <w:pgSz w:w="11900" w:h="16840"/>
          <w:pgMar w:top="1801" w:right="916" w:bottom="1852" w:left="1010" w:header="0" w:footer="3" w:gutter="0"/>
          <w:cols w:space="720"/>
          <w:noEndnote/>
          <w:docGrid w:linePitch="360"/>
        </w:sectPr>
      </w:pPr>
      <w:r>
        <w:t xml:space="preserve">Příkazník je oprávněn zejména přijmout částku odpovídající kupní ceně vstupenky v hotovosti na prodejních místech Příkazníka či bezhotovostně na bankovní účet Příkazníka (dále také jako </w:t>
      </w:r>
      <w:r>
        <w:rPr>
          <w:rStyle w:val="Zkladntext2105ptTun0"/>
        </w:rPr>
        <w:t>„inkasovaná kupní cena").</w:t>
      </w:r>
    </w:p>
    <w:p w:rsidR="002C2878" w:rsidRDefault="00C8153B">
      <w:pPr>
        <w:pStyle w:val="Zkladntext20"/>
        <w:numPr>
          <w:ilvl w:val="0"/>
          <w:numId w:val="3"/>
        </w:numPr>
        <w:shd w:val="clear" w:color="auto" w:fill="auto"/>
        <w:tabs>
          <w:tab w:val="left" w:pos="279"/>
        </w:tabs>
        <w:ind w:left="320"/>
        <w:jc w:val="both"/>
      </w:pPr>
      <w:r>
        <w:lastRenderedPageBreak/>
        <w:t>Příkazce se zavazuje</w:t>
      </w:r>
      <w:r>
        <w:t xml:space="preserve"> poskytnout Příkazníkovi harmonogram a parametry konkrétní akce, u které má Příkazník vykonat činnosti spojené s prodejem vstupenek dle této Smlouvy, a to v dostatečném předstihu před zahájením prodeje vstupenek. Dále se Příkazník zavazuje aktualizovat pří</w:t>
      </w:r>
      <w:r>
        <w:t>padné programové změny takové akce a tyto bez zbytečného odkladu oznámit Příkazníkovi.</w:t>
      </w:r>
    </w:p>
    <w:p w:rsidR="002C2878" w:rsidRDefault="00C8153B">
      <w:pPr>
        <w:pStyle w:val="Zkladntext20"/>
        <w:numPr>
          <w:ilvl w:val="0"/>
          <w:numId w:val="3"/>
        </w:numPr>
        <w:shd w:val="clear" w:color="auto" w:fill="auto"/>
        <w:tabs>
          <w:tab w:val="left" w:pos="279"/>
        </w:tabs>
        <w:ind w:left="320"/>
        <w:jc w:val="both"/>
      </w:pPr>
      <w:r>
        <w:t>Příkazce touto smlouvou zmocňuje příkazníka ke všem právním jednáním nutným k plnění této Smlouvy, tj. zejména k rezervaci, prodeji a vydávání vstupenek na předmětné akc</w:t>
      </w:r>
      <w:r>
        <w:t>e Příkazce, inkasu kupní ceny a k případné výplatě plateb (vrácení vstupného) za Zrušenou akci Příkazce.</w:t>
      </w:r>
    </w:p>
    <w:p w:rsidR="002C2878" w:rsidRDefault="00C8153B">
      <w:pPr>
        <w:pStyle w:val="Zkladntext20"/>
        <w:numPr>
          <w:ilvl w:val="0"/>
          <w:numId w:val="3"/>
        </w:numPr>
        <w:shd w:val="clear" w:color="auto" w:fill="auto"/>
        <w:tabs>
          <w:tab w:val="left" w:pos="284"/>
        </w:tabs>
        <w:ind w:left="320"/>
        <w:jc w:val="both"/>
      </w:pPr>
      <w:r>
        <w:t>Příkazník se zavazuje při provádění činností dle této Smlouvy postupovat s odbornou péčí a v souladu se zájmy Příkazce. Od pokynů Příkazce se smí Příka</w:t>
      </w:r>
      <w:r>
        <w:t>zník odchýlit, jen je-li to naléhavě nezbytné a v zájmu Příkazce a Příkazník nemůže včas obdržet jeho souhlas.</w:t>
      </w:r>
    </w:p>
    <w:p w:rsidR="002C2878" w:rsidRDefault="00C8153B">
      <w:pPr>
        <w:pStyle w:val="Zkladntext20"/>
        <w:numPr>
          <w:ilvl w:val="0"/>
          <w:numId w:val="3"/>
        </w:numPr>
        <w:shd w:val="clear" w:color="auto" w:fill="auto"/>
        <w:tabs>
          <w:tab w:val="left" w:pos="284"/>
        </w:tabs>
        <w:ind w:left="320"/>
        <w:jc w:val="both"/>
      </w:pPr>
      <w:r>
        <w:t>Obdrží-li Příkazník od Příkazce pokyn zřejmě nesprávný, Příkazník na tuto skutečnost Příkazce upozorní. Jestliže by i přes takové upozornění Přík</w:t>
      </w:r>
      <w:r>
        <w:t>azce nadále trval na splnění daného pokynu, pak Příkazník nenese odpovědnost za škodu vzniklou v důsledku splnění takového pokynu a dále má právo od této Smlouvy odstoupit.</w:t>
      </w:r>
    </w:p>
    <w:p w:rsidR="002C2878" w:rsidRDefault="00C8153B">
      <w:pPr>
        <w:pStyle w:val="Zkladntext20"/>
        <w:numPr>
          <w:ilvl w:val="0"/>
          <w:numId w:val="3"/>
        </w:numPr>
        <w:shd w:val="clear" w:color="auto" w:fill="auto"/>
        <w:tabs>
          <w:tab w:val="left" w:pos="284"/>
        </w:tabs>
        <w:ind w:left="320"/>
        <w:jc w:val="both"/>
      </w:pPr>
      <w:r>
        <w:t xml:space="preserve">Příkazník neodpovídá za škody způsobené výpadky či nefunkčností systému TicketCity </w:t>
      </w:r>
      <w:r>
        <w:t>či Ticketportal.</w:t>
      </w:r>
    </w:p>
    <w:p w:rsidR="002C2878" w:rsidRDefault="00C8153B">
      <w:pPr>
        <w:pStyle w:val="Zkladntext20"/>
        <w:numPr>
          <w:ilvl w:val="0"/>
          <w:numId w:val="3"/>
        </w:numPr>
        <w:shd w:val="clear" w:color="auto" w:fill="auto"/>
        <w:tabs>
          <w:tab w:val="left" w:pos="284"/>
        </w:tabs>
        <w:spacing w:after="84"/>
        <w:ind w:left="320"/>
        <w:jc w:val="both"/>
      </w:pPr>
      <w:r>
        <w:t>Příkazník je oprávněn při plnění této Smlouvy pověřit takovým plněním třetí osobu či se nechat zastoupit třetí osobou. V takovém případě odpovídá Příkazník Příkazci, jako by plnil sám.</w:t>
      </w:r>
    </w:p>
    <w:p w:rsidR="002C2878" w:rsidRDefault="00C8153B">
      <w:pPr>
        <w:pStyle w:val="Nadpis20"/>
        <w:keepNext/>
        <w:keepLines/>
        <w:shd w:val="clear" w:color="auto" w:fill="auto"/>
        <w:spacing w:before="0"/>
      </w:pPr>
      <w:bookmarkStart w:id="2" w:name="bookmark1"/>
      <w:r>
        <w:t>Článek Vlil.</w:t>
      </w:r>
      <w:bookmarkEnd w:id="2"/>
    </w:p>
    <w:p w:rsidR="002C2878" w:rsidRDefault="00C8153B">
      <w:pPr>
        <w:pStyle w:val="Nadpis20"/>
        <w:keepNext/>
        <w:keepLines/>
        <w:shd w:val="clear" w:color="auto" w:fill="auto"/>
        <w:spacing w:before="0"/>
      </w:pPr>
      <w:bookmarkStart w:id="3" w:name="bookmark2"/>
      <w:r>
        <w:t>Ochrana osobních údajů</w:t>
      </w:r>
      <w:bookmarkEnd w:id="3"/>
    </w:p>
    <w:p w:rsidR="002C2878" w:rsidRDefault="00C8153B">
      <w:pPr>
        <w:pStyle w:val="Zkladntext20"/>
        <w:shd w:val="clear" w:color="auto" w:fill="auto"/>
        <w:spacing w:after="80" w:line="259" w:lineRule="exact"/>
        <w:ind w:left="320"/>
        <w:jc w:val="both"/>
      </w:pPr>
      <w:r>
        <w:t xml:space="preserve">1. Smluvní strany </w:t>
      </w:r>
      <w:r>
        <w:t>se zavazují dodržovat příslušná ustanovení týkající se dodržování ochrany osobních údajů, budou-li na základě této Smlouvy zpracovávány, uchovávány a používány, a to zejména ve smyslu zákona č. 101/2000 Sb., o ochraně osobních údajů, ve znění pozdějších př</w:t>
      </w:r>
      <w:r>
        <w:t>edpisů, či dále dle jiných obecně závazných právních předpisů. Veškeré osobní údaje, budou-li na základě této Smlouvy shromažďovány, budou získávány a zpracovávány pouze z provozních důvodů a pro účely zajištění funkčnosti služeb, které jsou předmětem této</w:t>
      </w:r>
      <w:r>
        <w:t xml:space="preserve"> Smlouvy. V rámci zpracovávání, uchovávání či použití veškerých osobních údajů, případně získaných v rámci plnění předmětu této Smlouvy, budou tyto shromažďovány pouze v nezbytného rozsahu pro naplnění stanoveného účelu a po nezbytně nutnou dobu k naplnění</w:t>
      </w:r>
      <w:r>
        <w:t xml:space="preserve"> stanoveného účelu.</w:t>
      </w:r>
    </w:p>
    <w:p w:rsidR="002C2878" w:rsidRDefault="00C8153B">
      <w:pPr>
        <w:pStyle w:val="Nadpis20"/>
        <w:keepNext/>
        <w:keepLines/>
        <w:shd w:val="clear" w:color="auto" w:fill="auto"/>
        <w:spacing w:before="0"/>
      </w:pPr>
      <w:bookmarkStart w:id="4" w:name="bookmark3"/>
      <w:r>
        <w:t>Článek IX.</w:t>
      </w:r>
      <w:bookmarkEnd w:id="4"/>
    </w:p>
    <w:p w:rsidR="002C2878" w:rsidRDefault="00C8153B">
      <w:pPr>
        <w:pStyle w:val="Nadpis20"/>
        <w:keepNext/>
        <w:keepLines/>
        <w:shd w:val="clear" w:color="auto" w:fill="auto"/>
        <w:spacing w:before="0"/>
      </w:pPr>
      <w:bookmarkStart w:id="5" w:name="bookmark4"/>
      <w:r>
        <w:t>Mlčenlivost a důvěrné informace</w:t>
      </w:r>
      <w:bookmarkEnd w:id="5"/>
    </w:p>
    <w:p w:rsidR="002C2878" w:rsidRDefault="00C8153B">
      <w:pPr>
        <w:pStyle w:val="Zkladntext20"/>
        <w:numPr>
          <w:ilvl w:val="0"/>
          <w:numId w:val="4"/>
        </w:numPr>
        <w:shd w:val="clear" w:color="auto" w:fill="auto"/>
        <w:tabs>
          <w:tab w:val="left" w:pos="279"/>
        </w:tabs>
        <w:spacing w:line="259" w:lineRule="exact"/>
        <w:ind w:left="320"/>
        <w:jc w:val="both"/>
      </w:pPr>
      <w:r>
        <w:t xml:space="preserve">Příkazce i Příkazník se zavazují zachovávat mlčenlivost o informacích, se kterými přišli do styku v průběhu plnění této Smlouvy, když obě Smluvní strany shodně prohlašují, že veškeré informace </w:t>
      </w:r>
      <w:r>
        <w:t xml:space="preserve">týkající se obchodní činnosti, know-how, provozní činnosti či ekonomických výsledků některé ze Smluvních stran považují za důvěrné (dále jen </w:t>
      </w:r>
      <w:r>
        <w:rPr>
          <w:rStyle w:val="Zkladntext2105ptTun0"/>
        </w:rPr>
        <w:t xml:space="preserve">„Důvěrné informace"), </w:t>
      </w:r>
      <w:r>
        <w:t>není-li v této Smlouvě sjednáno jinak.</w:t>
      </w:r>
    </w:p>
    <w:p w:rsidR="002C2878" w:rsidRDefault="00C8153B">
      <w:pPr>
        <w:pStyle w:val="Zkladntext20"/>
        <w:numPr>
          <w:ilvl w:val="0"/>
          <w:numId w:val="4"/>
        </w:numPr>
        <w:shd w:val="clear" w:color="auto" w:fill="auto"/>
        <w:tabs>
          <w:tab w:val="left" w:pos="279"/>
        </w:tabs>
        <w:spacing w:line="259" w:lineRule="exact"/>
        <w:ind w:left="320"/>
        <w:jc w:val="both"/>
      </w:pPr>
      <w:r>
        <w:t>Příkazce i Příkazník se zavazují s Důvěrnými informace</w:t>
      </w:r>
      <w:r>
        <w:t>mi nakládat tak, aby nemohlo dojít kjejich zneužití či poškození oprávněných zájmů a dobrého jména druhé Smluvní strany.</w:t>
      </w:r>
    </w:p>
    <w:p w:rsidR="002C2878" w:rsidRDefault="00C8153B">
      <w:pPr>
        <w:pStyle w:val="Zkladntext20"/>
        <w:numPr>
          <w:ilvl w:val="0"/>
          <w:numId w:val="4"/>
        </w:numPr>
        <w:shd w:val="clear" w:color="auto" w:fill="auto"/>
        <w:tabs>
          <w:tab w:val="left" w:pos="279"/>
        </w:tabs>
        <w:spacing w:line="259" w:lineRule="exact"/>
        <w:ind w:left="320"/>
        <w:jc w:val="both"/>
      </w:pPr>
      <w:r>
        <w:t>Povinnost mlčenlivosti a ochrana informací podle tohoto článku platí po celou dobu trvání závazku dle této Smlouvy a dále i po skončení</w:t>
      </w:r>
      <w:r>
        <w:t xml:space="preserve"> závazku dle této Smlouvy, pokud se předmětné Důvěrné informace nestanou obecně známými či dostupnými, a tudíž přestanou mít povahu Důvěrných informací, a to za předpokladu, že se tak nestane porušením povinností některé ze Smluvních stran vyplývajících z </w:t>
      </w:r>
      <w:r>
        <w:t>této Smlouvy.</w:t>
      </w:r>
    </w:p>
    <w:p w:rsidR="002C2878" w:rsidRDefault="00C8153B">
      <w:pPr>
        <w:pStyle w:val="Zkladntext20"/>
        <w:numPr>
          <w:ilvl w:val="0"/>
          <w:numId w:val="4"/>
        </w:numPr>
        <w:shd w:val="clear" w:color="auto" w:fill="auto"/>
        <w:tabs>
          <w:tab w:val="left" w:pos="284"/>
        </w:tabs>
        <w:spacing w:line="259" w:lineRule="exact"/>
        <w:ind w:left="320"/>
        <w:jc w:val="both"/>
      </w:pPr>
      <w:r>
        <w:t>V případě, že některá ze Smluvních stran poruší své povinnosti uvedené v tomto článku, bude takové jednání považováno za podstatné porušení povinností vyplývajících z této Smlouvy.</w:t>
      </w:r>
    </w:p>
    <w:p w:rsidR="002C2878" w:rsidRDefault="00C8153B">
      <w:pPr>
        <w:pStyle w:val="Zkladntext20"/>
        <w:numPr>
          <w:ilvl w:val="0"/>
          <w:numId w:val="4"/>
        </w:numPr>
        <w:shd w:val="clear" w:color="auto" w:fill="auto"/>
        <w:tabs>
          <w:tab w:val="left" w:pos="284"/>
        </w:tabs>
        <w:spacing w:after="80" w:line="259" w:lineRule="exact"/>
        <w:ind w:left="320"/>
        <w:jc w:val="both"/>
      </w:pPr>
      <w:r>
        <w:t>Příkazce i Příkazník tímto výslovně sjednávají výjimku z povi</w:t>
      </w:r>
      <w:r>
        <w:t>nnosti mlčenlivosti a ochrany Důvěrných informací dle tohoto článku, a to ve smyslu ustanovení čl. X. Smlouvy, tj. naplnění povinností Příkazníka z hlediska zákona č. 340/2015 Sb., o registru smluv, ve znění pozdějších předpisů.</w:t>
      </w:r>
    </w:p>
    <w:p w:rsidR="002C2878" w:rsidRDefault="00C8153B">
      <w:pPr>
        <w:pStyle w:val="Nadpis20"/>
        <w:keepNext/>
        <w:keepLines/>
        <w:shd w:val="clear" w:color="auto" w:fill="auto"/>
        <w:spacing w:before="0"/>
      </w:pPr>
      <w:bookmarkStart w:id="6" w:name="bookmark5"/>
      <w:r>
        <w:t>Článek X.</w:t>
      </w:r>
      <w:bookmarkEnd w:id="6"/>
    </w:p>
    <w:p w:rsidR="002C2878" w:rsidRDefault="00C8153B">
      <w:pPr>
        <w:pStyle w:val="Nadpis20"/>
        <w:keepNext/>
        <w:keepLines/>
        <w:shd w:val="clear" w:color="auto" w:fill="auto"/>
        <w:spacing w:before="0"/>
      </w:pPr>
      <w:bookmarkStart w:id="7" w:name="bookmark6"/>
      <w:r>
        <w:t xml:space="preserve">Uveřejnění </w:t>
      </w:r>
      <w:r>
        <w:t>smlouvy</w:t>
      </w:r>
      <w:bookmarkEnd w:id="7"/>
    </w:p>
    <w:p w:rsidR="002C2878" w:rsidRDefault="00C8153B">
      <w:pPr>
        <w:pStyle w:val="Zkladntext20"/>
        <w:shd w:val="clear" w:color="auto" w:fill="auto"/>
        <w:spacing w:line="259" w:lineRule="exact"/>
        <w:ind w:left="320"/>
        <w:jc w:val="both"/>
      </w:pPr>
      <w:r>
        <w:t xml:space="preserve">1. Ve smyslu zákona č. 340/2015 Sb., o registru smluv, ve znění pozdějších předpisů (dále jen </w:t>
      </w:r>
      <w:r>
        <w:rPr>
          <w:rStyle w:val="Zkladntext2105ptTun0"/>
        </w:rPr>
        <w:t xml:space="preserve">„zákon o registru smluv") </w:t>
      </w:r>
      <w:r>
        <w:t>berou Smluvní strany na vědomí, že prostřednictvím registru smluv se povinně uveřejňuje soukromoprávní smlouva či jiná obdobná s</w:t>
      </w:r>
      <w:r>
        <w:t>mlouva, jejíž stranou Příkazník jako subjekt povinný takové smlouvy uveřejňovat. Souladu s tímto zákonem o registru smluv podléhá také režim této Smlouvy.</w:t>
      </w:r>
    </w:p>
    <w:sectPr w:rsidR="002C2878">
      <w:footerReference w:type="default" r:id="rId9"/>
      <w:pgSz w:w="11900" w:h="16840"/>
      <w:pgMar w:top="1801" w:right="916" w:bottom="1852" w:left="1010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53B" w:rsidRDefault="00C8153B">
      <w:r>
        <w:separator/>
      </w:r>
    </w:p>
  </w:endnote>
  <w:endnote w:type="continuationSeparator" w:id="0">
    <w:p w:rsidR="00C8153B" w:rsidRDefault="00C8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78" w:rsidRDefault="00C8153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65pt;margin-top:772.9pt;width:4.3pt;height:6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C2878" w:rsidRDefault="00C8153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9472C" w:rsidRPr="00E9472C">
                  <w:rPr>
                    <w:rStyle w:val="ZhlavneboZpat1"/>
                    <w:noProof/>
                  </w:rPr>
                  <w:t>1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78" w:rsidRDefault="00C8153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3pt;margin-top:771.2pt;width:4.1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C2878" w:rsidRDefault="00C8153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9472C" w:rsidRPr="00E9472C">
                  <w:rPr>
                    <w:rStyle w:val="ZhlavneboZpat1"/>
                    <w:noProof/>
                  </w:rPr>
                  <w:t>3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53B" w:rsidRDefault="00C8153B"/>
  </w:footnote>
  <w:footnote w:type="continuationSeparator" w:id="0">
    <w:p w:rsidR="00C8153B" w:rsidRDefault="00C815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91AEA"/>
    <w:multiLevelType w:val="multilevel"/>
    <w:tmpl w:val="4CE2DC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DC5434"/>
    <w:multiLevelType w:val="multilevel"/>
    <w:tmpl w:val="4E76882C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90351C"/>
    <w:multiLevelType w:val="multilevel"/>
    <w:tmpl w:val="714290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9204D0"/>
    <w:multiLevelType w:val="multilevel"/>
    <w:tmpl w:val="8C9E25F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C2878"/>
    <w:rsid w:val="002C2878"/>
    <w:rsid w:val="00C8153B"/>
    <w:rsid w:val="00E9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4B2EE54-20C1-400A-B576-0F81BF39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0ptNetunExact">
    <w:name w:val="Základní text (4) + 10 pt;Ne tučné Exact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105ptNetunExact">
    <w:name w:val="Základní text (5) + 10;5 pt;Ne tučné Exact"/>
    <w:basedOn w:val="Zkladntext5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611ptNetunExact">
    <w:name w:val="Základní text (6) + 11 pt;Ne tučné Exact"/>
    <w:basedOn w:val="Zkladntext6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210ptNetun">
    <w:name w:val="Titulek tabulky (2) + 10 pt;Ne tučné"/>
    <w:basedOn w:val="Titulektabulky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105ptTun">
    <w:name w:val="Titulek tabulky + 10;5 pt;Tučné"/>
    <w:basedOn w:val="Titulektabulky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4" w:lineRule="exact"/>
      <w:ind w:hanging="32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56" w:lineRule="exact"/>
    </w:pPr>
    <w:rPr>
      <w:rFonts w:ascii="Calibri" w:eastAsia="Calibri" w:hAnsi="Calibri" w:cs="Calibri"/>
      <w:b/>
      <w:bCs/>
      <w:sz w:val="10"/>
      <w:szCs w:val="1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after="260" w:line="268" w:lineRule="exact"/>
    </w:pPr>
    <w:rPr>
      <w:rFonts w:ascii="Calibri" w:eastAsia="Calibri" w:hAnsi="Calibri" w:cs="Calibri"/>
      <w:b/>
      <w:bCs/>
      <w:sz w:val="9"/>
      <w:szCs w:val="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40" w:lineRule="exact"/>
      <w:jc w:val="center"/>
      <w:outlineLvl w:val="0"/>
    </w:pPr>
    <w:rPr>
      <w:rFonts w:ascii="Calibri" w:eastAsia="Calibri" w:hAnsi="Calibri" w:cs="Calibri"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4" w:lineRule="exact"/>
      <w:ind w:hanging="320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56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80" w:line="259" w:lineRule="exact"/>
      <w:jc w:val="center"/>
      <w:outlineLvl w:val="1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ronova@zuspardub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990</Words>
  <Characters>5842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Štěpánková</dc:creator>
  <cp:lastModifiedBy>Dana Štěpánková</cp:lastModifiedBy>
  <cp:revision>1</cp:revision>
  <dcterms:created xsi:type="dcterms:W3CDTF">2018-03-26T06:26:00Z</dcterms:created>
  <dcterms:modified xsi:type="dcterms:W3CDTF">2018-03-26T06:27:00Z</dcterms:modified>
</cp:coreProperties>
</file>