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3C" w:rsidRDefault="00E46007" w:rsidP="002F1B93">
      <w:pPr>
        <w:pStyle w:val="Heading10"/>
        <w:framePr w:w="9144" w:h="7981" w:hRule="exact" w:wrap="none" w:vAnchor="page" w:hAnchor="page" w:x="1331" w:y="1659"/>
        <w:shd w:val="clear" w:color="auto" w:fill="auto"/>
      </w:pPr>
      <w:bookmarkStart w:id="0" w:name="bookmark0"/>
      <w:r>
        <w:t>Nájemní smlouva</w:t>
      </w:r>
      <w:bookmarkEnd w:id="0"/>
    </w:p>
    <w:p w:rsidR="0050163C" w:rsidRDefault="00E46007" w:rsidP="002F1B93">
      <w:pPr>
        <w:pStyle w:val="Bodytext20"/>
        <w:framePr w:w="9144" w:h="7981" w:hRule="exact" w:wrap="none" w:vAnchor="page" w:hAnchor="page" w:x="1331" w:y="1659"/>
        <w:shd w:val="clear" w:color="auto" w:fill="auto"/>
        <w:ind w:firstLine="780"/>
      </w:pPr>
      <w:r>
        <w:t>uzavřená níže uvedeného dne, měsíce a roku mezi smluvními stranami pronajímatel:</w:t>
      </w:r>
    </w:p>
    <w:p w:rsidR="0050163C" w:rsidRDefault="00E46007" w:rsidP="002F1B93">
      <w:pPr>
        <w:pStyle w:val="Bodytext30"/>
        <w:framePr w:w="9144" w:h="7981" w:hRule="exact" w:wrap="none" w:vAnchor="page" w:hAnchor="page" w:x="1331" w:y="1659"/>
        <w:shd w:val="clear" w:color="auto" w:fill="auto"/>
      </w:pPr>
      <w:r>
        <w:t>Hudební divadlo v Karlině, příspěvková organizace</w:t>
      </w:r>
    </w:p>
    <w:p w:rsidR="0050163C" w:rsidRDefault="00E46007" w:rsidP="002F1B93">
      <w:pPr>
        <w:pStyle w:val="Bodytext20"/>
        <w:framePr w:w="9144" w:h="7981" w:hRule="exact" w:wrap="none" w:vAnchor="page" w:hAnchor="page" w:x="1331" w:y="1659"/>
        <w:shd w:val="clear" w:color="auto" w:fill="auto"/>
        <w:tabs>
          <w:tab w:val="left" w:pos="955"/>
        </w:tabs>
        <w:spacing w:line="427" w:lineRule="exact"/>
        <w:ind w:right="3240"/>
      </w:pPr>
      <w:r>
        <w:t>zastoupené ředitelem Bc. Egonem Kulhánkem</w:t>
      </w:r>
      <w:r w:rsidR="002F1B93">
        <w:t xml:space="preserve">                   </w:t>
      </w:r>
      <w:r>
        <w:t xml:space="preserve"> IČ:</w:t>
      </w:r>
      <w:r>
        <w:tab/>
        <w:t>000 64 335</w:t>
      </w:r>
    </w:p>
    <w:p w:rsidR="002F1B93" w:rsidRDefault="00E46007" w:rsidP="002F1B93">
      <w:pPr>
        <w:pStyle w:val="Bodytext20"/>
        <w:framePr w:w="9144" w:h="7981" w:hRule="exact" w:wrap="none" w:vAnchor="page" w:hAnchor="page" w:x="1331" w:y="1659"/>
        <w:shd w:val="clear" w:color="auto" w:fill="auto"/>
        <w:spacing w:line="427" w:lineRule="exact"/>
        <w:jc w:val="both"/>
      </w:pPr>
      <w:r>
        <w:t>DIČ: CZ 000 64</w:t>
      </w:r>
      <w:r w:rsidR="002F1B93">
        <w:t> </w:t>
      </w:r>
      <w:r>
        <w:t>335</w:t>
      </w:r>
      <w:r w:rsidR="002F1B93">
        <w:t xml:space="preserve">                                                                                         </w:t>
      </w:r>
    </w:p>
    <w:p w:rsidR="002F1B93" w:rsidRDefault="00E46007" w:rsidP="002F1B93">
      <w:pPr>
        <w:pStyle w:val="Bodytext20"/>
        <w:framePr w:w="9144" w:h="7981" w:hRule="exact" w:wrap="none" w:vAnchor="page" w:hAnchor="page" w:x="1331" w:y="1659"/>
        <w:shd w:val="clear" w:color="auto" w:fill="auto"/>
        <w:spacing w:line="427" w:lineRule="exact"/>
        <w:jc w:val="both"/>
      </w:pPr>
      <w:r>
        <w:t xml:space="preserve">se sídlem Křižíkova 283/10, 186 </w:t>
      </w:r>
      <w:r>
        <w:t xml:space="preserve">00 Praha 8 </w:t>
      </w:r>
      <w:r w:rsidR="002F1B93">
        <w:t xml:space="preserve">                                                          </w:t>
      </w:r>
    </w:p>
    <w:p w:rsidR="002F1B93" w:rsidRDefault="002F1B93" w:rsidP="002F1B93">
      <w:pPr>
        <w:pStyle w:val="Bodytext20"/>
        <w:framePr w:w="9144" w:h="7981" w:hRule="exact" w:wrap="none" w:vAnchor="page" w:hAnchor="page" w:x="1331" w:y="1659"/>
        <w:shd w:val="clear" w:color="auto" w:fill="auto"/>
        <w:spacing w:line="427" w:lineRule="exact"/>
        <w:jc w:val="both"/>
      </w:pPr>
    </w:p>
    <w:p w:rsidR="0050163C" w:rsidRDefault="00E46007" w:rsidP="002F1B93">
      <w:pPr>
        <w:pStyle w:val="Bodytext20"/>
        <w:framePr w:w="9144" w:h="7981" w:hRule="exact" w:wrap="none" w:vAnchor="page" w:hAnchor="page" w:x="1331" w:y="1659"/>
        <w:shd w:val="clear" w:color="auto" w:fill="auto"/>
        <w:spacing w:line="427" w:lineRule="exact"/>
        <w:jc w:val="both"/>
      </w:pPr>
      <w:r>
        <w:t>nájemce:</w:t>
      </w:r>
    </w:p>
    <w:p w:rsidR="0050163C" w:rsidRDefault="00E46007" w:rsidP="002F1B93">
      <w:pPr>
        <w:pStyle w:val="Bodytext30"/>
        <w:framePr w:w="9144" w:h="7981" w:hRule="exact" w:wrap="none" w:vAnchor="page" w:hAnchor="page" w:x="1331" w:y="1659"/>
        <w:shd w:val="clear" w:color="auto" w:fill="auto"/>
      </w:pPr>
      <w:r>
        <w:t xml:space="preserve">Divadlo </w:t>
      </w:r>
      <w:r w:rsidR="002F1B93">
        <w:t>J</w:t>
      </w:r>
      <w:r>
        <w:t>. K. Tyla, příspěvková organizace</w:t>
      </w:r>
    </w:p>
    <w:p w:rsidR="0050163C" w:rsidRDefault="00E46007" w:rsidP="002F1B93">
      <w:pPr>
        <w:pStyle w:val="Bodytext20"/>
        <w:framePr w:w="9144" w:h="7981" w:hRule="exact" w:wrap="none" w:vAnchor="page" w:hAnchor="page" w:x="1331" w:y="1659"/>
        <w:shd w:val="clear" w:color="auto" w:fill="auto"/>
        <w:spacing w:line="427" w:lineRule="exact"/>
        <w:jc w:val="both"/>
      </w:pPr>
      <w:r>
        <w:t xml:space="preserve">zastoupené ředitelem doc. </w:t>
      </w:r>
      <w:proofErr w:type="spellStart"/>
      <w:r>
        <w:t>MgA</w:t>
      </w:r>
      <w:proofErr w:type="spellEnd"/>
      <w:r>
        <w:t xml:space="preserve">. Martinem Otavou, </w:t>
      </w:r>
      <w:proofErr w:type="spellStart"/>
      <w:r>
        <w:t>Ph.D</w:t>
      </w:r>
      <w:proofErr w:type="spellEnd"/>
      <w:r>
        <w:t>.</w:t>
      </w:r>
    </w:p>
    <w:p w:rsidR="0050163C" w:rsidRDefault="00E46007" w:rsidP="002F1B93">
      <w:pPr>
        <w:pStyle w:val="Bodytext20"/>
        <w:framePr w:w="9144" w:h="7981" w:hRule="exact" w:wrap="none" w:vAnchor="page" w:hAnchor="page" w:x="1331" w:y="1659"/>
        <w:shd w:val="clear" w:color="auto" w:fill="auto"/>
        <w:tabs>
          <w:tab w:val="left" w:pos="955"/>
        </w:tabs>
        <w:spacing w:line="427" w:lineRule="exact"/>
        <w:jc w:val="both"/>
      </w:pPr>
      <w:r>
        <w:t>IČ:</w:t>
      </w:r>
      <w:r>
        <w:tab/>
        <w:t>000 78 051</w:t>
      </w:r>
    </w:p>
    <w:p w:rsidR="0050163C" w:rsidRDefault="00E46007" w:rsidP="002F1B93">
      <w:pPr>
        <w:pStyle w:val="Bodytext20"/>
        <w:framePr w:w="9144" w:h="7981" w:hRule="exact" w:wrap="none" w:vAnchor="page" w:hAnchor="page" w:x="1331" w:y="1659"/>
        <w:shd w:val="clear" w:color="auto" w:fill="auto"/>
        <w:spacing w:line="427" w:lineRule="exact"/>
        <w:jc w:val="both"/>
      </w:pPr>
      <w:r>
        <w:t>DIČ: CZ 000 78 051</w:t>
      </w:r>
    </w:p>
    <w:p w:rsidR="0050163C" w:rsidRDefault="00E46007" w:rsidP="002F1B93">
      <w:pPr>
        <w:pStyle w:val="Bodytext20"/>
        <w:framePr w:w="9144" w:h="7981" w:hRule="exact" w:wrap="none" w:vAnchor="page" w:hAnchor="page" w:x="1331" w:y="1659"/>
        <w:shd w:val="clear" w:color="auto" w:fill="auto"/>
        <w:spacing w:line="427" w:lineRule="exact"/>
        <w:jc w:val="both"/>
      </w:pPr>
      <w:r>
        <w:t>se sídlem Palackého náměstí 2971/30, 301 00 Plzeň</w:t>
      </w:r>
    </w:p>
    <w:p w:rsidR="0050163C" w:rsidRDefault="00E46007">
      <w:pPr>
        <w:pStyle w:val="Heading20"/>
        <w:framePr w:w="9144" w:h="769" w:hRule="exact" w:wrap="none" w:vAnchor="page" w:hAnchor="page" w:x="1331" w:y="9845"/>
        <w:shd w:val="clear" w:color="auto" w:fill="auto"/>
        <w:spacing w:before="0"/>
      </w:pPr>
      <w:bookmarkStart w:id="1" w:name="bookmark1"/>
      <w:r>
        <w:t>Článek 1</w:t>
      </w:r>
      <w:bookmarkEnd w:id="1"/>
    </w:p>
    <w:p w:rsidR="0050163C" w:rsidRDefault="00E46007">
      <w:pPr>
        <w:pStyle w:val="Heading20"/>
        <w:framePr w:w="9144" w:h="769" w:hRule="exact" w:wrap="none" w:vAnchor="page" w:hAnchor="page" w:x="1331" w:y="9845"/>
        <w:shd w:val="clear" w:color="auto" w:fill="auto"/>
        <w:spacing w:before="0" w:after="0"/>
      </w:pPr>
      <w:bookmarkStart w:id="2" w:name="bookmark2"/>
      <w:r>
        <w:t>Předmět a cena nájmu</w:t>
      </w:r>
      <w:bookmarkEnd w:id="2"/>
    </w:p>
    <w:p w:rsidR="0050163C" w:rsidRDefault="00E46007">
      <w:pPr>
        <w:pStyle w:val="Bodytext20"/>
        <w:framePr w:w="9144" w:h="3490" w:hRule="exact" w:wrap="none" w:vAnchor="page" w:hAnchor="page" w:x="1331" w:y="11019"/>
        <w:shd w:val="clear" w:color="auto" w:fill="auto"/>
        <w:spacing w:after="420" w:line="427" w:lineRule="exact"/>
        <w:jc w:val="both"/>
      </w:pPr>
      <w:r>
        <w:t xml:space="preserve">Předmětem nájmu je 8 </w:t>
      </w:r>
      <w:r>
        <w:t>kanálů mikroportů, které sestávají z 8 ks vysílačů zn. Sennheiser (5 ks SK3063-U a 3 ks SK 50) a 4 ks přijímačů zn. Sennheiser EM3032.</w:t>
      </w:r>
    </w:p>
    <w:p w:rsidR="0050163C" w:rsidRDefault="00E46007">
      <w:pPr>
        <w:pStyle w:val="Bodytext20"/>
        <w:framePr w:w="9144" w:h="3490" w:hRule="exact" w:wrap="none" w:vAnchor="page" w:hAnchor="page" w:x="1331" w:y="11019"/>
        <w:shd w:val="clear" w:color="auto" w:fill="auto"/>
        <w:spacing w:after="420" w:line="427" w:lineRule="exact"/>
        <w:jc w:val="both"/>
      </w:pPr>
      <w:r>
        <w:t>Předmět nájmu bude nájemcem užíván do muzikálového představení „Šumař na střeše".</w:t>
      </w:r>
    </w:p>
    <w:p w:rsidR="0050163C" w:rsidRDefault="00E46007">
      <w:pPr>
        <w:pStyle w:val="Bodytext20"/>
        <w:framePr w:w="9144" w:h="3490" w:hRule="exact" w:wrap="none" w:vAnchor="page" w:hAnchor="page" w:x="1331" w:y="11019"/>
        <w:shd w:val="clear" w:color="auto" w:fill="auto"/>
        <w:spacing w:line="427" w:lineRule="exact"/>
        <w:jc w:val="both"/>
      </w:pPr>
      <w:r>
        <w:t>Cena nájemného za jeden mikroport/předs</w:t>
      </w:r>
      <w:r>
        <w:t xml:space="preserve">tavení je 800 Kč vč. DPH, celkem tedy za jedno představení 6 400 Kč vč. DPH (slovy </w:t>
      </w:r>
      <w:proofErr w:type="spellStart"/>
      <w:r>
        <w:t>šesttisícčtyřistakorunčeských</w:t>
      </w:r>
      <w:proofErr w:type="spellEnd"/>
      <w:r>
        <w:t>).</w:t>
      </w:r>
    </w:p>
    <w:p w:rsidR="0050163C" w:rsidRDefault="00E46007">
      <w:pPr>
        <w:pStyle w:val="Headerorfooter0"/>
        <w:framePr w:wrap="none" w:vAnchor="page" w:hAnchor="page" w:x="9169" w:y="15720"/>
        <w:shd w:val="clear" w:color="auto" w:fill="auto"/>
      </w:pPr>
      <w:proofErr w:type="gramStart"/>
      <w:r>
        <w:t>Stránka 1 z 4</w:t>
      </w:r>
      <w:proofErr w:type="gramEnd"/>
    </w:p>
    <w:p w:rsidR="0050163C" w:rsidRDefault="0050163C">
      <w:pPr>
        <w:rPr>
          <w:sz w:val="2"/>
          <w:szCs w:val="2"/>
        </w:rPr>
        <w:sectPr w:rsidR="0050163C">
          <w:pgSz w:w="11900" w:h="16840"/>
          <w:pgMar w:top="360" w:right="360" w:bottom="360" w:left="360" w:header="0" w:footer="3" w:gutter="0"/>
          <w:cols w:space="720"/>
          <w:noEndnote/>
          <w:docGrid w:linePitch="360"/>
        </w:sectPr>
      </w:pPr>
    </w:p>
    <w:p w:rsidR="0050163C" w:rsidRDefault="00E46007">
      <w:pPr>
        <w:pStyle w:val="Heading20"/>
        <w:framePr w:w="9187" w:h="337" w:hRule="exact" w:wrap="none" w:vAnchor="page" w:hAnchor="page" w:x="1309" w:y="1752"/>
        <w:shd w:val="clear" w:color="auto" w:fill="auto"/>
        <w:spacing w:before="0" w:after="0"/>
        <w:ind w:right="20"/>
      </w:pPr>
      <w:bookmarkStart w:id="3" w:name="bookmark3"/>
      <w:r>
        <w:lastRenderedPageBreak/>
        <w:t>Článek 2</w:t>
      </w:r>
      <w:bookmarkEnd w:id="3"/>
    </w:p>
    <w:p w:rsidR="0050163C" w:rsidRDefault="00E46007">
      <w:pPr>
        <w:pStyle w:val="Heading20"/>
        <w:framePr w:w="9187" w:h="1185" w:hRule="exact" w:wrap="none" w:vAnchor="page" w:hAnchor="page" w:x="1309" w:y="2195"/>
        <w:shd w:val="clear" w:color="auto" w:fill="auto"/>
        <w:spacing w:before="0" w:after="580"/>
        <w:ind w:right="20"/>
      </w:pPr>
      <w:bookmarkStart w:id="4" w:name="bookmark4"/>
      <w:r>
        <w:t>Doba nájmu</w:t>
      </w:r>
      <w:bookmarkEnd w:id="4"/>
    </w:p>
    <w:p w:rsidR="0050163C" w:rsidRDefault="00E46007">
      <w:pPr>
        <w:pStyle w:val="Bodytext20"/>
        <w:framePr w:w="9187" w:h="1185" w:hRule="exact" w:wrap="none" w:vAnchor="page" w:hAnchor="page" w:x="1309" w:y="2195"/>
        <w:shd w:val="clear" w:color="auto" w:fill="auto"/>
        <w:tabs>
          <w:tab w:val="left" w:pos="4944"/>
        </w:tabs>
        <w:spacing w:line="268" w:lineRule="exact"/>
        <w:jc w:val="both"/>
      </w:pPr>
      <w:r>
        <w:t>Doba nájmu se sjednává na období:</w:t>
      </w:r>
      <w:r>
        <w:tab/>
      </w:r>
      <w:r>
        <w:rPr>
          <w:rStyle w:val="Bodytext2Bold"/>
        </w:rPr>
        <w:t>od 1. 3. 2018 do 31. 12. 2018</w:t>
      </w:r>
    </w:p>
    <w:p w:rsidR="0050163C" w:rsidRDefault="00E46007">
      <w:pPr>
        <w:pStyle w:val="Heading20"/>
        <w:framePr w:w="9187" w:h="3061" w:hRule="exact" w:wrap="none" w:vAnchor="page" w:hAnchor="page" w:x="1309" w:y="4210"/>
        <w:shd w:val="clear" w:color="auto" w:fill="auto"/>
        <w:spacing w:before="0" w:after="424" w:line="432" w:lineRule="exact"/>
        <w:ind w:right="20"/>
      </w:pPr>
      <w:bookmarkStart w:id="5" w:name="bookmark5"/>
      <w:r>
        <w:t>Článek 3</w:t>
      </w:r>
      <w:r>
        <w:br/>
        <w:t xml:space="preserve">Splatnost </w:t>
      </w:r>
      <w:r>
        <w:t>nájmu</w:t>
      </w:r>
      <w:bookmarkEnd w:id="5"/>
    </w:p>
    <w:p w:rsidR="0050163C" w:rsidRDefault="00E46007">
      <w:pPr>
        <w:pStyle w:val="Bodytext20"/>
        <w:framePr w:w="9187" w:h="3061" w:hRule="exact" w:wrap="none" w:vAnchor="page" w:hAnchor="page" w:x="1309" w:y="4210"/>
        <w:shd w:val="clear" w:color="auto" w:fill="auto"/>
        <w:spacing w:line="427" w:lineRule="exact"/>
        <w:jc w:val="both"/>
      </w:pPr>
      <w:r>
        <w:t>Nájemné je splatné čtvrtletně na základě faktury vystavené pronajímatelem. Doba splatnosti je stanovena na 21 dnů od data vystavení faktury.</w:t>
      </w:r>
    </w:p>
    <w:p w:rsidR="0050163C" w:rsidRDefault="00E46007">
      <w:pPr>
        <w:pStyle w:val="Bodytext20"/>
        <w:framePr w:w="9187" w:h="3061" w:hRule="exact" w:wrap="none" w:vAnchor="page" w:hAnchor="page" w:x="1309" w:y="4210"/>
        <w:shd w:val="clear" w:color="auto" w:fill="auto"/>
        <w:spacing w:line="427" w:lineRule="exact"/>
        <w:jc w:val="both"/>
      </w:pPr>
      <w:r>
        <w:t>Nájemce je povinen zaslat pronajímateli přehled odehraných představení za uplynulé čtvrtletí, nejpozději do 1</w:t>
      </w:r>
      <w:r>
        <w:t>0. dne následujícího měsíce.</w:t>
      </w:r>
    </w:p>
    <w:p w:rsidR="0050163C" w:rsidRDefault="00E46007">
      <w:pPr>
        <w:pStyle w:val="Heading20"/>
        <w:framePr w:w="9187" w:h="6916" w:hRule="exact" w:wrap="none" w:vAnchor="page" w:hAnchor="page" w:x="1309" w:y="8073"/>
        <w:shd w:val="clear" w:color="auto" w:fill="auto"/>
        <w:spacing w:before="0" w:after="420" w:line="427" w:lineRule="exact"/>
        <w:ind w:right="20"/>
      </w:pPr>
      <w:bookmarkStart w:id="6" w:name="bookmark6"/>
      <w:r>
        <w:t>Článek 4</w:t>
      </w:r>
      <w:r>
        <w:br/>
        <w:t>Další ujednání</w:t>
      </w:r>
      <w:bookmarkEnd w:id="6"/>
    </w:p>
    <w:p w:rsidR="0050163C" w:rsidRDefault="00E46007">
      <w:pPr>
        <w:pStyle w:val="Bodytext20"/>
        <w:framePr w:w="9187" w:h="6916" w:hRule="exact" w:wrap="none" w:vAnchor="page" w:hAnchor="page" w:x="1309" w:y="8073"/>
        <w:numPr>
          <w:ilvl w:val="0"/>
          <w:numId w:val="1"/>
        </w:numPr>
        <w:shd w:val="clear" w:color="auto" w:fill="auto"/>
        <w:tabs>
          <w:tab w:val="left" w:pos="720"/>
        </w:tabs>
        <w:spacing w:after="420" w:line="427" w:lineRule="exact"/>
        <w:jc w:val="both"/>
      </w:pPr>
      <w:r>
        <w:t>Nájemce osobně převezme předmět nájmu 1. 3. 2018 v Hudebním divadle v Karlině. O předání bude sepsán předávací protokol, který je přílohou č. 1 této smlouvy.</w:t>
      </w:r>
    </w:p>
    <w:p w:rsidR="0050163C" w:rsidRDefault="00E46007">
      <w:pPr>
        <w:pStyle w:val="Bodytext20"/>
        <w:framePr w:w="9187" w:h="6916" w:hRule="exact" w:wrap="none" w:vAnchor="page" w:hAnchor="page" w:x="1309" w:y="8073"/>
        <w:numPr>
          <w:ilvl w:val="0"/>
          <w:numId w:val="1"/>
        </w:numPr>
        <w:shd w:val="clear" w:color="auto" w:fill="auto"/>
        <w:tabs>
          <w:tab w:val="left" w:pos="720"/>
        </w:tabs>
        <w:spacing w:after="420" w:line="427" w:lineRule="exact"/>
        <w:jc w:val="both"/>
      </w:pPr>
      <w:r>
        <w:t xml:space="preserve">Nájemce se zavazuje po skončení nájemního </w:t>
      </w:r>
      <w:r>
        <w:t>vztahu vrátit předmět nájmu ve stavu, ve kterém jej převzal, nejpozději do 2. 1. 2019. Místem vrácení je Hudební divadlo Karlín. Vrácení bude potvrzeno na předávacím protokolu, který je přílohou č. 1 této smlouvy.</w:t>
      </w:r>
    </w:p>
    <w:p w:rsidR="0050163C" w:rsidRDefault="00E46007">
      <w:pPr>
        <w:pStyle w:val="Bodytext20"/>
        <w:framePr w:w="9187" w:h="6916" w:hRule="exact" w:wrap="none" w:vAnchor="page" w:hAnchor="page" w:x="1309" w:y="8073"/>
        <w:numPr>
          <w:ilvl w:val="0"/>
          <w:numId w:val="1"/>
        </w:numPr>
        <w:shd w:val="clear" w:color="auto" w:fill="auto"/>
        <w:tabs>
          <w:tab w:val="left" w:pos="720"/>
        </w:tabs>
        <w:spacing w:line="427" w:lineRule="exact"/>
        <w:jc w:val="both"/>
      </w:pPr>
      <w:r>
        <w:t>V případě ztráty nebo zničení předmětu náj</w:t>
      </w:r>
      <w:r>
        <w:t>mu se nájemce zavazuje uhradit škodu vzniklou pronajímateli, a to do výše zůstatkové ceny, která činí 11.277 Kč pro jeden přijímač nebo vysílač mikroportu. V případě poškození se nájemce zavazuje uvést předmět nájmu do stavu, ve kterém jej převzal.</w:t>
      </w:r>
    </w:p>
    <w:p w:rsidR="0050163C" w:rsidRDefault="00E46007">
      <w:pPr>
        <w:pStyle w:val="Headerorfooter0"/>
        <w:framePr w:wrap="none" w:vAnchor="page" w:hAnchor="page" w:x="9162" w:y="15466"/>
        <w:shd w:val="clear" w:color="auto" w:fill="auto"/>
      </w:pPr>
      <w:proofErr w:type="gramStart"/>
      <w:r>
        <w:t>Stránka</w:t>
      </w:r>
      <w:r>
        <w:t xml:space="preserve"> 2 z 4</w:t>
      </w:r>
      <w:proofErr w:type="gramEnd"/>
    </w:p>
    <w:p w:rsidR="0050163C" w:rsidRDefault="0050163C">
      <w:pPr>
        <w:rPr>
          <w:sz w:val="2"/>
          <w:szCs w:val="2"/>
        </w:rPr>
        <w:sectPr w:rsidR="0050163C">
          <w:pgSz w:w="11900" w:h="16840"/>
          <w:pgMar w:top="360" w:right="360" w:bottom="360" w:left="360" w:header="0" w:footer="3" w:gutter="0"/>
          <w:cols w:space="720"/>
          <w:noEndnote/>
          <w:docGrid w:linePitch="360"/>
        </w:sectPr>
      </w:pPr>
    </w:p>
    <w:p w:rsidR="0050163C" w:rsidRDefault="00E46007">
      <w:pPr>
        <w:pStyle w:val="Heading20"/>
        <w:framePr w:w="9187" w:h="774" w:hRule="exact" w:wrap="none" w:vAnchor="page" w:hAnchor="page" w:x="1309" w:y="1714"/>
        <w:shd w:val="clear" w:color="auto" w:fill="auto"/>
        <w:spacing w:before="0"/>
      </w:pPr>
      <w:bookmarkStart w:id="7" w:name="bookmark7"/>
      <w:r>
        <w:lastRenderedPageBreak/>
        <w:t>Článek 5</w:t>
      </w:r>
      <w:bookmarkEnd w:id="7"/>
    </w:p>
    <w:p w:rsidR="0050163C" w:rsidRDefault="00E46007">
      <w:pPr>
        <w:pStyle w:val="Heading20"/>
        <w:framePr w:w="9187" w:h="774" w:hRule="exact" w:wrap="none" w:vAnchor="page" w:hAnchor="page" w:x="1309" w:y="1714"/>
        <w:shd w:val="clear" w:color="auto" w:fill="auto"/>
        <w:spacing w:before="0" w:after="0"/>
      </w:pPr>
      <w:bookmarkStart w:id="8" w:name="bookmark8"/>
      <w:r>
        <w:t>Závěrečná ustanovení</w:t>
      </w:r>
      <w:bookmarkEnd w:id="8"/>
    </w:p>
    <w:p w:rsidR="0050163C" w:rsidRDefault="00E46007">
      <w:pPr>
        <w:pStyle w:val="Bodytext20"/>
        <w:framePr w:w="9187" w:h="7776" w:hRule="exact" w:wrap="none" w:vAnchor="page" w:hAnchor="page" w:x="1309" w:y="2893"/>
        <w:numPr>
          <w:ilvl w:val="0"/>
          <w:numId w:val="2"/>
        </w:numPr>
        <w:shd w:val="clear" w:color="auto" w:fill="auto"/>
        <w:tabs>
          <w:tab w:val="left" w:pos="710"/>
        </w:tabs>
        <w:spacing w:after="420" w:line="427" w:lineRule="exact"/>
        <w:jc w:val="both"/>
      </w:pPr>
      <w:r>
        <w:t xml:space="preserve">Smluvní strany berou na vědomí, že tato smlouva podléhá podmínkám a omezením dle zákona č. 340/2015 Sb., o zvláštních podmínkách účinnosti některých smluv, uveřejňování těchto smluv a o registru </w:t>
      </w:r>
      <w:r>
        <w:t>smluv (dále jen „zákon o registru smluv"). Smluvní strany se dohodly, že smlouvu k uveřejnění prostřednictvím registru smluv zašle Ministerstvu vnitra nájemce bez zbytečného odkladu, nejpozději však do 30 (třiceti) dnů od uzavření této smlouvy. Smluvní str</w:t>
      </w:r>
      <w:r>
        <w:t>any výslovně souhlasí, že tato smlouva bude zaslána k uveřejnění v registru smluv v plném znění.</w:t>
      </w:r>
    </w:p>
    <w:p w:rsidR="0050163C" w:rsidRDefault="00E46007">
      <w:pPr>
        <w:pStyle w:val="Bodytext20"/>
        <w:framePr w:w="9187" w:h="7776" w:hRule="exact" w:wrap="none" w:vAnchor="page" w:hAnchor="page" w:x="1309" w:y="2893"/>
        <w:numPr>
          <w:ilvl w:val="0"/>
          <w:numId w:val="2"/>
        </w:numPr>
        <w:shd w:val="clear" w:color="auto" w:fill="auto"/>
        <w:tabs>
          <w:tab w:val="left" w:pos="710"/>
        </w:tabs>
        <w:spacing w:after="547" w:line="427" w:lineRule="exact"/>
        <w:jc w:val="both"/>
      </w:pPr>
      <w:r>
        <w:t>Tato smlouva nabývá platnosti podpisem poslední smluvní strany a účinnosti uveřejněním Ministerstvem vnitra České republiky prostřednictvím registru smluv podl</w:t>
      </w:r>
      <w:r>
        <w:t>e zákona č. 340/2015 Sb., o zvláštních podmínkách účinnosti některých smluv, uveřejňování těchto smluv a o registru smluv.</w:t>
      </w:r>
    </w:p>
    <w:p w:rsidR="0050163C" w:rsidRDefault="00E46007">
      <w:pPr>
        <w:pStyle w:val="Bodytext20"/>
        <w:framePr w:w="9187" w:h="7776" w:hRule="exact" w:wrap="none" w:vAnchor="page" w:hAnchor="page" w:x="1309" w:y="2893"/>
        <w:numPr>
          <w:ilvl w:val="0"/>
          <w:numId w:val="2"/>
        </w:numPr>
        <w:shd w:val="clear" w:color="auto" w:fill="auto"/>
        <w:tabs>
          <w:tab w:val="left" w:pos="710"/>
        </w:tabs>
        <w:spacing w:after="453" w:line="268" w:lineRule="exact"/>
        <w:jc w:val="both"/>
      </w:pPr>
      <w:r>
        <w:t>Změny této smlouvy lze provádět na základě vzájemné dohody a písemně.</w:t>
      </w:r>
    </w:p>
    <w:p w:rsidR="0050163C" w:rsidRDefault="00E46007">
      <w:pPr>
        <w:pStyle w:val="Bodytext20"/>
        <w:framePr w:w="9187" w:h="7776" w:hRule="exact" w:wrap="none" w:vAnchor="page" w:hAnchor="page" w:x="1309" w:y="2893"/>
        <w:numPr>
          <w:ilvl w:val="0"/>
          <w:numId w:val="2"/>
        </w:numPr>
        <w:shd w:val="clear" w:color="auto" w:fill="auto"/>
        <w:tabs>
          <w:tab w:val="left" w:pos="710"/>
        </w:tabs>
        <w:spacing w:line="427" w:lineRule="exact"/>
        <w:jc w:val="both"/>
      </w:pPr>
      <w:r>
        <w:t>Tato smlouva je vyhotovena ve 2 exemplářích, z nichž každý má p</w:t>
      </w:r>
      <w:r>
        <w:t>latnost originálu, a každá ze smluvních stran obdrží po 1 vyhotovení.</w:t>
      </w:r>
    </w:p>
    <w:p w:rsidR="0050163C" w:rsidRDefault="00E46007">
      <w:pPr>
        <w:pStyle w:val="Bodytext20"/>
        <w:framePr w:wrap="none" w:vAnchor="page" w:hAnchor="page" w:x="1309" w:y="11638"/>
        <w:shd w:val="clear" w:color="auto" w:fill="auto"/>
        <w:tabs>
          <w:tab w:val="left" w:pos="4993"/>
        </w:tabs>
        <w:spacing w:line="268" w:lineRule="exact"/>
        <w:ind w:left="740"/>
        <w:jc w:val="both"/>
      </w:pPr>
      <w:r>
        <w:t>V Praze dne 1. 3. 2018</w:t>
      </w:r>
      <w:r>
        <w:tab/>
        <w:t>V Plzni dne 1. 3. 2018</w:t>
      </w:r>
    </w:p>
    <w:p w:rsidR="0050163C" w:rsidRDefault="00E46007">
      <w:pPr>
        <w:pStyle w:val="Bodytext20"/>
        <w:framePr w:w="9187" w:h="326" w:hRule="exact" w:wrap="none" w:vAnchor="page" w:hAnchor="page" w:x="1309" w:y="14632"/>
        <w:shd w:val="clear" w:color="auto" w:fill="auto"/>
        <w:spacing w:line="268" w:lineRule="exact"/>
        <w:ind w:right="6451"/>
        <w:jc w:val="right"/>
      </w:pPr>
      <w:r>
        <w:t>pronajímatel</w:t>
      </w:r>
    </w:p>
    <w:p w:rsidR="0050163C" w:rsidRDefault="00E46007">
      <w:pPr>
        <w:pStyle w:val="Bodytext20"/>
        <w:framePr w:wrap="none" w:vAnchor="page" w:hAnchor="page" w:x="6920" w:y="14642"/>
        <w:shd w:val="clear" w:color="auto" w:fill="auto"/>
        <w:spacing w:line="268" w:lineRule="exact"/>
      </w:pPr>
      <w:r>
        <w:t>nájemce</w:t>
      </w:r>
    </w:p>
    <w:p w:rsidR="0050163C" w:rsidRDefault="00E46007">
      <w:pPr>
        <w:pStyle w:val="Headerorfooter0"/>
        <w:framePr w:wrap="none" w:vAnchor="page" w:hAnchor="page" w:x="9138" w:y="15432"/>
        <w:shd w:val="clear" w:color="auto" w:fill="auto"/>
      </w:pPr>
      <w:proofErr w:type="gramStart"/>
      <w:r>
        <w:t>Stránka 3 z 4</w:t>
      </w:r>
      <w:proofErr w:type="gramEnd"/>
    </w:p>
    <w:p w:rsidR="0050163C" w:rsidRDefault="0050163C">
      <w:pPr>
        <w:rPr>
          <w:sz w:val="2"/>
          <w:szCs w:val="2"/>
        </w:rPr>
        <w:sectPr w:rsidR="0050163C">
          <w:pgSz w:w="11900" w:h="16840"/>
          <w:pgMar w:top="360" w:right="360" w:bottom="360" w:left="360" w:header="0" w:footer="3" w:gutter="0"/>
          <w:cols w:space="720"/>
          <w:noEndnote/>
          <w:docGrid w:linePitch="360"/>
        </w:sectPr>
      </w:pPr>
    </w:p>
    <w:p w:rsidR="0050163C" w:rsidRDefault="00E46007">
      <w:pPr>
        <w:pStyle w:val="Headerorfooter0"/>
        <w:framePr w:wrap="none" w:vAnchor="page" w:hAnchor="page" w:x="9354" w:y="754"/>
        <w:shd w:val="clear" w:color="auto" w:fill="auto"/>
      </w:pPr>
      <w:r>
        <w:lastRenderedPageBreak/>
        <w:t>Příloha č. 1</w:t>
      </w:r>
    </w:p>
    <w:p w:rsidR="0050163C" w:rsidRDefault="00E46007">
      <w:pPr>
        <w:pStyle w:val="Heading20"/>
        <w:framePr w:w="9187" w:h="331" w:hRule="exact" w:wrap="none" w:vAnchor="page" w:hAnchor="page" w:x="1309" w:y="1692"/>
        <w:shd w:val="clear" w:color="auto" w:fill="auto"/>
        <w:spacing w:before="0" w:after="0"/>
        <w:ind w:left="20"/>
      </w:pPr>
      <w:bookmarkStart w:id="9" w:name="bookmark9"/>
      <w:r>
        <w:t>Předávací protokol</w:t>
      </w:r>
      <w:bookmarkEnd w:id="9"/>
    </w:p>
    <w:p w:rsidR="0050163C" w:rsidRDefault="00E46007">
      <w:pPr>
        <w:pStyle w:val="Bodytext20"/>
        <w:framePr w:w="9187" w:h="3494" w:hRule="exact" w:wrap="none" w:vAnchor="page" w:hAnchor="page" w:x="1309" w:y="2418"/>
        <w:shd w:val="clear" w:color="auto" w:fill="auto"/>
        <w:spacing w:line="427" w:lineRule="exact"/>
        <w:jc w:val="both"/>
      </w:pPr>
      <w:r>
        <w:t xml:space="preserve">8 kanálů mikroportů, které se skládají z těchto </w:t>
      </w:r>
      <w:r>
        <w:t>komponentů:</w:t>
      </w:r>
    </w:p>
    <w:p w:rsidR="0050163C" w:rsidRDefault="00E46007">
      <w:pPr>
        <w:pStyle w:val="Bodytext20"/>
        <w:framePr w:w="9187" w:h="3494" w:hRule="exact" w:wrap="none" w:vAnchor="page" w:hAnchor="page" w:x="1309" w:y="2418"/>
        <w:shd w:val="clear" w:color="auto" w:fill="auto"/>
        <w:spacing w:line="427" w:lineRule="exact"/>
        <w:jc w:val="both"/>
      </w:pPr>
      <w:r>
        <w:t>5 ks vysílačů zn. Sennheiser SK3063-U:</w:t>
      </w:r>
    </w:p>
    <w:p w:rsidR="0050163C" w:rsidRDefault="00E46007">
      <w:pPr>
        <w:pStyle w:val="Bodytext20"/>
        <w:framePr w:w="9187" w:h="3494" w:hRule="exact" w:wrap="none" w:vAnchor="page" w:hAnchor="page" w:x="1309" w:y="2418"/>
        <w:shd w:val="clear" w:color="auto" w:fill="auto"/>
        <w:spacing w:line="427" w:lineRule="exact"/>
        <w:ind w:firstLine="3200"/>
      </w:pPr>
      <w:proofErr w:type="gramStart"/>
      <w:r>
        <w:t>v.č.</w:t>
      </w:r>
      <w:proofErr w:type="gramEnd"/>
      <w:r>
        <w:t xml:space="preserve"> 104195, 104198, 104191, 107252 a 10x99x</w:t>
      </w:r>
    </w:p>
    <w:p w:rsidR="0050163C" w:rsidRDefault="00E46007">
      <w:pPr>
        <w:pStyle w:val="Bodytext20"/>
        <w:framePr w:w="9187" w:h="3494" w:hRule="exact" w:wrap="none" w:vAnchor="page" w:hAnchor="page" w:x="1309" w:y="2418"/>
        <w:numPr>
          <w:ilvl w:val="0"/>
          <w:numId w:val="3"/>
        </w:numPr>
        <w:shd w:val="clear" w:color="auto" w:fill="auto"/>
        <w:tabs>
          <w:tab w:val="left" w:pos="310"/>
        </w:tabs>
        <w:spacing w:line="427" w:lineRule="exact"/>
        <w:jc w:val="both"/>
      </w:pPr>
      <w:r>
        <w:t>ks vysílačů zn. Sennheiser SK50:</w:t>
      </w:r>
    </w:p>
    <w:p w:rsidR="0050163C" w:rsidRDefault="00E46007">
      <w:pPr>
        <w:pStyle w:val="Bodytext20"/>
        <w:framePr w:w="9187" w:h="3494" w:hRule="exact" w:wrap="none" w:vAnchor="page" w:hAnchor="page" w:x="1309" w:y="2418"/>
        <w:shd w:val="clear" w:color="auto" w:fill="auto"/>
        <w:spacing w:line="427" w:lineRule="exact"/>
        <w:ind w:right="720" w:firstLine="3200"/>
      </w:pPr>
      <w:proofErr w:type="gramStart"/>
      <w:r>
        <w:t>v.č.</w:t>
      </w:r>
      <w:proofErr w:type="gramEnd"/>
      <w:r>
        <w:t>: 307507, 310007 a 310817 a</w:t>
      </w:r>
    </w:p>
    <w:p w:rsidR="0050163C" w:rsidRDefault="00E46007">
      <w:pPr>
        <w:pStyle w:val="Bodytext20"/>
        <w:framePr w:w="9187" w:h="3494" w:hRule="exact" w:wrap="none" w:vAnchor="page" w:hAnchor="page" w:x="1309" w:y="2418"/>
        <w:numPr>
          <w:ilvl w:val="0"/>
          <w:numId w:val="3"/>
        </w:numPr>
        <w:shd w:val="clear" w:color="auto" w:fill="auto"/>
        <w:tabs>
          <w:tab w:val="left" w:pos="315"/>
        </w:tabs>
        <w:spacing w:line="427" w:lineRule="exact"/>
        <w:jc w:val="both"/>
      </w:pPr>
      <w:r>
        <w:t>ks přijímačů zn. Sennheiser EM3032:</w:t>
      </w:r>
    </w:p>
    <w:p w:rsidR="0050163C" w:rsidRDefault="00E46007">
      <w:pPr>
        <w:pStyle w:val="Bodytext20"/>
        <w:framePr w:w="9187" w:h="3494" w:hRule="exact" w:wrap="none" w:vAnchor="page" w:hAnchor="page" w:x="1309" w:y="2418"/>
        <w:shd w:val="clear" w:color="auto" w:fill="auto"/>
        <w:spacing w:line="427" w:lineRule="exact"/>
        <w:ind w:firstLine="3200"/>
      </w:pPr>
      <w:proofErr w:type="gramStart"/>
      <w:r>
        <w:t>v.č.</w:t>
      </w:r>
      <w:proofErr w:type="gramEnd"/>
      <w:r>
        <w:t>: 101680, 101681, 101862 a 105458.</w:t>
      </w:r>
    </w:p>
    <w:p w:rsidR="0050163C" w:rsidRDefault="00E46007">
      <w:pPr>
        <w:pStyle w:val="Heading20"/>
        <w:framePr w:w="9187" w:h="1185" w:hRule="exact" w:wrap="none" w:vAnchor="page" w:hAnchor="page" w:x="1309" w:y="7264"/>
        <w:shd w:val="clear" w:color="auto" w:fill="auto"/>
        <w:spacing w:before="0" w:after="580"/>
        <w:jc w:val="both"/>
      </w:pPr>
      <w:bookmarkStart w:id="10" w:name="bookmark10"/>
      <w:r>
        <w:t>Předáno v Praze dne:</w:t>
      </w:r>
      <w:r>
        <w:t xml:space="preserve"> 1. 3. 2018</w:t>
      </w:r>
      <w:bookmarkEnd w:id="10"/>
    </w:p>
    <w:p w:rsidR="0050163C" w:rsidRDefault="00E46007">
      <w:pPr>
        <w:pStyle w:val="Bodytext20"/>
        <w:framePr w:w="9187" w:h="1185" w:hRule="exact" w:wrap="none" w:vAnchor="page" w:hAnchor="page" w:x="1309" w:y="7264"/>
        <w:shd w:val="clear" w:color="auto" w:fill="auto"/>
        <w:tabs>
          <w:tab w:val="left" w:pos="5669"/>
        </w:tabs>
        <w:spacing w:line="268" w:lineRule="exact"/>
        <w:jc w:val="both"/>
      </w:pPr>
      <w:r>
        <w:t>Za pronajímatele předal:</w:t>
      </w:r>
      <w:r>
        <w:tab/>
        <w:t>Za nájemce převzal:</w:t>
      </w:r>
    </w:p>
    <w:p w:rsidR="0050163C" w:rsidRDefault="00E46007">
      <w:pPr>
        <w:pStyle w:val="Heading20"/>
        <w:framePr w:w="9187" w:h="1185" w:hRule="exact" w:wrap="none" w:vAnchor="page" w:hAnchor="page" w:x="1309" w:y="11555"/>
        <w:shd w:val="clear" w:color="auto" w:fill="auto"/>
        <w:spacing w:before="0" w:after="580"/>
        <w:jc w:val="both"/>
      </w:pPr>
      <w:bookmarkStart w:id="11" w:name="bookmark11"/>
      <w:r>
        <w:t>Vráceno v Praze dne:</w:t>
      </w:r>
      <w:bookmarkEnd w:id="11"/>
    </w:p>
    <w:p w:rsidR="0050163C" w:rsidRDefault="00E46007">
      <w:pPr>
        <w:pStyle w:val="Bodytext20"/>
        <w:framePr w:w="9187" w:h="1185" w:hRule="exact" w:wrap="none" w:vAnchor="page" w:hAnchor="page" w:x="1309" w:y="11555"/>
        <w:shd w:val="clear" w:color="auto" w:fill="auto"/>
        <w:tabs>
          <w:tab w:val="left" w:pos="4954"/>
        </w:tabs>
        <w:spacing w:line="268" w:lineRule="exact"/>
        <w:jc w:val="both"/>
      </w:pPr>
      <w:r>
        <w:t>Za nájemce předal:</w:t>
      </w:r>
      <w:r>
        <w:tab/>
      </w:r>
      <w:r w:rsidR="002F1B93">
        <w:t xml:space="preserve">          </w:t>
      </w:r>
      <w:r>
        <w:t>Za pronajímatele převzal:</w:t>
      </w:r>
    </w:p>
    <w:p w:rsidR="0050163C" w:rsidRDefault="00E46007">
      <w:pPr>
        <w:pStyle w:val="Headerorfooter0"/>
        <w:framePr w:wrap="none" w:vAnchor="page" w:hAnchor="page" w:x="9148" w:y="15581"/>
        <w:shd w:val="clear" w:color="auto" w:fill="auto"/>
      </w:pPr>
      <w:proofErr w:type="gramStart"/>
      <w:r>
        <w:t>Stránka 4 z 4</w:t>
      </w:r>
      <w:proofErr w:type="gramEnd"/>
    </w:p>
    <w:p w:rsidR="0050163C" w:rsidRDefault="0050163C">
      <w:pPr>
        <w:rPr>
          <w:sz w:val="2"/>
          <w:szCs w:val="2"/>
        </w:rPr>
      </w:pPr>
    </w:p>
    <w:sectPr w:rsidR="0050163C" w:rsidSect="0050163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07" w:rsidRDefault="00E46007" w:rsidP="0050163C">
      <w:r>
        <w:separator/>
      </w:r>
    </w:p>
  </w:endnote>
  <w:endnote w:type="continuationSeparator" w:id="0">
    <w:p w:rsidR="00E46007" w:rsidRDefault="00E46007" w:rsidP="0050163C">
      <w:r>
        <w:continuationSeparator/>
      </w:r>
    </w:p>
  </w:endnote>
</w:endnotes>
</file>

<file path=word/fontTable.xml><?xml version="1.0" encoding="utf-8"?>
<w:fonts xmlns:r="http://schemas.openxmlformats.org/officeDocument/2006/relationships" xmlns:w="http://schemas.openxmlformats.org/wordprocessingml/2006/main">
  <w:font w:name="Meiryo UI">
    <w:panose1 w:val="020B0604030504040204"/>
    <w:charset w:val="80"/>
    <w:family w:val="swiss"/>
    <w:pitch w:val="variable"/>
    <w:sig w:usb0="E10102FF" w:usb1="EAC7FFFF" w:usb2="00010012" w:usb3="00000000" w:csb0="0002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07" w:rsidRDefault="00E46007"/>
  </w:footnote>
  <w:footnote w:type="continuationSeparator" w:id="0">
    <w:p w:rsidR="00E46007" w:rsidRDefault="00E460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53788"/>
    <w:multiLevelType w:val="multilevel"/>
    <w:tmpl w:val="20EA3852"/>
    <w:lvl w:ilvl="0">
      <w:start w:val="1"/>
      <w:numFmt w:val="decimal"/>
      <w:lvlText w:val="5.%1."/>
      <w:lvlJc w:val="left"/>
      <w:rPr>
        <w:rFonts w:ascii="Meiryo UI" w:eastAsia="Meiryo UI" w:hAnsi="Meiryo UI" w:cs="Meiryo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7032E6"/>
    <w:multiLevelType w:val="multilevel"/>
    <w:tmpl w:val="653055AE"/>
    <w:lvl w:ilvl="0">
      <w:start w:val="1"/>
      <w:numFmt w:val="decimal"/>
      <w:lvlText w:val="4.%1."/>
      <w:lvlJc w:val="left"/>
      <w:rPr>
        <w:rFonts w:ascii="Meiryo UI" w:eastAsia="Meiryo UI" w:hAnsi="Meiryo UI" w:cs="Meiryo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E5603E"/>
    <w:multiLevelType w:val="multilevel"/>
    <w:tmpl w:val="D95C3432"/>
    <w:lvl w:ilvl="0">
      <w:start w:val="3"/>
      <w:numFmt w:val="decimal"/>
      <w:lvlText w:val="%1"/>
      <w:lvlJc w:val="left"/>
      <w:rPr>
        <w:rFonts w:ascii="Meiryo UI" w:eastAsia="Meiryo UI" w:hAnsi="Meiryo UI" w:cs="Meiryo U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0163C"/>
    <w:rsid w:val="002F1B93"/>
    <w:rsid w:val="0050163C"/>
    <w:rsid w:val="00E460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0163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50163C"/>
    <w:rPr>
      <w:rFonts w:ascii="Meiryo UI" w:eastAsia="Meiryo UI" w:hAnsi="Meiryo UI" w:cs="Meiryo UI"/>
      <w:b/>
      <w:bCs/>
      <w:i w:val="0"/>
      <w:iCs w:val="0"/>
      <w:smallCaps w:val="0"/>
      <w:strike w:val="0"/>
      <w:sz w:val="44"/>
      <w:szCs w:val="44"/>
      <w:u w:val="none"/>
    </w:rPr>
  </w:style>
  <w:style w:type="character" w:customStyle="1" w:styleId="Bodytext2">
    <w:name w:val="Body text (2)_"/>
    <w:basedOn w:val="Standardnpsmoodstavce"/>
    <w:link w:val="Bodytext20"/>
    <w:rsid w:val="0050163C"/>
    <w:rPr>
      <w:rFonts w:ascii="Meiryo UI" w:eastAsia="Meiryo UI" w:hAnsi="Meiryo UI" w:cs="Meiryo UI"/>
      <w:b w:val="0"/>
      <w:bCs w:val="0"/>
      <w:i w:val="0"/>
      <w:iCs w:val="0"/>
      <w:smallCaps w:val="0"/>
      <w:strike w:val="0"/>
      <w:sz w:val="22"/>
      <w:szCs w:val="22"/>
      <w:u w:val="none"/>
    </w:rPr>
  </w:style>
  <w:style w:type="character" w:customStyle="1" w:styleId="Bodytext3">
    <w:name w:val="Body text (3)_"/>
    <w:basedOn w:val="Standardnpsmoodstavce"/>
    <w:link w:val="Bodytext30"/>
    <w:rsid w:val="0050163C"/>
    <w:rPr>
      <w:rFonts w:ascii="Meiryo UI" w:eastAsia="Meiryo UI" w:hAnsi="Meiryo UI" w:cs="Meiryo UI"/>
      <w:b/>
      <w:bCs/>
      <w:i w:val="0"/>
      <w:iCs w:val="0"/>
      <w:smallCaps w:val="0"/>
      <w:strike w:val="0"/>
      <w:sz w:val="22"/>
      <w:szCs w:val="22"/>
      <w:u w:val="none"/>
    </w:rPr>
  </w:style>
  <w:style w:type="character" w:customStyle="1" w:styleId="Heading2">
    <w:name w:val="Heading #2_"/>
    <w:basedOn w:val="Standardnpsmoodstavce"/>
    <w:link w:val="Heading20"/>
    <w:rsid w:val="0050163C"/>
    <w:rPr>
      <w:rFonts w:ascii="Meiryo UI" w:eastAsia="Meiryo UI" w:hAnsi="Meiryo UI" w:cs="Meiryo UI"/>
      <w:b/>
      <w:bCs/>
      <w:i w:val="0"/>
      <w:iCs w:val="0"/>
      <w:smallCaps w:val="0"/>
      <w:strike w:val="0"/>
      <w:sz w:val="22"/>
      <w:szCs w:val="22"/>
      <w:u w:val="none"/>
    </w:rPr>
  </w:style>
  <w:style w:type="character" w:customStyle="1" w:styleId="Headerorfooter">
    <w:name w:val="Header or footer_"/>
    <w:basedOn w:val="Standardnpsmoodstavce"/>
    <w:link w:val="Headerorfooter0"/>
    <w:rsid w:val="0050163C"/>
    <w:rPr>
      <w:rFonts w:ascii="Meiryo UI" w:eastAsia="Meiryo UI" w:hAnsi="Meiryo UI" w:cs="Meiryo UI"/>
      <w:b w:val="0"/>
      <w:bCs w:val="0"/>
      <w:i w:val="0"/>
      <w:iCs w:val="0"/>
      <w:smallCaps w:val="0"/>
      <w:strike w:val="0"/>
      <w:sz w:val="19"/>
      <w:szCs w:val="19"/>
      <w:u w:val="none"/>
    </w:rPr>
  </w:style>
  <w:style w:type="character" w:customStyle="1" w:styleId="Bodytext2Bold">
    <w:name w:val="Body text (2) + Bold"/>
    <w:basedOn w:val="Bodytext2"/>
    <w:rsid w:val="0050163C"/>
    <w:rPr>
      <w:b/>
      <w:bCs/>
      <w:color w:val="000000"/>
      <w:spacing w:val="0"/>
      <w:w w:val="100"/>
      <w:position w:val="0"/>
      <w:lang w:val="cs-CZ" w:eastAsia="cs-CZ" w:bidi="cs-CZ"/>
    </w:rPr>
  </w:style>
  <w:style w:type="paragraph" w:customStyle="1" w:styleId="Heading10">
    <w:name w:val="Heading #1"/>
    <w:basedOn w:val="Normln"/>
    <w:link w:val="Heading1"/>
    <w:rsid w:val="0050163C"/>
    <w:pPr>
      <w:shd w:val="clear" w:color="auto" w:fill="FFFFFF"/>
      <w:spacing w:line="536" w:lineRule="exact"/>
      <w:jc w:val="center"/>
      <w:outlineLvl w:val="0"/>
    </w:pPr>
    <w:rPr>
      <w:rFonts w:ascii="Meiryo UI" w:eastAsia="Meiryo UI" w:hAnsi="Meiryo UI" w:cs="Meiryo UI"/>
      <w:b/>
      <w:bCs/>
      <w:sz w:val="44"/>
      <w:szCs w:val="44"/>
    </w:rPr>
  </w:style>
  <w:style w:type="paragraph" w:customStyle="1" w:styleId="Bodytext20">
    <w:name w:val="Body text (2)"/>
    <w:basedOn w:val="Normln"/>
    <w:link w:val="Bodytext2"/>
    <w:rsid w:val="0050163C"/>
    <w:pPr>
      <w:shd w:val="clear" w:color="auto" w:fill="FFFFFF"/>
      <w:spacing w:line="893" w:lineRule="exact"/>
    </w:pPr>
    <w:rPr>
      <w:rFonts w:ascii="Meiryo UI" w:eastAsia="Meiryo UI" w:hAnsi="Meiryo UI" w:cs="Meiryo UI"/>
      <w:sz w:val="22"/>
      <w:szCs w:val="22"/>
    </w:rPr>
  </w:style>
  <w:style w:type="paragraph" w:customStyle="1" w:styleId="Bodytext30">
    <w:name w:val="Body text (3)"/>
    <w:basedOn w:val="Normln"/>
    <w:link w:val="Bodytext3"/>
    <w:rsid w:val="0050163C"/>
    <w:pPr>
      <w:shd w:val="clear" w:color="auto" w:fill="FFFFFF"/>
      <w:spacing w:line="427" w:lineRule="exact"/>
      <w:jc w:val="both"/>
    </w:pPr>
    <w:rPr>
      <w:rFonts w:ascii="Meiryo UI" w:eastAsia="Meiryo UI" w:hAnsi="Meiryo UI" w:cs="Meiryo UI"/>
      <w:b/>
      <w:bCs/>
      <w:sz w:val="22"/>
      <w:szCs w:val="22"/>
    </w:rPr>
  </w:style>
  <w:style w:type="paragraph" w:customStyle="1" w:styleId="Heading20">
    <w:name w:val="Heading #2"/>
    <w:basedOn w:val="Normln"/>
    <w:link w:val="Heading2"/>
    <w:rsid w:val="0050163C"/>
    <w:pPr>
      <w:shd w:val="clear" w:color="auto" w:fill="FFFFFF"/>
      <w:spacing w:before="900" w:after="160" w:line="268" w:lineRule="exact"/>
      <w:jc w:val="center"/>
      <w:outlineLvl w:val="1"/>
    </w:pPr>
    <w:rPr>
      <w:rFonts w:ascii="Meiryo UI" w:eastAsia="Meiryo UI" w:hAnsi="Meiryo UI" w:cs="Meiryo UI"/>
      <w:b/>
      <w:bCs/>
      <w:sz w:val="22"/>
      <w:szCs w:val="22"/>
    </w:rPr>
  </w:style>
  <w:style w:type="paragraph" w:customStyle="1" w:styleId="Headerorfooter0">
    <w:name w:val="Header or footer"/>
    <w:basedOn w:val="Normln"/>
    <w:link w:val="Headerorfooter"/>
    <w:rsid w:val="0050163C"/>
    <w:pPr>
      <w:shd w:val="clear" w:color="auto" w:fill="FFFFFF"/>
      <w:spacing w:line="234" w:lineRule="exact"/>
    </w:pPr>
    <w:rPr>
      <w:rFonts w:ascii="Meiryo UI" w:eastAsia="Meiryo UI" w:hAnsi="Meiryo UI" w:cs="Meiryo UI"/>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553</Words>
  <Characters>3269</Characters>
  <Application>Microsoft Office Word</Application>
  <DocSecurity>0</DocSecurity>
  <Lines>27</Lines>
  <Paragraphs>7</Paragraphs>
  <ScaleCrop>false</ScaleCrop>
  <Company>Hudební divadlo Karlín</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2</cp:revision>
  <dcterms:created xsi:type="dcterms:W3CDTF">2018-03-14T09:59:00Z</dcterms:created>
  <dcterms:modified xsi:type="dcterms:W3CDTF">2018-03-14T10:02:00Z</dcterms:modified>
</cp:coreProperties>
</file>