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before="0" w:after="200"/>
        <w:contextualSpacing/>
        <w:outlineLvl w:val="0"/>
        <w:rPr>
          <w:sz w:val="24"/>
          <w:szCs w:val="40"/>
          <w:u w:val="single"/>
        </w:rPr>
      </w:pPr>
      <w:r>
        <w:rPr>
          <w:sz w:val="24"/>
          <w:szCs w:val="40"/>
          <w:u w:val="single"/>
        </w:rPr>
      </w:r>
    </w:p>
    <w:p>
      <w:pPr>
        <w:pStyle w:val="Normal"/>
        <w:numPr>
          <w:ilvl w:val="0"/>
          <w:numId w:val="0"/>
        </w:numPr>
        <w:spacing w:before="0" w:after="200"/>
        <w:contextualSpacing/>
        <w:jc w:val="center"/>
        <w:outlineLvl w:val="0"/>
        <w:rPr>
          <w:b/>
          <w:b/>
          <w:sz w:val="24"/>
          <w:szCs w:val="40"/>
          <w:u w:val="single"/>
        </w:rPr>
      </w:pPr>
      <w:r>
        <w:rPr>
          <w:sz w:val="24"/>
          <w:szCs w:val="40"/>
          <w:u w:val="single"/>
        </w:rPr>
        <w:t>CENOVÁ NABÍDKA č. 040/2018 ze dne 16.2.2018</w:t>
      </w:r>
    </w:p>
    <w:p>
      <w:pPr>
        <w:pStyle w:val="Normal"/>
        <w:spacing w:lineRule="auto" w:line="240" w:before="0" w:after="0"/>
        <w:contextualSpacing/>
        <w:rPr>
          <w:rFonts w:cs="Calibri" w:cstheme="minorHAnsi"/>
          <w:bCs/>
          <w:color w:val="000000"/>
          <w:sz w:val="14"/>
          <w:szCs w:val="16"/>
          <w:u w:val="single"/>
        </w:rPr>
      </w:pPr>
      <w:r>
        <w:rPr>
          <w:rFonts w:cs="Calibri" w:cstheme="minorHAnsi"/>
          <w:bCs/>
          <w:color w:val="000000"/>
          <w:sz w:val="14"/>
          <w:szCs w:val="16"/>
          <w:u w:val="single"/>
        </w:rPr>
      </w:r>
    </w:p>
    <w:p>
      <w:pPr>
        <w:pStyle w:val="Normal"/>
        <w:spacing w:before="0" w:after="200"/>
        <w:contextualSpacing/>
        <w:rPr>
          <w:rFonts w:cs="Tahoma"/>
          <w:b/>
          <w:b/>
          <w:bCs/>
          <w:sz w:val="14"/>
          <w:szCs w:val="16"/>
          <w:u w:val="single"/>
        </w:rPr>
      </w:pPr>
      <w:r>
        <w:rPr>
          <w:rFonts w:cs="Tahoma"/>
          <w:b/>
          <w:bCs/>
          <w:sz w:val="14"/>
          <w:szCs w:val="16"/>
          <w:u w:val="single"/>
        </w:rPr>
        <w:t>Zákazník:</w:t>
      </w:r>
    </w:p>
    <w:p>
      <w:pPr>
        <w:pStyle w:val="Normal"/>
        <w:spacing w:before="0" w:after="200"/>
        <w:contextualSpacing/>
        <w:rPr>
          <w:rFonts w:cs="Tahoma"/>
          <w:bCs/>
          <w:sz w:val="14"/>
          <w:szCs w:val="16"/>
        </w:rPr>
      </w:pPr>
      <w:r>
        <w:rPr>
          <w:rFonts w:cs="Tahoma"/>
          <w:bCs/>
          <w:sz w:val="14"/>
          <w:szCs w:val="16"/>
        </w:rPr>
        <w:t>Psychiatrická nemocnice Jihlava</w:t>
      </w:r>
    </w:p>
    <w:p>
      <w:pPr>
        <w:pStyle w:val="Normal"/>
        <w:spacing w:before="0" w:after="200"/>
        <w:contextualSpacing/>
        <w:rPr>
          <w:rFonts w:cs="Tahoma"/>
          <w:bCs/>
          <w:sz w:val="14"/>
          <w:szCs w:val="16"/>
        </w:rPr>
      </w:pPr>
      <w:r>
        <w:rPr>
          <w:rFonts w:cs="Tahoma"/>
          <w:bCs/>
          <w:sz w:val="14"/>
          <w:szCs w:val="16"/>
        </w:rPr>
        <w:t>Brněnská 455/54</w:t>
      </w:r>
    </w:p>
    <w:p>
      <w:pPr>
        <w:pStyle w:val="Normal"/>
        <w:spacing w:before="0" w:after="200"/>
        <w:contextualSpacing/>
        <w:rPr>
          <w:rFonts w:cs="Tahoma"/>
          <w:bCs/>
          <w:sz w:val="14"/>
          <w:szCs w:val="16"/>
        </w:rPr>
      </w:pPr>
      <w:r>
        <w:rPr>
          <w:rFonts w:cs="Tahoma"/>
          <w:bCs/>
          <w:sz w:val="14"/>
          <w:szCs w:val="16"/>
        </w:rPr>
        <w:t>586 24  Jihlava</w:t>
      </w:r>
    </w:p>
    <w:p>
      <w:pPr>
        <w:pStyle w:val="Normal"/>
        <w:spacing w:before="0" w:after="200"/>
        <w:contextualSpacing/>
        <w:rPr>
          <w:rFonts w:cs="Tahoma"/>
          <w:bCs/>
          <w:sz w:val="14"/>
          <w:szCs w:val="16"/>
        </w:rPr>
      </w:pPr>
      <w:r>
        <w:rPr>
          <w:rFonts w:cs="Tahoma"/>
          <w:bCs/>
          <w:sz w:val="14"/>
          <w:szCs w:val="16"/>
        </w:rPr>
      </w:r>
    </w:p>
    <w:p>
      <w:pPr>
        <w:pStyle w:val="Normal"/>
        <w:spacing w:before="0" w:after="200"/>
        <w:contextualSpacing/>
        <w:rPr>
          <w:rFonts w:cs="Tahoma"/>
          <w:bCs/>
          <w:sz w:val="14"/>
          <w:szCs w:val="16"/>
        </w:rPr>
      </w:pPr>
      <w:r>
        <w:rPr>
          <w:rFonts w:cs="Tahoma"/>
          <w:bCs/>
          <w:sz w:val="14"/>
          <w:szCs w:val="16"/>
        </w:rPr>
        <w:t>IČO:  00600601</w:t>
      </w:r>
    </w:p>
    <w:p>
      <w:pPr>
        <w:pStyle w:val="Normal"/>
        <w:spacing w:before="0" w:after="200"/>
        <w:contextualSpacing/>
        <w:rPr>
          <w:rFonts w:cs="Tahoma"/>
          <w:sz w:val="14"/>
          <w:szCs w:val="16"/>
        </w:rPr>
      </w:pPr>
      <w:r>
        <w:rPr>
          <w:rFonts w:cs="Tahoma"/>
          <w:bCs/>
          <w:sz w:val="14"/>
          <w:szCs w:val="16"/>
        </w:rPr>
        <w:t>DIČ: CZ00600601</w:t>
      </w:r>
    </w:p>
    <w:p>
      <w:pPr>
        <w:pStyle w:val="Normal"/>
        <w:spacing w:before="0" w:after="200"/>
        <w:contextualSpacing/>
        <w:rPr>
          <w:rFonts w:cs="Tahoma"/>
          <w:sz w:val="14"/>
          <w:szCs w:val="16"/>
        </w:rPr>
      </w:pPr>
      <w:r>
        <w:rPr>
          <w:rFonts w:cs="Tahoma"/>
          <w:sz w:val="14"/>
          <w:szCs w:val="16"/>
        </w:rPr>
      </w:r>
    </w:p>
    <w:p>
      <w:pPr>
        <w:pStyle w:val="Normal"/>
        <w:spacing w:before="0" w:after="200"/>
        <w:contextualSpacing/>
        <w:rPr>
          <w:rFonts w:cs="Tahoma"/>
          <w:b/>
          <w:b/>
          <w:sz w:val="14"/>
          <w:szCs w:val="16"/>
        </w:rPr>
      </w:pPr>
      <w:r>
        <w:rPr>
          <w:rFonts w:cs="Tahoma"/>
          <w:b/>
          <w:sz w:val="14"/>
          <w:szCs w:val="16"/>
        </w:rPr>
        <w:t>Veřejná zakázka:   Psychiatrická nemocnice Jihlava – výměna skládacích panelových vrat v garáži</w:t>
      </w:r>
    </w:p>
    <w:p>
      <w:pPr>
        <w:pStyle w:val="Normal"/>
        <w:tabs>
          <w:tab w:val="left" w:pos="3084" w:leader="none"/>
        </w:tabs>
        <w:spacing w:before="0" w:after="200"/>
        <w:contextualSpacing/>
        <w:rPr>
          <w:sz w:val="24"/>
        </w:rPr>
      </w:pPr>
      <w:r>
        <w:rPr>
          <w:sz w:val="24"/>
        </w:rPr>
        <w:tab/>
      </w:r>
    </w:p>
    <w:p>
      <w:pPr>
        <w:pStyle w:val="Nadpis4"/>
        <w:rPr>
          <w:rFonts w:ascii="Calibri" w:hAnsi="Calibri" w:eastAsia="Arial Unicode MS" w:cs="Calibri" w:asciiTheme="minorHAnsi" w:cstheme="minorHAnsi" w:hAnsiTheme="minorHAnsi"/>
          <w:b w:val="false"/>
          <w:b w:val="false"/>
          <w:bCs w:val="false"/>
          <w:i w:val="false"/>
          <w:i w:val="false"/>
          <w:iCs w:val="false"/>
          <w:color w:val="FF0000"/>
          <w:sz w:val="16"/>
          <w:szCs w:val="20"/>
          <w:u w:val="single"/>
        </w:rPr>
      </w:pPr>
      <w:r>
        <w:rPr>
          <w:rFonts w:cs="Calibri" w:ascii="Calibri" w:hAnsi="Calibri" w:asciiTheme="minorHAnsi" w:cstheme="minorHAnsi" w:hAnsiTheme="minorHAnsi"/>
          <w:bCs w:val="false"/>
          <w:i w:val="false"/>
          <w:color w:val="FF0000"/>
          <w:sz w:val="16"/>
          <w:szCs w:val="20"/>
          <w:u w:val="single"/>
        </w:rPr>
        <w:t>1 ks skládací vrata lamelová – plný průjezd ( provedení 2+ 2 křídla)  - český výrobce TRIDO</w:t>
      </w:r>
    </w:p>
    <w:p>
      <w:pPr>
        <w:pStyle w:val="Tlotextu"/>
        <w:tabs>
          <w:tab w:val="left" w:pos="1260" w:leader="none"/>
          <w:tab w:val="right" w:pos="8364" w:leader="none"/>
        </w:tabs>
        <w:ind w:left="720" w:hanging="0"/>
        <w:rPr>
          <w:rFonts w:ascii="Calibri" w:hAnsi="Calibri" w:cs="Calibri" w:asciiTheme="minorHAnsi" w:cstheme="minorHAnsi" w:hAnsiTheme="minorHAnsi"/>
          <w:bCs/>
          <w:iCs/>
          <w:sz w:val="16"/>
          <w:szCs w:val="20"/>
        </w:rPr>
      </w:pPr>
      <w:r>
        <w:rPr>
          <w:rFonts w:cs="Calibri" w:cstheme="minorHAnsi" w:ascii="Calibri" w:hAnsi="Calibri"/>
          <w:bCs/>
          <w:iCs/>
          <w:sz w:val="16"/>
          <w:szCs w:val="20"/>
        </w:rPr>
      </w:r>
    </w:p>
    <w:p>
      <w:pPr>
        <w:pStyle w:val="Tlotextu"/>
        <w:tabs>
          <w:tab w:val="left" w:pos="1418" w:leader="none"/>
        </w:tabs>
        <w:spacing w:before="0" w:after="200"/>
        <w:contextualSpacing/>
        <w:rPr>
          <w:rFonts w:ascii="Calibri" w:hAnsi="Calibri" w:cs="Calibri" w:asciiTheme="minorHAnsi" w:cstheme="minorHAnsi" w:hAnsiTheme="minorHAnsi"/>
          <w:b/>
          <w:b/>
          <w:sz w:val="16"/>
          <w:szCs w:val="16"/>
        </w:rPr>
      </w:pPr>
      <w:r>
        <w:rPr>
          <w:rFonts w:cs="Calibri" w:ascii="Calibri" w:hAnsi="Calibri" w:asciiTheme="minorHAnsi" w:cstheme="minorHAnsi" w:hAnsiTheme="minorHAnsi"/>
          <w:b/>
          <w:sz w:val="16"/>
          <w:szCs w:val="16"/>
          <w:u w:val="single"/>
        </w:rPr>
        <w:t>Stavební rozměry otvoru (š x v):</w:t>
      </w:r>
      <w:r>
        <w:rPr>
          <w:rFonts w:cs="Calibri" w:ascii="Calibri" w:hAnsi="Calibri" w:asciiTheme="minorHAnsi" w:cstheme="minorHAnsi" w:hAnsiTheme="minorHAnsi"/>
          <w:b/>
          <w:sz w:val="16"/>
          <w:szCs w:val="16"/>
        </w:rPr>
        <w:t xml:space="preserve"> 3 100 x 3 100 mm</w:t>
      </w:r>
    </w:p>
    <w:p>
      <w:pPr>
        <w:pStyle w:val="Tlotextu"/>
        <w:tabs>
          <w:tab w:val="left" w:pos="1418" w:leader="none"/>
        </w:tabs>
        <w:spacing w:before="0" w:after="200"/>
        <w:contextualSpacing/>
        <w:rPr>
          <w:rFonts w:ascii="Calibri" w:hAnsi="Calibri" w:cs="Calibri" w:asciiTheme="minorHAnsi" w:cstheme="minorHAnsi" w:hAnsiTheme="minorHAnsi"/>
          <w:b/>
          <w:b/>
          <w:sz w:val="16"/>
          <w:szCs w:val="16"/>
        </w:rPr>
      </w:pPr>
      <w:r>
        <w:rPr>
          <w:rFonts w:cs="Calibri" w:cstheme="minorHAnsi" w:ascii="Calibri" w:hAnsi="Calibri"/>
          <w:b/>
          <w:sz w:val="16"/>
          <w:szCs w:val="16"/>
        </w:rPr>
      </w:r>
    </w:p>
    <w:p>
      <w:pPr>
        <w:pStyle w:val="Tlotextu"/>
        <w:tabs>
          <w:tab w:val="left" w:pos="1418" w:leader="none"/>
        </w:tabs>
        <w:spacing w:before="0" w:after="200"/>
        <w:contextualSpacing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Fonts w:cs="Calibri" w:ascii="Calibri" w:hAnsi="Calibri" w:asciiTheme="minorHAnsi" w:cstheme="minorHAnsi" w:hAnsiTheme="minorHAnsi"/>
          <w:sz w:val="16"/>
          <w:szCs w:val="16"/>
        </w:rPr>
        <w:t xml:space="preserve">Vratové křídlo je vyrobeno ze sendvičových panelů tloušťky 50 mm.  </w:t>
      </w:r>
    </w:p>
    <w:p>
      <w:pPr>
        <w:pStyle w:val="Tlotextu"/>
        <w:tabs>
          <w:tab w:val="left" w:pos="1418" w:leader="none"/>
        </w:tabs>
        <w:spacing w:before="0" w:after="200"/>
        <w:contextualSpacing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Fonts w:cs="Calibri" w:ascii="Calibri" w:hAnsi="Calibri" w:asciiTheme="minorHAnsi" w:cstheme="minorHAnsi" w:hAnsiTheme="minorHAnsi"/>
          <w:sz w:val="16"/>
          <w:szCs w:val="16"/>
        </w:rPr>
        <w:t>Sendvičové jádro je vyztuženo ocelovým rámem a lemováno hliníkovým profilem v přírodním eloxu.</w:t>
      </w:r>
    </w:p>
    <w:p>
      <w:pPr>
        <w:pStyle w:val="Tlotextu"/>
        <w:tabs>
          <w:tab w:val="left" w:pos="1418" w:leader="none"/>
        </w:tabs>
        <w:spacing w:before="0" w:after="200"/>
        <w:contextualSpacing/>
        <w:rPr>
          <w:rFonts w:ascii="Calibri" w:hAnsi="Calibri" w:cs="Calibri" w:asciiTheme="minorHAnsi" w:cstheme="minorHAnsi" w:hAnsiTheme="minorHAnsi"/>
          <w:b/>
          <w:b/>
          <w:sz w:val="16"/>
          <w:szCs w:val="16"/>
        </w:rPr>
      </w:pPr>
      <w:r>
        <w:rPr>
          <w:rFonts w:cs="Calibri" w:ascii="Calibri" w:hAnsi="Calibri" w:asciiTheme="minorHAnsi" w:cstheme="minorHAnsi" w:hAnsiTheme="minorHAnsi"/>
          <w:b/>
          <w:sz w:val="16"/>
          <w:szCs w:val="16"/>
        </w:rPr>
        <w:t>Min. výška nadpraží cca. 200 mm</w:t>
      </w:r>
    </w:p>
    <w:p>
      <w:pPr>
        <w:pStyle w:val="Tlotextu"/>
        <w:tabs>
          <w:tab w:val="left" w:pos="1418" w:leader="none"/>
        </w:tabs>
        <w:spacing w:before="0" w:after="200"/>
        <w:contextualSpacing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Fonts w:cs="Calibri" w:ascii="Calibri" w:hAnsi="Calibri" w:asciiTheme="minorHAnsi" w:cstheme="minorHAnsi" w:hAnsiTheme="minorHAnsi"/>
          <w:sz w:val="16"/>
          <w:szCs w:val="16"/>
        </w:rPr>
        <w:t xml:space="preserve">Jednotlivé panely křídel vrat se skládají na krajích stavebního otvoru (za otvorem – plný průjezd). </w:t>
      </w:r>
    </w:p>
    <w:p>
      <w:pPr>
        <w:pStyle w:val="Tlotextu"/>
        <w:tabs>
          <w:tab w:val="left" w:pos="1418" w:leader="none"/>
        </w:tabs>
        <w:spacing w:before="0" w:after="200"/>
        <w:contextualSpacing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Fonts w:cs="Calibri" w:ascii="Calibri" w:hAnsi="Calibri" w:asciiTheme="minorHAnsi" w:cstheme="minorHAnsi" w:hAnsiTheme="minorHAnsi"/>
          <w:b/>
          <w:sz w:val="16"/>
          <w:szCs w:val="16"/>
          <w:u w:val="single"/>
        </w:rPr>
        <w:t>Těsnění vrat</w:t>
      </w:r>
      <w:r>
        <w:rPr>
          <w:rFonts w:cs="Calibri" w:ascii="Calibri" w:hAnsi="Calibri" w:asciiTheme="minorHAnsi" w:cstheme="minorHAnsi" w:hAnsiTheme="minorHAnsi"/>
          <w:sz w:val="16"/>
          <w:szCs w:val="16"/>
        </w:rPr>
        <w:t xml:space="preserve"> mezi jednotlivými panely a křídly vrat je řešeno gumovými profily. </w:t>
      </w:r>
    </w:p>
    <w:p>
      <w:pPr>
        <w:pStyle w:val="Tlotextu"/>
        <w:tabs>
          <w:tab w:val="left" w:pos="1418" w:leader="none"/>
        </w:tabs>
        <w:spacing w:before="0" w:after="200"/>
        <w:contextualSpacing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Fonts w:cs="Calibri" w:cstheme="minorHAnsi" w:ascii="Calibri" w:hAnsi="Calibri"/>
          <w:sz w:val="16"/>
          <w:szCs w:val="16"/>
        </w:rPr>
      </w:r>
    </w:p>
    <w:p>
      <w:pPr>
        <w:pStyle w:val="Tlotextu"/>
        <w:tabs>
          <w:tab w:val="left" w:pos="1418" w:leader="none"/>
        </w:tabs>
        <w:spacing w:before="0" w:after="200"/>
        <w:contextualSpacing/>
        <w:rPr>
          <w:rFonts w:ascii="Calibri" w:hAnsi="Calibri" w:cs="Calibri" w:asciiTheme="minorHAnsi" w:cstheme="minorHAnsi" w:hAnsiTheme="minorHAnsi"/>
          <w:b/>
          <w:b/>
          <w:sz w:val="16"/>
          <w:szCs w:val="16"/>
          <w:u w:val="single"/>
        </w:rPr>
      </w:pPr>
      <w:r>
        <w:rPr>
          <w:rFonts w:cs="Calibri" w:ascii="Calibri" w:hAnsi="Calibri" w:asciiTheme="minorHAnsi" w:cstheme="minorHAnsi" w:hAnsiTheme="minorHAnsi"/>
          <w:sz w:val="16"/>
          <w:szCs w:val="16"/>
        </w:rPr>
        <w:t xml:space="preserve">V horní části každé sekce křídel vrat je </w:t>
      </w:r>
      <w:r>
        <w:rPr>
          <w:rFonts w:cs="Calibri" w:ascii="Calibri" w:hAnsi="Calibri" w:asciiTheme="minorHAnsi" w:cstheme="minorHAnsi" w:hAnsiTheme="minorHAnsi"/>
          <w:b/>
          <w:sz w:val="16"/>
          <w:szCs w:val="16"/>
          <w:u w:val="single"/>
        </w:rPr>
        <w:t>prosklené okno</w:t>
      </w:r>
      <w:r>
        <w:rPr>
          <w:rFonts w:cs="Calibri" w:ascii="Calibri" w:hAnsi="Calibri" w:asciiTheme="minorHAnsi" w:cstheme="minorHAnsi" w:hAnsiTheme="minorHAnsi"/>
          <w:sz w:val="16"/>
          <w:szCs w:val="16"/>
        </w:rPr>
        <w:t xml:space="preserve"> - </w:t>
      </w:r>
      <w:r>
        <w:rPr>
          <w:rFonts w:cs="Calibri" w:ascii="Calibri" w:hAnsi="Calibri" w:asciiTheme="minorHAnsi" w:cstheme="minorHAnsi" w:hAnsiTheme="minorHAnsi"/>
          <w:b/>
          <w:sz w:val="16"/>
          <w:szCs w:val="16"/>
          <w:u w:val="single"/>
        </w:rPr>
        <w:t>celkem 3 ks oken.</w:t>
      </w:r>
    </w:p>
    <w:p>
      <w:pPr>
        <w:pStyle w:val="Tlotextu"/>
        <w:tabs>
          <w:tab w:val="left" w:pos="1418" w:leader="none"/>
        </w:tabs>
        <w:spacing w:before="0" w:after="200"/>
        <w:contextualSpacing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Fonts w:cs="Calibri" w:ascii="Calibri" w:hAnsi="Calibri" w:asciiTheme="minorHAnsi" w:cstheme="minorHAnsi" w:hAnsiTheme="minorHAnsi"/>
          <w:sz w:val="16"/>
          <w:szCs w:val="16"/>
        </w:rPr>
        <w:t>Možné rozměry oken (š x v):  640 x 336 mm, 680 x 370 mm, 770 x 430 mm</w:t>
      </w:r>
    </w:p>
    <w:p>
      <w:pPr>
        <w:pStyle w:val="Tlotextu"/>
        <w:tabs>
          <w:tab w:val="left" w:pos="1418" w:leader="none"/>
        </w:tabs>
        <w:spacing w:before="0" w:after="200"/>
        <w:contextualSpacing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Fonts w:cs="Calibri" w:cstheme="minorHAnsi" w:ascii="Calibri" w:hAnsi="Calibri"/>
          <w:sz w:val="16"/>
          <w:szCs w:val="16"/>
        </w:rPr>
      </w:r>
    </w:p>
    <w:p>
      <w:pPr>
        <w:pStyle w:val="Tlotextu"/>
        <w:tabs>
          <w:tab w:val="left" w:pos="1418" w:leader="none"/>
        </w:tabs>
        <w:spacing w:before="0" w:after="200"/>
        <w:contextualSpacing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Fonts w:cs="Calibri" w:ascii="Calibri" w:hAnsi="Calibri" w:asciiTheme="minorHAnsi" w:cstheme="minorHAnsi" w:hAnsiTheme="minorHAnsi"/>
          <w:sz w:val="16"/>
          <w:szCs w:val="16"/>
        </w:rPr>
        <w:t xml:space="preserve">Do jednoho panelu jsou vložené </w:t>
      </w:r>
      <w:r>
        <w:rPr>
          <w:rFonts w:cs="Calibri" w:ascii="Calibri" w:hAnsi="Calibri" w:asciiTheme="minorHAnsi" w:cstheme="minorHAnsi" w:hAnsiTheme="minorHAnsi"/>
          <w:b/>
          <w:sz w:val="16"/>
          <w:szCs w:val="16"/>
          <w:u w:val="single"/>
        </w:rPr>
        <w:t>integrované vstupní dveře</w:t>
      </w:r>
      <w:r>
        <w:rPr>
          <w:rFonts w:cs="Calibri" w:ascii="Calibri" w:hAnsi="Calibri" w:asciiTheme="minorHAnsi" w:cstheme="minorHAnsi" w:hAnsiTheme="minorHAnsi"/>
          <w:sz w:val="16"/>
          <w:szCs w:val="16"/>
        </w:rPr>
        <w:t xml:space="preserve"> s průchozí výškou 2 000 mm, se zámkem a samozavíračem.</w:t>
      </w:r>
    </w:p>
    <w:p>
      <w:pPr>
        <w:pStyle w:val="Tlotextu"/>
        <w:tabs>
          <w:tab w:val="left" w:pos="1418" w:leader="none"/>
        </w:tabs>
        <w:spacing w:before="0" w:after="200"/>
        <w:contextualSpacing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Fonts w:cs="Calibri" w:cstheme="minorHAnsi" w:ascii="Calibri" w:hAnsi="Calibri"/>
          <w:sz w:val="16"/>
          <w:szCs w:val="16"/>
        </w:rPr>
      </w:r>
    </w:p>
    <w:p>
      <w:pPr>
        <w:pStyle w:val="Tlotextu"/>
        <w:tabs>
          <w:tab w:val="left" w:pos="1418" w:leader="none"/>
        </w:tabs>
        <w:spacing w:before="0" w:after="200"/>
        <w:contextualSpacing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Fonts w:cs="Calibri" w:ascii="Calibri" w:hAnsi="Calibri" w:asciiTheme="minorHAnsi" w:cstheme="minorHAnsi" w:hAnsiTheme="minorHAnsi"/>
          <w:b/>
          <w:sz w:val="16"/>
          <w:szCs w:val="16"/>
          <w:u w:val="single"/>
        </w:rPr>
        <w:t>Plášť vrat</w:t>
      </w:r>
      <w:r>
        <w:rPr>
          <w:rFonts w:cs="Calibri" w:ascii="Calibri" w:hAnsi="Calibri" w:asciiTheme="minorHAnsi" w:cstheme="minorHAnsi" w:hAnsiTheme="minorHAnsi"/>
          <w:sz w:val="16"/>
          <w:szCs w:val="16"/>
        </w:rPr>
        <w:t xml:space="preserve"> je tvořen plechy </w:t>
      </w:r>
      <w:r>
        <w:rPr>
          <w:rFonts w:cs="Calibri" w:ascii="Calibri" w:hAnsi="Calibri" w:asciiTheme="minorHAnsi" w:cstheme="minorHAnsi" w:hAnsiTheme="minorHAnsi"/>
          <w:b/>
          <w:sz w:val="16"/>
          <w:szCs w:val="16"/>
          <w:u w:val="single"/>
        </w:rPr>
        <w:t xml:space="preserve">s antikorozní úpravou. </w:t>
      </w:r>
    </w:p>
    <w:p>
      <w:pPr>
        <w:pStyle w:val="Tlotextu"/>
        <w:tabs>
          <w:tab w:val="left" w:pos="1418" w:leader="none"/>
        </w:tabs>
        <w:spacing w:before="0" w:after="200"/>
        <w:contextualSpacing/>
        <w:rPr>
          <w:rFonts w:ascii="Calibri" w:hAnsi="Calibri" w:cs="Calibri" w:asciiTheme="minorHAnsi" w:cstheme="minorHAnsi" w:hAnsiTheme="minorHAnsi"/>
          <w:b/>
          <w:b/>
          <w:sz w:val="16"/>
          <w:szCs w:val="16"/>
          <w:u w:val="single"/>
        </w:rPr>
      </w:pPr>
      <w:r>
        <w:rPr>
          <w:rFonts w:cs="Calibri" w:ascii="Calibri" w:hAnsi="Calibri" w:asciiTheme="minorHAnsi" w:cstheme="minorHAnsi" w:hAnsiTheme="minorHAnsi"/>
          <w:sz w:val="16"/>
          <w:szCs w:val="16"/>
        </w:rPr>
        <w:t xml:space="preserve">Vrchní </w:t>
      </w:r>
      <w:r>
        <w:rPr>
          <w:rFonts w:cs="Calibri" w:ascii="Calibri" w:hAnsi="Calibri" w:asciiTheme="minorHAnsi" w:cstheme="minorHAnsi" w:hAnsiTheme="minorHAnsi"/>
          <w:b/>
          <w:sz w:val="16"/>
          <w:szCs w:val="16"/>
          <w:u w:val="single"/>
        </w:rPr>
        <w:t>povrchová úprava</w:t>
      </w:r>
      <w:r>
        <w:rPr>
          <w:rFonts w:cs="Calibri" w:ascii="Calibri" w:hAnsi="Calibri" w:asciiTheme="minorHAnsi" w:cstheme="minorHAnsi" w:hAnsiTheme="minorHAnsi"/>
          <w:sz w:val="16"/>
          <w:szCs w:val="16"/>
        </w:rPr>
        <w:t xml:space="preserve"> z vnější (exterierové) strany v odstínu </w:t>
      </w:r>
      <w:r>
        <w:rPr>
          <w:rFonts w:cs="Calibri" w:ascii="Calibri" w:hAnsi="Calibri" w:asciiTheme="minorHAnsi" w:cstheme="minorHAnsi" w:hAnsiTheme="minorHAnsi"/>
          <w:b/>
          <w:sz w:val="16"/>
          <w:szCs w:val="16"/>
          <w:u w:val="single"/>
        </w:rPr>
        <w:t>RAL 9002 šedobílá</w:t>
      </w:r>
    </w:p>
    <w:p>
      <w:pPr>
        <w:pStyle w:val="Tlotextu"/>
        <w:tabs>
          <w:tab w:val="left" w:pos="1418" w:leader="none"/>
        </w:tabs>
        <w:spacing w:before="0" w:after="200"/>
        <w:contextualSpacing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Fonts w:cs="Calibri" w:cstheme="minorHAnsi" w:ascii="Calibri" w:hAnsi="Calibri"/>
          <w:sz w:val="16"/>
          <w:szCs w:val="16"/>
        </w:rPr>
      </w:r>
    </w:p>
    <w:p>
      <w:pPr>
        <w:pStyle w:val="Tlotextu"/>
        <w:tabs>
          <w:tab w:val="left" w:pos="1418" w:leader="none"/>
        </w:tabs>
        <w:spacing w:before="0" w:after="200"/>
        <w:contextualSpacing/>
        <w:rPr>
          <w:rFonts w:ascii="Calibri" w:hAnsi="Calibri" w:cs="Calibri" w:asciiTheme="minorHAnsi" w:cstheme="minorHAnsi" w:hAnsiTheme="minorHAnsi"/>
          <w:b/>
          <w:b/>
          <w:sz w:val="16"/>
          <w:szCs w:val="16"/>
          <w:u w:val="single"/>
        </w:rPr>
      </w:pPr>
      <w:r>
        <w:rPr>
          <w:rFonts w:cs="Calibri" w:ascii="Calibri" w:hAnsi="Calibri" w:asciiTheme="minorHAnsi" w:cstheme="minorHAnsi" w:hAnsiTheme="minorHAnsi"/>
          <w:b/>
          <w:sz w:val="16"/>
          <w:szCs w:val="16"/>
          <w:u w:val="single"/>
        </w:rPr>
        <w:t>Vrata budou připravená pro GSM klíč.</w:t>
      </w:r>
    </w:p>
    <w:p>
      <w:pPr>
        <w:pStyle w:val="Tlotextu"/>
        <w:tabs>
          <w:tab w:val="left" w:pos="1418" w:leader="none"/>
        </w:tabs>
        <w:spacing w:before="0" w:after="200"/>
        <w:contextualSpacing/>
        <w:rPr>
          <w:rFonts w:ascii="Calibri" w:hAnsi="Calibri" w:cs="Calibri" w:asciiTheme="minorHAnsi" w:cstheme="minorHAnsi" w:hAnsiTheme="minorHAnsi"/>
          <w:b/>
          <w:b/>
          <w:sz w:val="16"/>
          <w:szCs w:val="16"/>
          <w:u w:val="single"/>
        </w:rPr>
      </w:pPr>
      <w:r>
        <w:rPr>
          <w:rFonts w:cs="Calibri" w:cstheme="minorHAnsi" w:ascii="Calibri" w:hAnsi="Calibri"/>
          <w:b/>
          <w:sz w:val="16"/>
          <w:szCs w:val="16"/>
          <w:u w:val="single"/>
        </w:rPr>
      </w:r>
    </w:p>
    <w:p>
      <w:pPr>
        <w:pStyle w:val="Tlotextu"/>
        <w:widowControl/>
        <w:tabs>
          <w:tab w:val="left" w:pos="1260" w:leader="none"/>
          <w:tab w:val="right" w:pos="8364" w:leader="none"/>
        </w:tabs>
        <w:suppressAutoHyphens w:val="false"/>
        <w:spacing w:before="0" w:after="0"/>
        <w:rPr>
          <w:rFonts w:ascii="Calibri" w:hAnsi="Calibri" w:cs="Calibri" w:asciiTheme="minorHAnsi" w:cstheme="minorHAnsi" w:hAnsiTheme="minorHAnsi"/>
          <w:b/>
          <w:b/>
          <w:bCs/>
          <w:sz w:val="16"/>
          <w:szCs w:val="16"/>
          <w:u w:val="single"/>
        </w:rPr>
      </w:pPr>
      <w:r>
        <w:rPr>
          <w:rFonts w:cs="Calibri" w:ascii="Calibri" w:hAnsi="Calibri" w:asciiTheme="minorHAnsi" w:cstheme="minorHAnsi" w:hAnsiTheme="minorHAnsi"/>
          <w:b/>
          <w:bCs/>
          <w:sz w:val="16"/>
          <w:szCs w:val="16"/>
          <w:u w:val="single"/>
        </w:rPr>
        <w:t>2 x pohon DITEC + teleskopická ramena, optická závora</w:t>
      </w:r>
    </w:p>
    <w:p>
      <w:pPr>
        <w:pStyle w:val="Tlotextu"/>
        <w:tabs>
          <w:tab w:val="left" w:pos="1418" w:leader="none"/>
        </w:tabs>
        <w:spacing w:before="0" w:after="200"/>
        <w:contextualSpacing/>
        <w:rPr>
          <w:rFonts w:ascii="Calibri" w:hAnsi="Calibri" w:cs="Calibri" w:asciiTheme="minorHAnsi" w:cstheme="minorHAnsi" w:hAnsiTheme="minorHAnsi"/>
          <w:b/>
          <w:b/>
          <w:sz w:val="16"/>
          <w:szCs w:val="16"/>
          <w:u w:val="single"/>
        </w:rPr>
      </w:pPr>
      <w:bookmarkStart w:id="0" w:name="_GoBack"/>
      <w:bookmarkStart w:id="1" w:name="_GoBack"/>
      <w:bookmarkEnd w:id="1"/>
      <w:r>
        <w:rPr>
          <w:rFonts w:cs="Calibri" w:cstheme="minorHAnsi" w:ascii="Calibri" w:hAnsi="Calibri"/>
          <w:b/>
          <w:sz w:val="16"/>
          <w:szCs w:val="16"/>
          <w:u w:val="single"/>
        </w:rPr>
      </w:r>
    </w:p>
    <w:p>
      <w:pPr>
        <w:pStyle w:val="Tlotextu"/>
        <w:tabs>
          <w:tab w:val="left" w:pos="1418" w:leader="none"/>
        </w:tabs>
        <w:rPr>
          <w:rFonts w:ascii="Calibri" w:hAnsi="Calibri" w:cs="Calibri" w:asciiTheme="minorHAnsi" w:cstheme="minorHAnsi" w:hAnsiTheme="minorHAnsi"/>
          <w:b/>
          <w:b/>
          <w:sz w:val="16"/>
          <w:szCs w:val="16"/>
          <w:u w:val="single"/>
        </w:rPr>
      </w:pPr>
      <w:r>
        <w:rPr>
          <w:rFonts w:cs="Calibri" w:ascii="Calibri" w:hAnsi="Calibri" w:asciiTheme="minorHAnsi" w:cstheme="minorHAnsi" w:hAnsiTheme="minorHAnsi"/>
          <w:b/>
          <w:sz w:val="16"/>
          <w:szCs w:val="16"/>
          <w:u w:val="single"/>
        </w:rPr>
        <w:t>Součástí ceny je demontáž stávajících vrat, montáž nových vrat, doprava a zaškolení obsluhy.</w:t>
      </w:r>
    </w:p>
    <w:p>
      <w:pPr>
        <w:pStyle w:val="Default"/>
        <w:rPr>
          <w:b/>
          <w:b/>
          <w:bCs/>
          <w:color w:val="FF0000"/>
          <w:sz w:val="16"/>
          <w:szCs w:val="20"/>
          <w:u w:val="double"/>
        </w:rPr>
      </w:pPr>
      <w:r>
        <w:rPr>
          <w:b/>
          <w:bCs/>
          <w:color w:val="FF0000"/>
          <w:sz w:val="16"/>
          <w:szCs w:val="20"/>
          <w:u w:val="double"/>
        </w:rPr>
      </w:r>
    </w:p>
    <w:p>
      <w:pPr>
        <w:pStyle w:val="Default"/>
        <w:rPr>
          <w:b/>
          <w:b/>
          <w:bCs/>
          <w:color w:val="FF0000"/>
          <w:sz w:val="16"/>
          <w:szCs w:val="20"/>
          <w:u w:val="double"/>
        </w:rPr>
      </w:pPr>
      <w:r>
        <w:rPr>
          <w:b/>
          <w:bCs/>
          <w:color w:val="FF0000"/>
          <w:sz w:val="16"/>
          <w:szCs w:val="20"/>
          <w:u w:val="double"/>
        </w:rPr>
        <w:t xml:space="preserve">Cena za 1 ks vrat s pohonem včetně demontáže, montáže a dopravy bez DPH </w:t>
        <w:tab/>
        <w:tab/>
        <w:t xml:space="preserve">  </w:t>
        <w:tab/>
        <w:t>112 500 Kč</w:t>
      </w:r>
    </w:p>
    <w:p>
      <w:pPr>
        <w:pStyle w:val="Default"/>
        <w:rPr>
          <w:bCs/>
          <w:color w:val="00000A"/>
          <w:sz w:val="14"/>
          <w:szCs w:val="20"/>
        </w:rPr>
      </w:pPr>
      <w:r>
        <w:rPr>
          <w:bCs/>
          <w:color w:val="00000A"/>
          <w:sz w:val="14"/>
          <w:szCs w:val="20"/>
        </w:rPr>
        <w:t>DPH bude účtováno dle platných předpisů v době vystavení faktury</w:t>
      </w:r>
    </w:p>
    <w:p>
      <w:pPr>
        <w:pStyle w:val="Normal"/>
        <w:spacing w:lineRule="auto" w:line="240" w:before="0" w:after="200"/>
        <w:contextualSpacing/>
        <w:rPr>
          <w:b/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</w:r>
    </w:p>
    <w:p>
      <w:pPr>
        <w:pStyle w:val="Normal"/>
        <w:spacing w:lineRule="auto" w:line="240" w:before="0" w:after="200"/>
        <w:contextualSpacing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spacing w:lineRule="auto" w:line="240" w:before="0" w:after="200"/>
        <w:contextualSpacing/>
        <w:rPr>
          <w:b/>
          <w:b/>
          <w:sz w:val="16"/>
          <w:szCs w:val="16"/>
        </w:rPr>
      </w:pPr>
      <w:r>
        <w:rPr>
          <w:b/>
          <w:sz w:val="16"/>
          <w:szCs w:val="16"/>
        </w:rPr>
        <w:t>Záruka: 24 měsíců od předání díla</w:t>
      </w:r>
    </w:p>
    <w:p>
      <w:pPr>
        <w:pStyle w:val="Normal"/>
        <w:spacing w:lineRule="auto" w:line="240" w:before="0" w:after="200"/>
        <w:contextualSpacing/>
        <w:rPr>
          <w:b/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</w:r>
    </w:p>
    <w:p>
      <w:pPr>
        <w:pStyle w:val="Normal"/>
        <w:spacing w:lineRule="auto" w:line="240" w:before="0" w:after="200"/>
        <w:contextualSpacing/>
        <w:rPr>
          <w:b/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</w:r>
    </w:p>
    <w:p>
      <w:pPr>
        <w:pStyle w:val="Normal"/>
        <w:spacing w:lineRule="auto" w:line="240" w:before="0" w:after="200"/>
        <w:contextualSpacing/>
        <w:rPr>
          <w:b/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>Ze strany stavby je třeba zajistit vyklizené pracoviště (volný prostor v okolí montáže vrat).</w:t>
      </w:r>
    </w:p>
    <w:p>
      <w:pPr>
        <w:pStyle w:val="Normal"/>
        <w:spacing w:lineRule="auto" w:line="240" w:before="0" w:after="200"/>
        <w:contextualSpacing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200"/>
        <w:contextualSpacing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200"/>
        <w:contextualSpacing/>
        <w:rPr>
          <w:b/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 xml:space="preserve">Platební a dodací podmínky: </w:t>
      </w:r>
    </w:p>
    <w:p>
      <w:pPr>
        <w:pStyle w:val="Normal"/>
        <w:spacing w:lineRule="auto" w:line="240" w:before="0" w:after="200"/>
        <w:contextualSpacing/>
        <w:rPr>
          <w:sz w:val="16"/>
          <w:szCs w:val="16"/>
        </w:rPr>
      </w:pPr>
      <w:r>
        <w:rPr>
          <w:sz w:val="16"/>
          <w:szCs w:val="16"/>
        </w:rPr>
        <w:t>100 % po předání díla. Termín dodání do 6ti týdnů od podpisu smlouvy.</w:t>
      </w:r>
    </w:p>
    <w:p>
      <w:pPr>
        <w:pStyle w:val="Normal"/>
        <w:spacing w:lineRule="auto" w:line="240" w:before="0" w:after="200"/>
        <w:contextualSpacing/>
        <w:rPr>
          <w:sz w:val="16"/>
          <w:szCs w:val="16"/>
        </w:rPr>
      </w:pPr>
      <w:r>
        <w:rPr>
          <w:sz w:val="16"/>
          <w:szCs w:val="16"/>
        </w:rPr>
        <w:t>Splatnost faktur 30 dní od vystavení, platba pouze převodem.</w:t>
      </w:r>
    </w:p>
    <w:p>
      <w:pPr>
        <w:pStyle w:val="Normal"/>
        <w:spacing w:lineRule="auto" w:line="240" w:before="0" w:after="200"/>
        <w:contextualSpacing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</w:r>
    </w:p>
    <w:p>
      <w:pPr>
        <w:pStyle w:val="Normal"/>
        <w:spacing w:lineRule="auto" w:line="240" w:before="0" w:after="200"/>
        <w:contextualSpacing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</w:r>
    </w:p>
    <w:p>
      <w:pPr>
        <w:pStyle w:val="Normal"/>
        <w:spacing w:lineRule="auto" w:line="240" w:before="0" w:after="200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S pozdravem </w:t>
      </w:r>
    </w:p>
    <w:p>
      <w:pPr>
        <w:pStyle w:val="Normal"/>
        <w:spacing w:lineRule="auto" w:line="240" w:before="0" w:after="200"/>
        <w:contextualSpacing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200"/>
        <w:contextualSpacing/>
        <w:rPr>
          <w:sz w:val="16"/>
          <w:szCs w:val="16"/>
        </w:rPr>
      </w:pPr>
      <w:r>
        <w:rPr>
          <w:sz w:val="16"/>
          <w:szCs w:val="16"/>
        </w:rPr>
        <w:t>Iveta Stará</w:t>
      </w:r>
    </w:p>
    <w:p>
      <w:pPr>
        <w:pStyle w:val="Normal"/>
        <w:spacing w:lineRule="auto" w:line="240" w:before="0" w:after="200"/>
        <w:contextualSpacing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200"/>
        <w:contextualSpacing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340" w:top="1417" w:footer="397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rPr/>
    </w:pPr>
    <w:r>
      <w:rPr/>
    </w:r>
  </w:p>
  <w:p>
    <w:pPr>
      <w:pStyle w:val="Zpat"/>
      <w:rPr>
        <w:b/>
        <w:b/>
        <w:sz w:val="18"/>
      </w:rPr>
    </w:pPr>
    <w:r>
      <w:rPr>
        <w:b/>
        <w:sz w:val="18"/>
      </w:rPr>
      <w:t>VRATOVÉ SYSTÉMY VELKÉ MEZIŘÍČÍ s.r.o., Hornoměstská 353/15, 594 01  Velké Meziříčí</w:t>
    </w:r>
  </w:p>
  <w:p>
    <w:pPr>
      <w:pStyle w:val="Zpat"/>
      <w:rPr>
        <w:sz w:val="18"/>
      </w:rPr>
    </w:pPr>
    <w:r>
      <w:rPr>
        <w:sz w:val="18"/>
      </w:rPr>
      <w:t>IČO: 04775210, DIČ: CZ04775210</w:t>
    </w:r>
  </w:p>
  <w:p>
    <w:pPr>
      <w:pStyle w:val="Zpat"/>
      <w:rPr>
        <w:sz w:val="18"/>
      </w:rPr>
    </w:pPr>
    <w:r>
      <w:rPr>
        <w:sz w:val="18"/>
      </w:rPr>
      <w:t xml:space="preserve">Tel.: +420 774 939 212, +420 720 172 200    </w:t>
    </w:r>
  </w:p>
  <w:p>
    <w:pPr>
      <w:pStyle w:val="Zpat"/>
      <w:rPr/>
    </w:pPr>
    <w:r>
      <w:rPr>
        <w:sz w:val="18"/>
      </w:rPr>
      <w:t xml:space="preserve">email: </w:t>
    </w:r>
    <w:hyperlink r:id="rId1">
      <w:r>
        <w:rPr>
          <w:rStyle w:val="Internetovodkaz"/>
          <w:sz w:val="18"/>
        </w:rPr>
        <w:t>info@vratovesystemyvm.cz</w:t>
      </w:r>
    </w:hyperlink>
    <w:r>
      <w:rPr>
        <w:sz w:val="18"/>
      </w:rPr>
      <w:t xml:space="preserve">         web: </w:t>
    </w:r>
    <w:hyperlink r:id="rId2">
      <w:r>
        <w:rPr>
          <w:rStyle w:val="Internetovodkaz"/>
          <w:sz w:val="18"/>
        </w:rPr>
        <w:t>www.vratovesystemyvm.cz</w:t>
      </w:r>
    </w:hyperlink>
  </w:p>
  <w:p>
    <w:pPr>
      <w:pStyle w:val="Zpat"/>
      <w:rPr>
        <w:sz w:val="18"/>
      </w:rPr>
    </w:pPr>
    <w:r>
      <w:rPr>
        <w:sz w:val="18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/>
    </w:pPr>
    <w:r>
      <w:rPr/>
      <w:tab/>
      <w:tab/>
    </w:r>
    <w:r>
      <w:rPr/>
      <w:drawing>
        <wp:inline distT="0" distB="0" distL="0" distR="0">
          <wp:extent cx="3469005" cy="731520"/>
          <wp:effectExtent l="0" t="0" r="0" b="0"/>
          <wp:docPr id="1" name="Obrázek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69005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Zhlav"/>
      <w:rPr/>
    </w:pPr>
    <w:r>
      <w:rPr/>
      <w:tab/>
    </w:r>
  </w:p>
</w:hdr>
</file>

<file path=word/settings.xml><?xml version="1.0" encoding="utf-8"?>
<w:settings xmlns:w="http://schemas.openxmlformats.org/wordprocessingml/2006/main">
  <w:zoom w:percent="181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cs-CZ" w:eastAsia="cs-CZ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cs-CZ" w:eastAsia="cs-CZ" w:bidi="ar-SA"/>
    </w:rPr>
  </w:style>
  <w:style w:type="paragraph" w:styleId="Nadpis3">
    <w:name w:val="Heading 3"/>
    <w:basedOn w:val="Normal"/>
    <w:link w:val="Nadpis3Char"/>
    <w:uiPriority w:val="9"/>
    <w:qFormat/>
    <w:rsid w:val="00654353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val="en-US" w:eastAsia="en-US"/>
    </w:rPr>
  </w:style>
  <w:style w:type="paragraph" w:styleId="Nadpis4">
    <w:name w:val="Heading 4"/>
    <w:basedOn w:val="Normal"/>
    <w:link w:val="Nadpis4Char"/>
    <w:uiPriority w:val="9"/>
    <w:semiHidden/>
    <w:unhideWhenUsed/>
    <w:qFormat/>
    <w:rsid w:val="00e40d12"/>
    <w:pPr>
      <w:keepNext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2f0a74"/>
    <w:rPr>
      <w:color w:val="0000FF" w:themeColor="hyperlink"/>
      <w:u w:val="single"/>
    </w:rPr>
  </w:style>
  <w:style w:type="character" w:styleId="RozloendokumentuChar" w:customStyle="1">
    <w:name w:val="Rozložení dokumentu Char"/>
    <w:basedOn w:val="DefaultParagraphFont"/>
    <w:link w:val="Rozloendokumentu"/>
    <w:uiPriority w:val="99"/>
    <w:semiHidden/>
    <w:qFormat/>
    <w:rsid w:val="0012711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b331ca"/>
    <w:rPr>
      <w:color w:val="800080" w:themeColor="followedHyperlink"/>
      <w:u w:val="single"/>
    </w:rPr>
  </w:style>
  <w:style w:type="character" w:styleId="Nadpis3Char" w:customStyle="1">
    <w:name w:val="Nadpis 3 Char"/>
    <w:basedOn w:val="DefaultParagraphFont"/>
    <w:link w:val="Nadpis3"/>
    <w:uiPriority w:val="9"/>
    <w:qFormat/>
    <w:rsid w:val="00654353"/>
    <w:rPr>
      <w:rFonts w:ascii="Times New Roman" w:hAnsi="Times New Roman" w:eastAsia="Times New Roman" w:cs="Times New Roman"/>
      <w:b/>
      <w:bCs/>
      <w:sz w:val="27"/>
      <w:szCs w:val="27"/>
      <w:lang w:val="en-US" w:eastAsia="en-US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2011f8"/>
    <w:rPr>
      <w:rFonts w:ascii="Tahoma" w:hAnsi="Tahoma" w:cs="Tahoma"/>
      <w:sz w:val="16"/>
      <w:szCs w:val="16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2011f8"/>
    <w:rPr/>
  </w:style>
  <w:style w:type="character" w:styleId="ZpatChar" w:customStyle="1">
    <w:name w:val="Zápatí Char"/>
    <w:basedOn w:val="DefaultParagraphFont"/>
    <w:link w:val="Zpat"/>
    <w:uiPriority w:val="99"/>
    <w:qFormat/>
    <w:rsid w:val="002011f8"/>
    <w:rPr/>
  </w:style>
  <w:style w:type="character" w:styleId="Strong">
    <w:name w:val="Strong"/>
    <w:basedOn w:val="DefaultParagraphFont"/>
    <w:uiPriority w:val="22"/>
    <w:qFormat/>
    <w:rsid w:val="00222966"/>
    <w:rPr>
      <w:b/>
      <w:bCs/>
    </w:rPr>
  </w:style>
  <w:style w:type="character" w:styleId="Nadpis4Char" w:customStyle="1">
    <w:name w:val="Nadpis 4 Char"/>
    <w:basedOn w:val="DefaultParagraphFont"/>
    <w:link w:val="Nadpis4"/>
    <w:uiPriority w:val="9"/>
    <w:semiHidden/>
    <w:qFormat/>
    <w:rsid w:val="00e40d12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ZkladntextChar" w:customStyle="1">
    <w:name w:val="Základní text Char"/>
    <w:basedOn w:val="DefaultParagraphFont"/>
    <w:link w:val="Zkladntext"/>
    <w:qFormat/>
    <w:rsid w:val="00e40d12"/>
    <w:rPr>
      <w:rFonts w:ascii="Times New Roman" w:hAnsi="Times New Roman" w:eastAsia="Tahoma" w:cs="Times New Roman"/>
      <w:sz w:val="24"/>
      <w:szCs w:val="24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b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rFonts w:eastAsia="Times New Roman" w:cs="Times New Roman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eastAsia="Times New Roman" w:cs="Times New Roman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eastAsia="" w:cs="Calibri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eastAsia="" w:cs="Calibri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sz w:val="20"/>
    </w:rPr>
  </w:style>
  <w:style w:type="character" w:styleId="ListLabel38">
    <w:name w:val="ListLabel 38"/>
    <w:qFormat/>
    <w:rPr>
      <w:sz w:val="20"/>
    </w:rPr>
  </w:style>
  <w:style w:type="character" w:styleId="ListLabel39">
    <w:name w:val="ListLabel 39"/>
    <w:qFormat/>
    <w:rPr>
      <w:sz w:val="20"/>
    </w:rPr>
  </w:style>
  <w:style w:type="character" w:styleId="ListLabel40">
    <w:name w:val="ListLabel 40"/>
    <w:qFormat/>
    <w:rPr>
      <w:sz w:val="20"/>
    </w:rPr>
  </w:style>
  <w:style w:type="character" w:styleId="ListLabel41">
    <w:name w:val="ListLabel 41"/>
    <w:qFormat/>
    <w:rPr>
      <w:sz w:val="20"/>
    </w:rPr>
  </w:style>
  <w:style w:type="character" w:styleId="ListLabel42">
    <w:name w:val="ListLabel 42"/>
    <w:qFormat/>
    <w:rPr>
      <w:sz w:val="20"/>
    </w:rPr>
  </w:style>
  <w:style w:type="character" w:styleId="ListLabel43">
    <w:name w:val="ListLabel 43"/>
    <w:qFormat/>
    <w:rPr>
      <w:sz w:val="20"/>
    </w:rPr>
  </w:style>
  <w:style w:type="character" w:styleId="ListLabel44">
    <w:name w:val="ListLabel 44"/>
    <w:qFormat/>
    <w:rPr>
      <w:sz w:val="20"/>
    </w:rPr>
  </w:style>
  <w:style w:type="character" w:styleId="ListLabel45">
    <w:name w:val="ListLabel 45"/>
    <w:qFormat/>
    <w:rPr>
      <w:sz w:val="20"/>
    </w:rPr>
  </w:style>
  <w:style w:type="character" w:styleId="ListLabel46">
    <w:name w:val="ListLabel 46"/>
    <w:qFormat/>
    <w:rPr>
      <w:sz w:val="20"/>
    </w:rPr>
  </w:style>
  <w:style w:type="character" w:styleId="ListLabel47">
    <w:name w:val="ListLabel 47"/>
    <w:qFormat/>
    <w:rPr>
      <w:sz w:val="20"/>
    </w:rPr>
  </w:style>
  <w:style w:type="character" w:styleId="ListLabel48">
    <w:name w:val="ListLabel 48"/>
    <w:qFormat/>
    <w:rPr>
      <w:sz w:val="20"/>
    </w:rPr>
  </w:style>
  <w:style w:type="character" w:styleId="ListLabel49">
    <w:name w:val="ListLabel 49"/>
    <w:qFormat/>
    <w:rPr>
      <w:sz w:val="20"/>
    </w:rPr>
  </w:style>
  <w:style w:type="character" w:styleId="ListLabel50">
    <w:name w:val="ListLabel 50"/>
    <w:qFormat/>
    <w:rPr>
      <w:sz w:val="20"/>
    </w:rPr>
  </w:style>
  <w:style w:type="character" w:styleId="ListLabel51">
    <w:name w:val="ListLabel 51"/>
    <w:qFormat/>
    <w:rPr>
      <w:sz w:val="20"/>
    </w:rPr>
  </w:style>
  <w:style w:type="character" w:styleId="ListLabel52">
    <w:name w:val="ListLabel 52"/>
    <w:qFormat/>
    <w:rPr>
      <w:sz w:val="20"/>
    </w:rPr>
  </w:style>
  <w:style w:type="character" w:styleId="ListLabel53">
    <w:name w:val="ListLabel 53"/>
    <w:qFormat/>
    <w:rPr>
      <w:sz w:val="20"/>
    </w:rPr>
  </w:style>
  <w:style w:type="character" w:styleId="ListLabel54">
    <w:name w:val="ListLabel 54"/>
    <w:qFormat/>
    <w:rPr>
      <w:sz w:val="20"/>
    </w:rPr>
  </w:style>
  <w:style w:type="character" w:styleId="ListLabel55">
    <w:name w:val="ListLabel 55"/>
    <w:qFormat/>
    <w:rPr>
      <w:sz w:val="20"/>
    </w:rPr>
  </w:style>
  <w:style w:type="character" w:styleId="ListLabel56">
    <w:name w:val="ListLabel 56"/>
    <w:qFormat/>
    <w:rPr>
      <w:sz w:val="20"/>
    </w:rPr>
  </w:style>
  <w:style w:type="character" w:styleId="ListLabel57">
    <w:name w:val="ListLabel 57"/>
    <w:qFormat/>
    <w:rPr>
      <w:sz w:val="20"/>
    </w:rPr>
  </w:style>
  <w:style w:type="character" w:styleId="ListLabel58">
    <w:name w:val="ListLabel 58"/>
    <w:qFormat/>
    <w:rPr>
      <w:sz w:val="20"/>
    </w:rPr>
  </w:style>
  <w:style w:type="character" w:styleId="ListLabel59">
    <w:name w:val="ListLabel 59"/>
    <w:qFormat/>
    <w:rPr>
      <w:sz w:val="20"/>
    </w:rPr>
  </w:style>
  <w:style w:type="character" w:styleId="ListLabel60">
    <w:name w:val="ListLabel 60"/>
    <w:qFormat/>
    <w:rPr>
      <w:sz w:val="20"/>
    </w:rPr>
  </w:style>
  <w:style w:type="character" w:styleId="ListLabel61">
    <w:name w:val="ListLabel 61"/>
    <w:qFormat/>
    <w:rPr>
      <w:sz w:val="20"/>
    </w:rPr>
  </w:style>
  <w:style w:type="character" w:styleId="ListLabel62">
    <w:name w:val="ListLabel 62"/>
    <w:qFormat/>
    <w:rPr>
      <w:sz w:val="20"/>
    </w:rPr>
  </w:style>
  <w:style w:type="character" w:styleId="ListLabel63">
    <w:name w:val="ListLabel 63"/>
    <w:qFormat/>
    <w:rPr>
      <w:sz w:val="20"/>
    </w:rPr>
  </w:style>
  <w:style w:type="character" w:styleId="ListLabel64">
    <w:name w:val="ListLabel 64"/>
    <w:qFormat/>
    <w:rPr>
      <w:sz w:val="20"/>
    </w:rPr>
  </w:style>
  <w:style w:type="character" w:styleId="ListLabel65">
    <w:name w:val="ListLabel 65"/>
    <w:qFormat/>
    <w:rPr>
      <w:rFonts w:eastAsia="" w:cs="Tahoma"/>
      <w:b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eastAsia="" w:cs="Verdana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eastAsia="" w:cs="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Courier New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link w:val="ZkladntextChar"/>
    <w:rsid w:val="00e40d12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Tahoma" w:cs="Times New Roman"/>
      <w:sz w:val="24"/>
      <w:szCs w:val="24"/>
    </w:rPr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DocumentMap">
    <w:name w:val="Document Map"/>
    <w:basedOn w:val="Normal"/>
    <w:link w:val="RozloendokumentuChar"/>
    <w:uiPriority w:val="99"/>
    <w:semiHidden/>
    <w:unhideWhenUsed/>
    <w:qFormat/>
    <w:rsid w:val="0012711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4fc6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2011f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hlav">
    <w:name w:val="Header"/>
    <w:basedOn w:val="Normal"/>
    <w:link w:val="ZhlavChar"/>
    <w:uiPriority w:val="99"/>
    <w:unhideWhenUsed/>
    <w:rsid w:val="002011f8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2011f8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1d2762"/>
    <w:pPr>
      <w:widowControl/>
      <w:bidi w:val="0"/>
      <w:spacing w:lineRule="auto" w:line="240" w:before="0" w:after="0"/>
      <w:jc w:val="left"/>
    </w:pPr>
    <w:rPr>
      <w:rFonts w:ascii="Calibri" w:hAnsi="Calibri" w:cs="Calibri" w:eastAsia=""/>
      <w:color w:val="000000"/>
      <w:sz w:val="24"/>
      <w:szCs w:val="24"/>
      <w:lang w:val="cs-CZ" w:eastAsia="cs-CZ" w:bidi="ar-SA"/>
    </w:rPr>
  </w:style>
  <w:style w:type="paragraph" w:styleId="NoSpacing">
    <w:name w:val="No Spacing"/>
    <w:uiPriority w:val="1"/>
    <w:qFormat/>
    <w:rsid w:val="00101011"/>
    <w:pPr>
      <w:widowControl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cs-CZ" w:eastAsia="cs-CZ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info@vratovesystemyvm.cz" TargetMode="External"/><Relationship Id="rId2" Type="http://schemas.openxmlformats.org/officeDocument/2006/relationships/hyperlink" Target="http://www.vratovesystemyvm.cz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C052E-8018-425D-B01A-6DE14BE9C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LibreOffice/5.3.1.2$Windows_x86 LibreOffice_project/e80a0e0fd1875e1696614d24c32df0f95f03deb2</Application>
  <Pages>1</Pages>
  <Words>318</Words>
  <Characters>1682</Characters>
  <CharactersWithSpaces>2002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2018-03-06T17:19:00Z</dcterms:created>
  <dc:creator>Staruv</dc:creator>
  <dc:description/>
  <dc:language>cs-CZ</dc:language>
  <cp:lastModifiedBy/>
  <cp:lastPrinted>2018-03-09T14:09:00Z</cp:lastPrinted>
  <dcterms:modified xsi:type="dcterms:W3CDTF">2018-03-23T14:44:25Z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