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67" w:rsidRDefault="00407887">
      <w:pPr>
        <w:pStyle w:val="Nadpis10"/>
        <w:keepNext/>
        <w:keepLines/>
        <w:shd w:val="clear" w:color="auto" w:fill="auto"/>
        <w:spacing w:after="281"/>
        <w:ind w:left="1740"/>
      </w:pPr>
      <w:bookmarkStart w:id="0" w:name="bookmark0"/>
      <w:r>
        <w:t>SMLOUVA O ZŘÍZENÍ PRODEJNÍHO MÍSTA</w:t>
      </w:r>
      <w:bookmarkEnd w:id="0"/>
    </w:p>
    <w:p w:rsidR="00963D67" w:rsidRDefault="00407887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TICKETPRO a.s.</w:t>
      </w:r>
      <w:bookmarkEnd w:id="1"/>
    </w:p>
    <w:p w:rsidR="00963D67" w:rsidRDefault="00407887">
      <w:pPr>
        <w:pStyle w:val="Zkladntext20"/>
        <w:shd w:val="clear" w:color="auto" w:fill="auto"/>
        <w:ind w:right="640" w:firstLine="0"/>
      </w:pPr>
      <w:r>
        <w:t>Obchodní společnost zapsaná v obchodním rejstříku u Městského soudu v Praze, oddíl B, vložka 2249</w:t>
      </w:r>
    </w:p>
    <w:p w:rsidR="00963D67" w:rsidRDefault="00407887">
      <w:pPr>
        <w:pStyle w:val="Zkladntext20"/>
        <w:shd w:val="clear" w:color="auto" w:fill="auto"/>
        <w:ind w:right="640" w:firstLine="0"/>
      </w:pPr>
      <w:r>
        <w:t xml:space="preserve">Se sídlem Počernická 96, 108 00 Praha 10 Poštovní adresa: Počernická 96, 108 00 Praha 10 Zastupuje: Petr </w:t>
      </w:r>
      <w:r>
        <w:t>Wiedner, na základě plné moci Tel.: 234 704 234</w:t>
      </w:r>
    </w:p>
    <w:p w:rsidR="00963D67" w:rsidRDefault="00407887">
      <w:pPr>
        <w:pStyle w:val="Zkladntext20"/>
        <w:shd w:val="clear" w:color="auto" w:fill="auto"/>
        <w:ind w:right="640" w:firstLine="0"/>
      </w:pPr>
      <w:r>
        <w:t xml:space="preserve">E-mail: </w:t>
      </w:r>
      <w:hyperlink r:id="rId7" w:history="1">
        <w:r>
          <w:rPr>
            <w:rStyle w:val="Zkladntext21"/>
          </w:rPr>
          <w:t>prodeini.sit@ticketpro.cz</w:t>
        </w:r>
      </w:hyperlink>
      <w:r>
        <w:rPr>
          <w:lang w:val="en-US" w:eastAsia="en-US" w:bidi="en-US"/>
        </w:rPr>
        <w:t xml:space="preserve">: </w:t>
      </w:r>
      <w:hyperlink r:id="rId8" w:history="1">
        <w:r>
          <w:rPr>
            <w:rStyle w:val="Zkladntext21"/>
          </w:rPr>
          <w:t>pos@ticketpro.cz</w:t>
        </w:r>
      </w:hyperlink>
      <w:r>
        <w:rPr>
          <w:rStyle w:val="Zkladntext21"/>
        </w:rPr>
        <w:t xml:space="preserve"> </w:t>
      </w:r>
      <w:r>
        <w:t>IČO: 60192577 DIČ: CZ60192577</w:t>
      </w:r>
    </w:p>
    <w:p w:rsidR="00963D67" w:rsidRDefault="00407887">
      <w:pPr>
        <w:pStyle w:val="Zkladntext20"/>
        <w:shd w:val="clear" w:color="auto" w:fill="auto"/>
        <w:ind w:firstLine="0"/>
      </w:pPr>
      <w:r>
        <w:t>Číslo bankovního účtu: 286938087/5500</w:t>
      </w:r>
    </w:p>
    <w:p w:rsidR="00963D67" w:rsidRDefault="00407887">
      <w:pPr>
        <w:pStyle w:val="Zkladntext20"/>
        <w:shd w:val="clear" w:color="auto" w:fill="auto"/>
        <w:spacing w:after="218"/>
        <w:ind w:right="640" w:firstLine="7200"/>
      </w:pPr>
      <w:r>
        <w:t>dál</w:t>
      </w:r>
      <w:r>
        <w:t>e jen Ticketpro a</w:t>
      </w:r>
    </w:p>
    <w:p w:rsidR="00963D67" w:rsidRDefault="00407887">
      <w:pPr>
        <w:pStyle w:val="Nadpis20"/>
        <w:keepNext/>
        <w:keepLines/>
        <w:shd w:val="clear" w:color="auto" w:fill="auto"/>
        <w:spacing w:before="0" w:line="218" w:lineRule="exact"/>
      </w:pPr>
      <w:bookmarkStart w:id="2" w:name="bookmark2"/>
      <w:r>
        <w:t>Turistické informační centrum Pardubice, příspěvková organizace</w:t>
      </w:r>
      <w:bookmarkEnd w:id="2"/>
    </w:p>
    <w:p w:rsidR="00963D67" w:rsidRDefault="00407887">
      <w:pPr>
        <w:pStyle w:val="Zkladntext20"/>
        <w:shd w:val="clear" w:color="auto" w:fill="auto"/>
        <w:spacing w:after="220" w:line="218" w:lineRule="exact"/>
        <w:ind w:firstLine="0"/>
      </w:pPr>
      <w:r>
        <w:t>příspěvková organizace statutárního města Pardubice</w:t>
      </w:r>
    </w:p>
    <w:p w:rsidR="00963D67" w:rsidRDefault="00407887">
      <w:pPr>
        <w:pStyle w:val="Zkladntext20"/>
        <w:shd w:val="clear" w:color="auto" w:fill="auto"/>
        <w:tabs>
          <w:tab w:val="left" w:leader="dot" w:pos="5760"/>
          <w:tab w:val="left" w:leader="dot" w:pos="7486"/>
          <w:tab w:val="left" w:leader="dot" w:pos="7636"/>
        </w:tabs>
        <w:spacing w:after="222" w:line="218" w:lineRule="exact"/>
        <w:ind w:firstLine="0"/>
        <w:jc w:val="both"/>
      </w:pPr>
      <w:r>
        <w:t xml:space="preserve">Obchodní společnost zapsaná v obchodním rejstříku u </w:t>
      </w:r>
      <w:r>
        <w:tab/>
        <w:t>soudu v</w:t>
      </w:r>
      <w:r>
        <w:tab/>
      </w:r>
      <w:r>
        <w:tab/>
        <w:t xml:space="preserve"> oddíl ..., vložka</w:t>
      </w:r>
    </w:p>
    <w:p w:rsidR="00963D67" w:rsidRDefault="00407887">
      <w:pPr>
        <w:pStyle w:val="Zkladntext20"/>
        <w:shd w:val="clear" w:color="auto" w:fill="auto"/>
        <w:ind w:right="640" w:firstLine="0"/>
      </w:pPr>
      <w:r>
        <w:t>Se sídlem Náměstí Republiky 1, 530 02 Par</w:t>
      </w:r>
      <w:r>
        <w:t>dubice Poštovní adresa: Náměstí Republiky 1, Pardubice 530 02 Zastupuje: Mgr. Marina Vančatová, Ph.D., ředitelka Tel.:</w:t>
      </w:r>
    </w:p>
    <w:p w:rsidR="00963D67" w:rsidRDefault="00407887">
      <w:pPr>
        <w:pStyle w:val="Zkladntext20"/>
        <w:shd w:val="clear" w:color="auto" w:fill="auto"/>
        <w:ind w:firstLine="0"/>
        <w:jc w:val="both"/>
      </w:pPr>
      <w:r>
        <w:t xml:space="preserve">E-mail: </w:t>
      </w:r>
      <w:hyperlink r:id="rId9" w:history="1">
        <w:r>
          <w:rPr>
            <w:lang w:val="en-US" w:eastAsia="en-US" w:bidi="en-US"/>
          </w:rPr>
          <w:t>region@ipardubice.cz</w:t>
        </w:r>
      </w:hyperlink>
    </w:p>
    <w:p w:rsidR="00963D67" w:rsidRDefault="00407887">
      <w:pPr>
        <w:pStyle w:val="Zkladntext20"/>
        <w:shd w:val="clear" w:color="auto" w:fill="auto"/>
        <w:ind w:firstLine="0"/>
        <w:jc w:val="both"/>
      </w:pPr>
      <w:r>
        <w:t>IČ: 06495001</w:t>
      </w:r>
    </w:p>
    <w:p w:rsidR="00963D67" w:rsidRDefault="00407887">
      <w:pPr>
        <w:pStyle w:val="Zkladntext20"/>
        <w:shd w:val="clear" w:color="auto" w:fill="auto"/>
        <w:ind w:firstLine="0"/>
        <w:jc w:val="both"/>
      </w:pPr>
      <w:r>
        <w:t>DIČ:</w:t>
      </w:r>
    </w:p>
    <w:p w:rsidR="00963D67" w:rsidRDefault="00407887">
      <w:pPr>
        <w:pStyle w:val="Zkladntext20"/>
        <w:shd w:val="clear" w:color="auto" w:fill="auto"/>
        <w:ind w:firstLine="0"/>
        <w:jc w:val="both"/>
      </w:pPr>
      <w:r>
        <w:t>Číslo bankovního účtu: 115-5858100267/0100</w:t>
      </w:r>
    </w:p>
    <w:p w:rsidR="00963D67" w:rsidRDefault="00407887">
      <w:pPr>
        <w:pStyle w:val="Zkladntext20"/>
        <w:shd w:val="clear" w:color="auto" w:fill="auto"/>
        <w:spacing w:after="638"/>
        <w:ind w:firstLine="7200"/>
      </w:pPr>
      <w:r>
        <w:t xml:space="preserve">dále </w:t>
      </w:r>
      <w:r>
        <w:t>jen Provozovatel</w:t>
      </w:r>
    </w:p>
    <w:p w:rsidR="00963D67" w:rsidRDefault="00407887">
      <w:pPr>
        <w:pStyle w:val="Nadpis20"/>
        <w:keepNext/>
        <w:keepLines/>
        <w:shd w:val="clear" w:color="auto" w:fill="auto"/>
        <w:spacing w:before="0" w:after="222" w:line="218" w:lineRule="exact"/>
        <w:ind w:left="4040"/>
      </w:pPr>
      <w:bookmarkStart w:id="3" w:name="bookmark3"/>
      <w:r>
        <w:t>Preambule</w:t>
      </w:r>
      <w:bookmarkEnd w:id="3"/>
    </w:p>
    <w:p w:rsidR="00963D67" w:rsidRDefault="00407887">
      <w:pPr>
        <w:pStyle w:val="Zkladntext20"/>
        <w:shd w:val="clear" w:color="auto" w:fill="auto"/>
        <w:spacing w:after="220"/>
        <w:ind w:right="640" w:firstLine="0"/>
        <w:jc w:val="both"/>
      </w:pPr>
      <w:r>
        <w:t xml:space="preserve">VZHLEDEM K TOMU, ŽE Ticketpro zajišťuje prodej vstupenek (dále jen </w:t>
      </w:r>
      <w:r>
        <w:rPr>
          <w:rStyle w:val="Zkladntext2Tun"/>
        </w:rPr>
        <w:t xml:space="preserve">Vstupenky) </w:t>
      </w:r>
      <w:r>
        <w:t xml:space="preserve">prostřednictvím své prodejní sítě a má pro tento účel uzavřeny smlouvy s třetími subjekty (dále jen </w:t>
      </w:r>
      <w:r>
        <w:rPr>
          <w:rStyle w:val="Zkladntext2Tun"/>
        </w:rPr>
        <w:t xml:space="preserve">Pořadatelé) </w:t>
      </w:r>
      <w:r>
        <w:t>pořádajícími kulturní, sportovní a jiné</w:t>
      </w:r>
      <w:r>
        <w:t xml:space="preserve"> společenské akce (dále jen </w:t>
      </w:r>
      <w:r>
        <w:rPr>
          <w:rStyle w:val="Zkladntext2Tun"/>
        </w:rPr>
        <w:t xml:space="preserve">Akce), </w:t>
      </w:r>
      <w:r>
        <w:t>přičemž Ticketpro chce rozšířit tuto svou prodejní síť i do prostor Provozovatele a Provozovatel má zájem a chce v tomto smyslu spolupůsobit a vytvořit tak další článek v síti prodejců Vstupenek; a</w:t>
      </w:r>
    </w:p>
    <w:p w:rsidR="00963D67" w:rsidRDefault="00407887">
      <w:pPr>
        <w:pStyle w:val="Zkladntext20"/>
        <w:shd w:val="clear" w:color="auto" w:fill="auto"/>
        <w:spacing w:after="216"/>
        <w:ind w:right="640" w:firstLine="0"/>
      </w:pPr>
      <w:r>
        <w:t>VZHLEDEM K TOMU, ŽE Tic</w:t>
      </w:r>
      <w:r>
        <w:t>ketpro je současně oprávněno užívat počítačový program Ticketsoft/Ticketprosoft, sloužící k přípravě, tisku, rezervaci a distribuci Vstupenek a je oprávněno udělit právo k jeho použití ve smyslu této smlouvy třetím osobám. Část uvedeného počítačového progr</w:t>
      </w:r>
      <w:r>
        <w:t xml:space="preserve">amu určená k instalaci na stanicích POS je dále označována jen jako </w:t>
      </w:r>
      <w:r>
        <w:rPr>
          <w:rStyle w:val="Zkladntext2Tun"/>
        </w:rPr>
        <w:t>Software,</w:t>
      </w:r>
    </w:p>
    <w:p w:rsidR="00963D67" w:rsidRDefault="00407887">
      <w:pPr>
        <w:pStyle w:val="Zkladntext20"/>
        <w:shd w:val="clear" w:color="auto" w:fill="auto"/>
        <w:spacing w:after="462" w:line="221" w:lineRule="exact"/>
        <w:ind w:right="640" w:firstLine="0"/>
      </w:pPr>
      <w:r>
        <w:t>UZAVÍRAJÍ Ticketpro s Provozovatelem dnešního dne, měsíce a roku v souladu s ustanovením § 1746 odst. 2 a ustanovením § 2363 zákona č. 89/2012 Sb., občanský zákoník následující s</w:t>
      </w:r>
      <w:r>
        <w:t xml:space="preserve">mlouvu (dále jen </w:t>
      </w:r>
      <w:r>
        <w:rPr>
          <w:rStyle w:val="Zkladntext2Tun"/>
        </w:rPr>
        <w:t>Smlouva):</w:t>
      </w:r>
    </w:p>
    <w:p w:rsidR="00963D67" w:rsidRDefault="004078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67"/>
        </w:tabs>
        <w:spacing w:before="0" w:after="222" w:line="218" w:lineRule="exact"/>
        <w:ind w:left="3380"/>
      </w:pPr>
      <w:bookmarkStart w:id="4" w:name="bookmark4"/>
      <w:r>
        <w:t>Hardware a Software</w:t>
      </w:r>
      <w:bookmarkEnd w:id="4"/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48"/>
        </w:tabs>
        <w:spacing w:after="220"/>
        <w:ind w:left="740" w:right="640" w:hanging="340"/>
        <w:jc w:val="both"/>
      </w:pPr>
      <w:r>
        <w:t xml:space="preserve">Provozovatel se zavazuje zajistit pro každou provozovnu uvedenou v Příloze č. 1 (dále jen </w:t>
      </w:r>
      <w:r>
        <w:rPr>
          <w:rStyle w:val="Zkladntext2Tun"/>
        </w:rPr>
        <w:t xml:space="preserve">Provozovny </w:t>
      </w:r>
      <w:r>
        <w:t xml:space="preserve">nebo jednotlivě </w:t>
      </w:r>
      <w:r>
        <w:rPr>
          <w:rStyle w:val="Zkladntext2Tun"/>
        </w:rPr>
        <w:t xml:space="preserve">Provozovna) </w:t>
      </w:r>
      <w:r>
        <w:t xml:space="preserve">na své náklady po celou dobu trvání této Smlouvy pro účely jejího plnění 1 ks PC a 1 ks tiskárny pro tisk Vstupenek, vše s paramenty potřebnými pro instalaci Software a tisk Vstupenek pomocí tohoto Software (dohromady dále jen </w:t>
      </w:r>
      <w:r>
        <w:rPr>
          <w:rStyle w:val="Zkladntext2Tun"/>
        </w:rPr>
        <w:t>Hardware).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48"/>
        </w:tabs>
        <w:ind w:left="740" w:right="640" w:hanging="340"/>
        <w:jc w:val="both"/>
      </w:pPr>
      <w:r>
        <w:t>Ticketpro touto Sm</w:t>
      </w:r>
      <w:r>
        <w:t>louvou udílí Provozovateli svolení k tomu, aby na Hardware umístěný v každé Provozovně Provozovatele uvedené v Příloze č. 1 této Smlouvy nainstaloval Software a užíval jej v těchto Provozovnách prostřednictvím on-line přístupu do prodejního systému Ticketp</w:t>
      </w:r>
      <w:r>
        <w:t>ra k prodeji Vstupenek na Akce, poukázek a dalších doprovodných služeb</w:t>
      </w:r>
    </w:p>
    <w:p w:rsidR="00963D67" w:rsidRDefault="00407887">
      <w:pPr>
        <w:pStyle w:val="Zkladntext20"/>
        <w:shd w:val="clear" w:color="auto" w:fill="auto"/>
        <w:spacing w:after="256" w:line="211" w:lineRule="exact"/>
        <w:ind w:left="760" w:right="660" w:firstLine="0"/>
      </w:pPr>
      <w:r>
        <w:t xml:space="preserve">dle čl. II.4. této Smlouvy třetím osobám. Hardware spolu s nainstalovaným Softwarem jsou dále v této Smlouvě označovány jen jako </w:t>
      </w:r>
      <w:r>
        <w:rPr>
          <w:rStyle w:val="Zkladntext2Tun"/>
        </w:rPr>
        <w:t>Zařízení.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30"/>
        </w:tabs>
        <w:spacing w:after="260"/>
        <w:ind w:left="760" w:right="660"/>
        <w:jc w:val="both"/>
      </w:pPr>
      <w:r>
        <w:t xml:space="preserve">Právo Provozovatele užívat Software je časově </w:t>
      </w:r>
      <w:r>
        <w:t xml:space="preserve">omezeno na dobu trvání této Smlouvy a opravňuje Provozovatele užívat Software pouze na Hardware, který je umístěn v Provozovnách Provozovatele uvedených v Příloze č. 1 a k účelu, k němuž je Software Ticketprem určen. Právo Provozovatele užívat Software je </w:t>
      </w:r>
      <w:r>
        <w:t>nevýhradní. Veškerá práva osob vykonávajících autorská práva k Software jsou vyhrazena po celou dobu trvání této Smlouvy a kdykoliv poté. Není-li v této Smlouvě výslovně ujednáno jinak, je Provozovateli zakázáno jakékoliv užívání, rozmnožování, rozšiřování</w:t>
      </w:r>
      <w:r>
        <w:t xml:space="preserve">, upravování či jiné zasahování do </w:t>
      </w:r>
      <w:r>
        <w:lastRenderedPageBreak/>
        <w:t>Software, jeho spojování s jinými díly, jeho pronájem, půjčování či jakékoliv přenechávání Software do užití jiným osobám.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30"/>
        </w:tabs>
        <w:spacing w:after="256"/>
        <w:ind w:left="760" w:right="660"/>
        <w:jc w:val="both"/>
      </w:pPr>
      <w:r>
        <w:t>Výslovně se sjednává, že Ticketpro může plnění této Smlouvy zajistit prostřednictvím shora uvedené</w:t>
      </w:r>
      <w:r>
        <w:t xml:space="preserve">ho Software (Ticketsoft/Ticketprosoft), k jehož užití ve smyslu shora uvedených ustanovení udílí touto Smlouvou Provozovateli souhlas, anebo je rovněž oprávněno zajistit plnění této Smlouvy prostřednictvím jiného programového vybavení, které za tím účelem </w:t>
      </w:r>
      <w:r>
        <w:t>obstará a opatří příslušná oprávnění k jeho použití ve smyslu této Smlouvy. Toto jiné programové vybavení bude v takovém případě pro účely plnění této Smlouvy považováno za Software a budou se na něj obdobně vztahovat veškerá ustanovení této Smlouvy. O změ</w:t>
      </w:r>
      <w:r>
        <w:t>ně Software bude Ticketpro Provozovatele předem informovat a poskytne mu potřebou součinnost k instalaci nového Software na Hardware Provozovatele. Ticketpro může případně též po určitou přechodnou dobu zajistit plnění této Smlouvy prostřednictvím obou poč</w:t>
      </w:r>
      <w:r>
        <w:t>ítačových programů (tj. Ticketsoft/Ticketprosoft a dalšího programu) současně; v takovém případě se po tuto přechodnou dobu obě tyto programová vybavení považují pro účely plnění této Smlouvy za Software.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30"/>
        </w:tabs>
        <w:spacing w:after="264" w:line="221" w:lineRule="exact"/>
        <w:ind w:left="760" w:right="660"/>
        <w:jc w:val="both"/>
      </w:pPr>
      <w:r>
        <w:t>Provozovatel bude po celou dobu trvání této Smlouvy</w:t>
      </w:r>
      <w:r>
        <w:t xml:space="preserve"> na své náklady udržovat ve všech Provozovnách Zařízení v provozu a v případě poruchy zajistí jeho opravu nebo výměnu. Opravy nefunkčního Software však zajišťuje Ticketpro.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30"/>
        </w:tabs>
        <w:spacing w:after="258"/>
        <w:ind w:left="760" w:right="660"/>
        <w:jc w:val="both"/>
      </w:pPr>
      <w:r>
        <w:t xml:space="preserve">Provozovatel si dále hradí sám veškeré provozní náklady související s tiskem </w:t>
      </w:r>
      <w:r>
        <w:t>Vstupenek, včetně tonerů, přičemž se zavazuje neomezovat provoz Hardware po dobu delší než nezbytně nutnou pro opětovné uvedení Hardware v činnost.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30"/>
        </w:tabs>
        <w:spacing w:after="260" w:line="218" w:lineRule="exact"/>
        <w:ind w:left="760"/>
        <w:jc w:val="both"/>
      </w:pPr>
      <w:r>
        <w:t>Ticketpro zaškolí personál Provozovatele pro obsluhu Zařízení, a to i opakovaně.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30"/>
        </w:tabs>
        <w:spacing w:after="262" w:line="218" w:lineRule="exact"/>
        <w:ind w:left="760"/>
        <w:jc w:val="both"/>
      </w:pPr>
      <w:r>
        <w:t xml:space="preserve">Ticketpro bude poskytovat </w:t>
      </w:r>
      <w:r>
        <w:t>vždy v dostatečném počtu nezbytné bianko Vstupenky.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30"/>
        </w:tabs>
        <w:spacing w:after="260"/>
        <w:ind w:left="760" w:right="660"/>
        <w:jc w:val="both"/>
      </w:pPr>
      <w:r>
        <w:t>Ticketpro bude dle možností a v závislosti na spolupráci Pořadatelů jednotlivých Akcí dodávat Provozovateli propagační materiály, týkající se Akcí v prodeji.</w:t>
      </w:r>
    </w:p>
    <w:p w:rsidR="00963D67" w:rsidRDefault="00407887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after="698"/>
        <w:ind w:left="760" w:right="660"/>
        <w:jc w:val="both"/>
      </w:pPr>
      <w:r>
        <w:t>Ticketpro bude dle možností vhodným způsobem p</w:t>
      </w:r>
      <w:r>
        <w:t>ropagovat prodejní místo Provozovatele ve svých reklamních a propagačních materiálech.</w:t>
      </w:r>
    </w:p>
    <w:p w:rsidR="00963D67" w:rsidRDefault="004078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10"/>
        </w:tabs>
        <w:spacing w:before="0" w:after="262" w:line="218" w:lineRule="exact"/>
        <w:ind w:left="2540"/>
      </w:pPr>
      <w:bookmarkStart w:id="5" w:name="bookmark5"/>
      <w:r>
        <w:t>Práva a povinnosti PROVOZOVATELE</w:t>
      </w:r>
      <w:bookmarkEnd w:id="5"/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after="258"/>
        <w:ind w:left="760" w:right="660"/>
        <w:jc w:val="both"/>
      </w:pPr>
      <w:r>
        <w:t xml:space="preserve">Provozovatel poskytne nezbytné, dobře přístupné a viditelné prostory vhodné pro instalaci Zařízení a prodej Vstupenek ve všech </w:t>
      </w:r>
      <w:r>
        <w:t>Provozovnách.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after="258" w:line="218" w:lineRule="exact"/>
        <w:ind w:left="760"/>
        <w:jc w:val="both"/>
      </w:pPr>
      <w:r>
        <w:t>Provozovatel nese odpovědnost za veškeré škody na Zařízení.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after="268" w:line="221" w:lineRule="exact"/>
        <w:ind w:left="760" w:right="660"/>
        <w:jc w:val="both"/>
      </w:pPr>
      <w:r>
        <w:t>Provozovatel na svůj náklad poskytne pro potřeby provozu Zařízení v každé Provozovně síťovou zásuvku 220V, 1 (jednu) telefonní linku pro případnou komunikaci s Ticketprem a interneto</w:t>
      </w:r>
      <w:r>
        <w:t>vou přípojku s minimální rychlostí lmb/s se stálým připojením.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30"/>
        </w:tabs>
        <w:spacing w:after="255" w:line="211" w:lineRule="exact"/>
        <w:ind w:left="760" w:right="660"/>
        <w:jc w:val="both"/>
      </w:pPr>
      <w:r>
        <w:t>Provozovatel se zavazuje v Provozovnách provozovat Zařízení a jeho prostřednictvím prodávat třetím osobám</w:t>
      </w:r>
    </w:p>
    <w:p w:rsidR="00963D67" w:rsidRDefault="00407887">
      <w:pPr>
        <w:pStyle w:val="Zkladntext20"/>
        <w:numPr>
          <w:ilvl w:val="0"/>
          <w:numId w:val="4"/>
        </w:numPr>
        <w:shd w:val="clear" w:color="auto" w:fill="auto"/>
        <w:tabs>
          <w:tab w:val="left" w:pos="1800"/>
        </w:tabs>
        <w:spacing w:line="218" w:lineRule="exact"/>
        <w:ind w:left="1440" w:firstLine="0"/>
      </w:pPr>
      <w:r>
        <w:t>Vstupenky na Akce;</w:t>
      </w:r>
    </w:p>
    <w:p w:rsidR="00963D67" w:rsidRDefault="00407887">
      <w:pPr>
        <w:pStyle w:val="Zkladntext20"/>
        <w:numPr>
          <w:ilvl w:val="0"/>
          <w:numId w:val="4"/>
        </w:numPr>
        <w:shd w:val="clear" w:color="auto" w:fill="auto"/>
        <w:tabs>
          <w:tab w:val="left" w:pos="1840"/>
        </w:tabs>
        <w:spacing w:after="260"/>
        <w:ind w:left="1840" w:right="680" w:hanging="360"/>
        <w:jc w:val="both"/>
      </w:pPr>
      <w:r>
        <w:t>další doprovodné služby Ticketpra související s prodejem Vstupenek (</w:t>
      </w:r>
      <w:r>
        <w:t>jako je např. dodání zakoupených Vstupenek na určité místo);</w:t>
      </w:r>
    </w:p>
    <w:p w:rsidR="00963D67" w:rsidRDefault="00407887">
      <w:pPr>
        <w:pStyle w:val="Zkladntext20"/>
        <w:numPr>
          <w:ilvl w:val="0"/>
          <w:numId w:val="4"/>
        </w:numPr>
        <w:shd w:val="clear" w:color="auto" w:fill="auto"/>
        <w:tabs>
          <w:tab w:val="left" w:pos="1840"/>
        </w:tabs>
        <w:spacing w:after="260"/>
        <w:ind w:left="1840" w:right="680" w:hanging="360"/>
        <w:jc w:val="both"/>
      </w:pPr>
      <w:r>
        <w:t xml:space="preserve">dárkové poukázky vydané Ticketprem za nákup Vstupenek (dále jen </w:t>
      </w:r>
      <w:r>
        <w:rPr>
          <w:rStyle w:val="Zkladntext2Tun"/>
        </w:rPr>
        <w:t>Dárkové poukázky);</w:t>
      </w:r>
    </w:p>
    <w:p w:rsidR="00963D67" w:rsidRDefault="00407887">
      <w:pPr>
        <w:pStyle w:val="Zkladntext20"/>
        <w:numPr>
          <w:ilvl w:val="0"/>
          <w:numId w:val="4"/>
        </w:numPr>
        <w:shd w:val="clear" w:color="auto" w:fill="auto"/>
        <w:tabs>
          <w:tab w:val="left" w:pos="1840"/>
        </w:tabs>
        <w:spacing w:after="260"/>
        <w:ind w:left="1840" w:right="680" w:hanging="360"/>
        <w:jc w:val="both"/>
      </w:pPr>
      <w:r>
        <w:t xml:space="preserve">poukázky vydané dalšími obchodními partnery Ticketpra na nákup dalších služeb těchto partnerů, které Ticketpro </w:t>
      </w:r>
      <w:r>
        <w:t>přijme do distribuce prostřednictvím své prodejní sítě,</w:t>
      </w:r>
    </w:p>
    <w:p w:rsidR="00963D67" w:rsidRDefault="00407887">
      <w:pPr>
        <w:pStyle w:val="Zkladntext20"/>
        <w:shd w:val="clear" w:color="auto" w:fill="auto"/>
        <w:spacing w:after="256"/>
        <w:ind w:left="740" w:right="680" w:firstLine="0"/>
        <w:jc w:val="both"/>
      </w:pPr>
      <w:r>
        <w:t xml:space="preserve">a to vše v rozsahu a cenách stanovených Ticketprem. Provozovatel bere na vědomí, že Ticketpro zajišťuje prodej Vstupenek prostřednictvím své prodejní sítě, jejíž součást tvoří </w:t>
      </w:r>
      <w:r>
        <w:lastRenderedPageBreak/>
        <w:t xml:space="preserve">na základě této Smlouvy </w:t>
      </w:r>
      <w:r>
        <w:t>i Provozovatel, jménem Pořadatelů konkrétních Akcí. Prodej dalších doprovodných služeb uvedených pod písmenem b) a Dárkových poukázek uvedených pod písmenem c) pak zajišťuje jménem svým. Pokud se týká poukázek uvedených pod písmenem d), Ticketpro zajišťuje</w:t>
      </w:r>
      <w:r>
        <w:t xml:space="preserve"> jejich prodej buď jménem svým anebo jménem příslušných obchodních partnerů v závislosti na smluvním vztahu mezi Ticketprem a těmito obchodními partnery. Při prodeji Vstupenek nebo poukázek všeho druhu může být zákazníkům Ticketprem přiúčtován i zvláštní s</w:t>
      </w:r>
      <w:r>
        <w:t xml:space="preserve">ervisní poplatek za nákup prostřednictvím sítě (dále jen </w:t>
      </w:r>
      <w:r>
        <w:rPr>
          <w:rStyle w:val="Zkladntext2Tun"/>
        </w:rPr>
        <w:t>Servisní poplatek).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57"/>
        </w:tabs>
        <w:spacing w:after="262" w:line="221" w:lineRule="exact"/>
        <w:ind w:left="740" w:right="680" w:hanging="340"/>
        <w:jc w:val="both"/>
      </w:pPr>
      <w:r>
        <w:t>Provozovatel poskytne nezbytný personál v rozsahu nutném pro provoz každého prodejního místa a ponese náklady s tím spojené.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57"/>
        </w:tabs>
        <w:spacing w:after="262" w:line="218" w:lineRule="exact"/>
        <w:ind w:left="740" w:hanging="340"/>
        <w:jc w:val="both"/>
      </w:pPr>
      <w:r>
        <w:t>Provozovatel se zavazuje tisknout Vstupenky a poukázky</w:t>
      </w:r>
      <w:r>
        <w:t xml:space="preserve"> vždy pouze v momentu prodeje.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57"/>
        </w:tabs>
        <w:spacing w:after="260"/>
        <w:ind w:left="740" w:right="680" w:hanging="340"/>
        <w:jc w:val="both"/>
      </w:pPr>
      <w:r>
        <w:t xml:space="preserve">Dojde-li ke zrušení Akce, je Provozovatel povinen na základě výslovného pokynu Ticketpra vracet vstupné za Vstupenky na zrušenou Akci, které si zákazníci koupili u Provozovatele. Bude-li vstupné vracet zákazníkovi bez pokynu </w:t>
      </w:r>
      <w:r>
        <w:t>Ticketpra, činí tak na vlastní náklady a riziko.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57"/>
        </w:tabs>
        <w:spacing w:after="260"/>
        <w:ind w:left="740" w:right="680" w:hanging="340"/>
        <w:jc w:val="both"/>
      </w:pPr>
      <w:r>
        <w:t>Provozovatel se zavazuje v každém prodejním místě vhodně a přiměřeně propagovat Ticketpro. Zároveň se Provozovatel zavazuje hledat a využívat možnosti pro propagaci prodeje Vstupenek i mimo prodejní místo (n</w:t>
      </w:r>
      <w:r>
        <w:t>apř. internetové stránky nebo jiné možnosti Provozovatele). V rámci této Smlouvy bude Provozovatel dle možností rovněž propagovat Ticketpro ve svých propagačních a reklamních aktivitách a ve svých materiálech určených pro veřejnost.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757"/>
        </w:tabs>
        <w:spacing w:after="260"/>
        <w:ind w:left="740" w:right="680" w:hanging="340"/>
        <w:jc w:val="both"/>
      </w:pPr>
      <w:r>
        <w:t>Provozovatel se zavazuj</w:t>
      </w:r>
      <w:r>
        <w:t>e vždy nejpozději do 10 dnů od dodání bianco Vstupenek Ticketprem písemně potvrdit jejich přijetí na předávacím protokolu, který doručí Ticketpru. Je dále povinen vést evidenci přijatých bianco Vstupenek a jedenkrát ročně k poslednímu pracovnímu dni provéz</w:t>
      </w:r>
      <w:r>
        <w:t>t jejich inventarizaci v souladu se zákonem 563/1991 Sb., o účetnictví v platném znění. Poškozené a zneplatněné Vstupenky, dále Vstupenky vrácené zákazníkem na základě pokynu Ticketpra dle či. II.7, jakož i zbylé bianco Vstupenky, které nebyly, nebo nemohl</w:t>
      </w:r>
      <w:r>
        <w:t>y být použity k tisku, bude Provozovatel zasílat na adresu Ticketpra uvedenou v záhlaví této Smlouvy, a to měsíčně, vždy nejpozději 2 (dva) pracovní dny po skončení kalendářního měsíce. Povinnost zpětného zasílání Vstupenek, které byly automaticky tiskem o</w:t>
      </w:r>
      <w:r>
        <w:t>značeny jako neplatné, se na takto znehodnocené Vstupenky nevztahuje. Za každé porušení povinností sjednaných v tomto odstavci je Provozovatel povinen zaplatit Ticketpru smluvní pokutu ve výši 3.000 Kč, přičemž právo na náhradu škody tím není dotčeno. Prov</w:t>
      </w:r>
      <w:r>
        <w:t>ozovatel považuje výši smluvní pokuty zde uvedenou za přiměřenou a vzdává se možnosti jejího snížení.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818"/>
        </w:tabs>
        <w:spacing w:after="260"/>
        <w:ind w:left="740" w:right="680" w:hanging="340"/>
        <w:jc w:val="both"/>
      </w:pPr>
      <w:r>
        <w:t xml:space="preserve">Provozovatel se zavazuje v případě ukončení smluvního vztahu nebo uplynutí výpovědní lhůty dle či. V.5. a V.6. této Smlouvy Vstupenky uvedené v či. II.9 </w:t>
      </w:r>
      <w:r>
        <w:t>jednorázově zaslat na adresu Ticketpra uvedenou v záhlaví této Smlouvy, a to nejpozději 10 (deset) pracovních dnů po skončení smluvního vztahu.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818"/>
        </w:tabs>
        <w:spacing w:after="260"/>
        <w:ind w:left="740" w:right="680" w:hanging="340"/>
        <w:jc w:val="both"/>
      </w:pPr>
      <w:r>
        <w:t>Provozovatel plně odpovídá za jakékoliv použití Vstupenek v rozporu s touto Smlouvou, zejména odpovídá za to, po</w:t>
      </w:r>
      <w:r>
        <w:t>kud kdokoliv zneužije bianco Vstupenky dodané podle této Smlouvy. Za každé zneužití bianco Vstupenky dodané podle této Smlouvy Ticketprem Provozovateli, a to bez ohledu na to, kdo bianco Vstupenku zneužije, je Provozovatel povinen zaplatit Ticketpru smluvn</w:t>
      </w:r>
      <w:r>
        <w:t>í pokutu ve výši 3.000 Kč a byla-li bianco Vstupenka zneužita k tomu, aby byla použita jako pravá Vstupenka na určitou Akci, je Provozovatel povinen uhradit vedle smluvní pokuty Ticketpru i cenu, za kterou se prodávala pravá Vstupenka; nárok na náhradu ško</w:t>
      </w:r>
      <w:r>
        <w:t>dy není tímto ujednáním dotčen. Provozovatel považuje výši smluvní pokuty zde uvedenou za přiměřenou a vzdává se možnosti jejího snížení.</w:t>
      </w:r>
    </w:p>
    <w:p w:rsidR="00963D67" w:rsidRDefault="00407887">
      <w:pPr>
        <w:pStyle w:val="Zkladntext20"/>
        <w:numPr>
          <w:ilvl w:val="0"/>
          <w:numId w:val="3"/>
        </w:numPr>
        <w:shd w:val="clear" w:color="auto" w:fill="auto"/>
        <w:tabs>
          <w:tab w:val="left" w:pos="814"/>
        </w:tabs>
        <w:spacing w:after="698"/>
        <w:ind w:left="760" w:right="640" w:hanging="360"/>
        <w:jc w:val="both"/>
      </w:pPr>
      <w:r>
        <w:t>V případě, že Provozovatel poruší své povinnosti sjednané v odst. II.9. shora anebo v případě zneužití bianco Vstupene</w:t>
      </w:r>
      <w:r>
        <w:t>k ve smyslu čl. II.11. shora, je Ticketpro oprávněno postupovat analogicky podle čl. III.7. níže a Zařízení připojit zpět k prodejnímu systému Ticketpro až po odstranění důvodu, který vedl Ticketpro k odpojení Zařízení od prodejního systému.</w:t>
      </w:r>
    </w:p>
    <w:p w:rsidR="00963D67" w:rsidRDefault="004078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86"/>
        </w:tabs>
        <w:spacing w:before="0" w:after="262" w:line="218" w:lineRule="exact"/>
        <w:ind w:left="3420"/>
      </w:pPr>
      <w:bookmarkStart w:id="6" w:name="bookmark6"/>
      <w:r>
        <w:lastRenderedPageBreak/>
        <w:t>Platební podmí</w:t>
      </w:r>
      <w:r>
        <w:t>nky</w:t>
      </w:r>
      <w:bookmarkEnd w:id="6"/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47"/>
        </w:tabs>
        <w:spacing w:after="260"/>
        <w:ind w:left="760" w:right="640" w:hanging="360"/>
        <w:jc w:val="both"/>
      </w:pPr>
      <w:r>
        <w:t xml:space="preserve">Provozovatel se zavazuje převádět na bankovní účet Ticketpra uvedený v záhlaví této Smlouvy veškeré tržby z prodeje Vstupenek, dalších doprovodných služeb a poukázek dle čl. II.4. této Smlouvy (dále jen </w:t>
      </w:r>
      <w:r>
        <w:rPr>
          <w:rStyle w:val="Zkladntext2Tun"/>
        </w:rPr>
        <w:t xml:space="preserve">Tržba </w:t>
      </w:r>
      <w:r>
        <w:t xml:space="preserve">nebo </w:t>
      </w:r>
      <w:r>
        <w:rPr>
          <w:rStyle w:val="Zkladntext2Tun"/>
        </w:rPr>
        <w:t xml:space="preserve">Tržby), </w:t>
      </w:r>
      <w:r>
        <w:t xml:space="preserve">a to dekádně (tzn. za 1.-10., </w:t>
      </w:r>
      <w:r>
        <w:t>11.-20., 21. až poslední den kalendářního měsíce), vždy nejpozději 5 (pět) pracovních dnů po ukončení dekády. Dnem převedení Tržby na bankovní účet Ticketpro se rozumí den odepsání příslušné částky z bankovního účtu Provozovatele, a to za předpokladu, že b</w:t>
      </w:r>
      <w:r>
        <w:t>ude tato částka následně na účet Ticketpra skutečně připsána. Tržbu tvoří vždy celková cena prodané Vstupenky nebo poukázky včetně případného Servisního poplatku a dále částky za služby související s prodejem Vstupenek (čl. II.4). Jako variabilní symbol je</w:t>
      </w:r>
      <w:r>
        <w:t xml:space="preserve"> Provozovatel povinen uvést svoje IČ uvedené v záhlaví této Smlouvy, a dále informaci o měsíci, za který je úhrada provedena, a to v číselném 2-místném formátu (např. pro úhradu za měsíc září „09").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47"/>
        </w:tabs>
        <w:spacing w:after="256"/>
        <w:ind w:left="760" w:right="640" w:hanging="360"/>
        <w:jc w:val="both"/>
      </w:pPr>
      <w:r>
        <w:t>Provozovatel se zavazuje převést na bankovní účet Ticketp</w:t>
      </w:r>
      <w:r>
        <w:t>ra uvedený v záhlaví této Smlouvy vratnou zálohu ve výši 5.000,- Kč nejpozději 5 (pět) pracovních dnů po nabytí platnosti této Smlouvy dle čl. V.5. Tato vratná záloha bude Provozovateli vrácena nejpozději 5 (pět) pracovních dnů po ukončení platnosti této S</w:t>
      </w:r>
      <w:r>
        <w:t>mlouvy a po vyrovnání veškerých závazků Provozovatele vůči Ticketpru plynoucích z této Smlouvy. V případě že jakékoliv závazky Provozovatele vůři Ticketpru nebudou řádně a včas vyrovnány, je Ticketpro oprávněno použít složenou zálohu k jejich úhradě.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47"/>
        </w:tabs>
        <w:spacing w:after="264" w:line="221" w:lineRule="exact"/>
        <w:ind w:left="760" w:right="640" w:hanging="360"/>
        <w:jc w:val="both"/>
      </w:pPr>
      <w:r>
        <w:t>Pokud</w:t>
      </w:r>
      <w:r>
        <w:t xml:space="preserve"> Provozovatel vloží Tržbu na účet Ticketpro uvedený v záhlaví této Smlouvy hotově, bude mu Ticketpro účtovat částku ve výši 100 Kč bez DPH za každý hotovostní vklad.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47"/>
        </w:tabs>
        <w:spacing w:after="260"/>
        <w:ind w:left="760" w:right="640" w:hanging="360"/>
        <w:jc w:val="both"/>
      </w:pPr>
      <w:r>
        <w:t>Není-li zde výslovného opačného pokynu Ticketpra, přijímá Provozovatel Dárkové poukázky vy</w:t>
      </w:r>
      <w:r>
        <w:t>dané Ticketprem jako protihodnotu Vstupenek prodávaných zákazníkům namísto peněz. Provozovatel však prodá zákazníkovi Vstupenky za cenu nejvýše do hodnoty zákazníkem odevzdané Dárkové poukázky, jinak musí zákazník rozdíl dorovnat v penězích. Ticketpro dále</w:t>
      </w:r>
      <w:r>
        <w:t xml:space="preserve"> může Provozovateli písemně oznámit, aby Provozovatel přijímal jako protihodnotu Vstupenek prodávaných zákazníkům i přesně označené další poukázky či certifikáty vydané třetími konkrétně určenými osobami, a to opět pouze nejvýše do hodnoty na nich vyznačen</w:t>
      </w:r>
      <w:r>
        <w:t xml:space="preserve">é (dále jen </w:t>
      </w:r>
      <w:r>
        <w:rPr>
          <w:rStyle w:val="Zkladntext2Tun"/>
        </w:rPr>
        <w:t xml:space="preserve">Kupóny). </w:t>
      </w:r>
      <w:r>
        <w:t>V případě, že hodnota Dárkové poukázky nebo Kupónu odevzdaného zákazníkem Provozovateli převýší cenu Vstupenek prodaných tomuto zákazníkovi, rozdíl se zákazníkovi nevrací. Provozovatel se zavazuje zasílat na adresu Ticketpra uvedenou v</w:t>
      </w:r>
      <w:r>
        <w:t xml:space="preserve"> záhlaví této Smlouvy přijaté Dárkové poukázky a Kupóny, a to měsíčně nejpozději 2 (dva) pracovní dny po ukončení měsíce. Pokud je při prodeji Vstupenky uplatněna Dárková poukázka nebo Kupón ve vyšší hodnotě, než je cena Vstupenky, vytvoří se ve vyúčtování</w:t>
      </w:r>
      <w:r>
        <w:t xml:space="preserve"> prodeje Vstupenek mezi Ticketprem a Provozovatelem zvláštní vyrovnávací položka "Přebytky kupón" ve výši uvedeného rozdílu, která zohlední fakt, že přebytek se zákazníkovi nevrací a při výpočtu odvodu Tržeb se Provozovateli nepřičítá k dobru.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47"/>
        </w:tabs>
        <w:ind w:left="760" w:right="640" w:hanging="360"/>
        <w:jc w:val="both"/>
      </w:pPr>
      <w:r>
        <w:t>Ticketpro vy</w:t>
      </w:r>
      <w:r>
        <w:t xml:space="preserve">staví Provozovateli doklad o vyúčtování prodeje Vstupenek, dalších doprovodných služeb a veškerých poukázek prostřednictvím svého prodejního systému (dále jen </w:t>
      </w:r>
      <w:r>
        <w:rPr>
          <w:rStyle w:val="Zkladntext2Tun"/>
        </w:rPr>
        <w:t xml:space="preserve">Doklad) </w:t>
      </w:r>
      <w:r>
        <w:t>vždy 1 (jednou) za měsíc, a to do 15. (patnáctého) dne měsíce následujícího. Finanční pro</w:t>
      </w:r>
      <w:r>
        <w:t>středky vztahující se k příslušnému kalendářnímu měsíci, které Ticketpro obdrží do data vystavení Dokladu podle ustanovení tohoto článku, budou na něm uvedeny jako „předem zaplacená záloha."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after="260"/>
        <w:ind w:left="780" w:right="620" w:hanging="340"/>
        <w:jc w:val="both"/>
      </w:pPr>
      <w:r>
        <w:t>Provozovatel je srozuměn a souhlasí s tím, že nese odpovědnost vů</w:t>
      </w:r>
      <w:r>
        <w:t xml:space="preserve">či Ticketpru za veškeré peněžní prostředky, které tvoří Tržby vybrané od zákazníků v prodejním místě Provozovatele, a to až do jejich převedení na účet Ticketpra. V případě prodlení s odvedením Tržeb Ticketpru je Provozovatel povinen platit Ticketpru úrok </w:t>
      </w:r>
      <w:r>
        <w:t>z prodlení ve výši uvedené v čl. III.7. písm. a) této Smlouvy.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after="256"/>
        <w:ind w:left="780" w:right="620" w:hanging="340"/>
        <w:jc w:val="both"/>
      </w:pPr>
      <w:r>
        <w:t>Provozovatel je srozuměn a souhlasí s tím, že pokud nepřevede Tržbu v termínu podle ustanovení čl. III.1. této Smlouvy, vyhrazuje si Ticketpro právo odpojit Zařízení Provozovatele od prodejního</w:t>
      </w:r>
      <w:r>
        <w:t xml:space="preserve"> systému Ticketpro. Ticketpro upozorní před takovým odpojením Provozovatele písemně e-mailem nebo telefonicky na nezaplacené závazky a umožní tak Provozovateli okamžitou úhradu tržby. Po odpojení Zařízení Provozovatele je jeho opětovné zapojení možné až po</w:t>
      </w:r>
      <w:r>
        <w:t xml:space="preserve"> úhradě:</w:t>
      </w:r>
    </w:p>
    <w:p w:rsidR="00963D67" w:rsidRDefault="00407887">
      <w:pPr>
        <w:pStyle w:val="Zkladntext20"/>
        <w:numPr>
          <w:ilvl w:val="0"/>
          <w:numId w:val="6"/>
        </w:numPr>
        <w:shd w:val="clear" w:color="auto" w:fill="auto"/>
        <w:tabs>
          <w:tab w:val="left" w:pos="1135"/>
        </w:tabs>
        <w:spacing w:line="221" w:lineRule="exact"/>
        <w:ind w:left="1140" w:hanging="360"/>
      </w:pPr>
      <w:r>
        <w:t>dlužné částky včetně úroku z prodlení ve výši 0,05% z dlužné částky za každý den prodlení;</w:t>
      </w:r>
    </w:p>
    <w:p w:rsidR="00963D67" w:rsidRDefault="00407887">
      <w:pPr>
        <w:pStyle w:val="Zkladntext20"/>
        <w:numPr>
          <w:ilvl w:val="0"/>
          <w:numId w:val="6"/>
        </w:numPr>
        <w:shd w:val="clear" w:color="auto" w:fill="auto"/>
        <w:tabs>
          <w:tab w:val="left" w:pos="1135"/>
        </w:tabs>
        <w:spacing w:after="254" w:line="218" w:lineRule="exact"/>
        <w:ind w:left="1140" w:hanging="360"/>
      </w:pPr>
      <w:r>
        <w:t>poplatku za zapojení podle ustanovení čl. III.8. této Smlouvy.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after="268" w:line="226" w:lineRule="exact"/>
        <w:ind w:left="780" w:right="620" w:hanging="340"/>
        <w:jc w:val="both"/>
      </w:pPr>
      <w:r>
        <w:lastRenderedPageBreak/>
        <w:t xml:space="preserve">Provozovatel je srozuměn a souhlasí s tím, že za opětovné zapojení Zařízení Provozovatele si </w:t>
      </w:r>
      <w:r>
        <w:t>Ticketpro bude účtovat poplatek ve výši 3.000 Kč bez DPH.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789"/>
        </w:tabs>
        <w:spacing w:after="260"/>
        <w:ind w:left="780" w:right="620" w:hanging="340"/>
        <w:jc w:val="both"/>
      </w:pPr>
      <w:r>
        <w:t xml:space="preserve">Provozovateli náleží provize ve výši </w:t>
      </w:r>
      <w:r>
        <w:rPr>
          <w:rStyle w:val="Zkladntext2Tun"/>
        </w:rPr>
        <w:t xml:space="preserve">10,- Kč (bez DPH) </w:t>
      </w:r>
      <w:r>
        <w:t xml:space="preserve">za každou Vstupenku na Akce, prodanou třetí osobě prostřednictvím Zařízení Provozovatele. Dále mu náleží provize ve výši </w:t>
      </w:r>
      <w:r>
        <w:rPr>
          <w:rStyle w:val="Zkladntext2Tun"/>
        </w:rPr>
        <w:t xml:space="preserve">10,- Kč (bez DPH) </w:t>
      </w:r>
      <w:r>
        <w:t>za k</w:t>
      </w:r>
      <w:r>
        <w:t xml:space="preserve">aždou Dárkovou poukázku prodanou třetí osobě prostřednictvím Zařízení Provozovatele a provize ve stejné výši za každou poukázku uvedenou v čl. II.4. písm. d) prodanou stejným způsobem. Tyto provize mu náleží pouze v případě, že bude Tržba získaná prodejem </w:t>
      </w:r>
      <w:r>
        <w:t>Vstupenek a poukázek, z nichž se provize počítá, řádně odvedena na účet Ticketpra v souladu s předchozími odstavci.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854"/>
        </w:tabs>
        <w:spacing w:after="260"/>
        <w:ind w:left="780" w:right="620" w:hanging="340"/>
        <w:jc w:val="both"/>
      </w:pPr>
      <w:r>
        <w:t xml:space="preserve">Provozovatel vystaví 1 (jednou) za kalendářní měsíc fakturu - daňový doklad na provizi podle ustanovení čl. III.9. této Smlouvy, jejíž výše </w:t>
      </w:r>
      <w:r>
        <w:t>musí být vždy v souladu s údaji uvedenými v Dokladu podle ustanovení čl. III.5. této Smlouvy.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854"/>
        </w:tabs>
        <w:spacing w:after="256"/>
        <w:ind w:left="780" w:right="620" w:hanging="340"/>
        <w:jc w:val="both"/>
      </w:pPr>
      <w:r>
        <w:t xml:space="preserve">V případě, že Ticketpro neuhradí Provozovateli vyfakturovaný finanční obnos ve lhůtě splatnosti 14 (čtrnáct) dní od data vystavení faktury, je Ticketpro povinno </w:t>
      </w:r>
      <w:r>
        <w:t>vedle zaplacení předmětné faktury zaplatit i úrok z prodlení ve výši 0,05% z dlužné částky za každý den prodlení (a to za podmínky, že je faktura Ticketpru řádně doručena). Je-li však Provozovatel v prodlení s plněním jakýchkoliv povinností vůči Ticketpru,</w:t>
      </w:r>
      <w:r>
        <w:t xml:space="preserve"> zejména platebních, není Ticketpro povinno fakturu proplatit a po dobu tohoto prodlení Provozovatele nevzniká Ticketpru ani povinnost platit uvedený úrok z prodlení.</w:t>
      </w:r>
    </w:p>
    <w:p w:rsidR="00963D67" w:rsidRDefault="00407887">
      <w:pPr>
        <w:pStyle w:val="Zkladntext20"/>
        <w:numPr>
          <w:ilvl w:val="0"/>
          <w:numId w:val="5"/>
        </w:numPr>
        <w:shd w:val="clear" w:color="auto" w:fill="auto"/>
        <w:tabs>
          <w:tab w:val="left" w:pos="858"/>
        </w:tabs>
        <w:spacing w:after="702" w:line="221" w:lineRule="exact"/>
        <w:ind w:left="780" w:right="620" w:hanging="340"/>
        <w:jc w:val="both"/>
      </w:pPr>
      <w:r>
        <w:t>Doklad uvedený v ustanovení čl. III.5. této Smlouvy bude doručen Provozovateli písemně e-</w:t>
      </w:r>
      <w:r>
        <w:t>mailem nebo poštou na e-mail nebo adresu uvedené v záhlaví této Smlouvy.</w:t>
      </w:r>
    </w:p>
    <w:p w:rsidR="00963D67" w:rsidRDefault="0040788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09"/>
        </w:tabs>
        <w:spacing w:before="0" w:after="258" w:line="218" w:lineRule="exact"/>
        <w:ind w:left="3700"/>
      </w:pPr>
      <w:bookmarkStart w:id="7" w:name="bookmark7"/>
      <w:r>
        <w:t>Další ujednání</w:t>
      </w:r>
      <w:bookmarkEnd w:id="7"/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89"/>
        </w:tabs>
        <w:spacing w:after="260" w:line="221" w:lineRule="exact"/>
        <w:ind w:left="780" w:right="620" w:hanging="340"/>
        <w:jc w:val="both"/>
      </w:pPr>
      <w:r>
        <w:t>Ticketpro si vyhrazuje veškerá sponzorská práva, která mohou být ohlášena na zadní straně Vstupenky, což znamená, že Ticketpro je výlučně oprávněno rozhodnout o umístěn</w:t>
      </w:r>
      <w:r>
        <w:t>í reklamních sdělení na zadní straně Vstupenek.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89"/>
        </w:tabs>
        <w:spacing w:after="262" w:line="221" w:lineRule="exact"/>
        <w:ind w:left="780" w:right="620" w:hanging="340"/>
        <w:jc w:val="both"/>
      </w:pPr>
      <w:r>
        <w:t xml:space="preserve">Tato Smlouva je nepřevoditelná bez souhlasu obou Smluvních stran. Dojde-li v průběhu smluvního vztahu k zániku některé ze Smluvních stran, případně k přeměně této strany v jiný právní subjekt, přecházejí </w:t>
      </w:r>
      <w:r>
        <w:t>práva a povinnosti vyplývající z této Smlouvy na právního nástupce.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89"/>
        </w:tabs>
        <w:spacing w:after="258" w:line="218" w:lineRule="exact"/>
        <w:ind w:left="780" w:hanging="340"/>
        <w:jc w:val="both"/>
      </w:pPr>
      <w:r>
        <w:t>Veškerá ujednání této Smlouvy jsou důvěrná podle § 504 občanského zákoníku.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89"/>
        </w:tabs>
        <w:spacing w:line="221" w:lineRule="exact"/>
        <w:ind w:left="780" w:right="620" w:hanging="340"/>
        <w:jc w:val="both"/>
      </w:pPr>
      <w:r>
        <w:t xml:space="preserve">Tato Smlouva nahrazuje předchozí smlouvu o umístění terminálu, která byla mezi Smluvními stranami této Smlouvy </w:t>
      </w:r>
      <w:r>
        <w:t>uzavřena ohledně prodeje Vstupenek.</w:t>
      </w:r>
      <w:r>
        <w:br w:type="page"/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46"/>
        </w:tabs>
        <w:spacing w:after="258"/>
        <w:ind w:left="760" w:right="660" w:hanging="360"/>
        <w:jc w:val="both"/>
      </w:pPr>
      <w:r>
        <w:lastRenderedPageBreak/>
        <w:t>Tato Smlouva nabývá platnosti a účinnosti dnem jejího podpisu oběma Smluvními stranami a sjednává se na dobu neurčitou s výpovědní dobou 2 (dvou) měsíců, která počíná běžet prvním dnem měsíce následujícího po doručení v</w:t>
      </w:r>
      <w:r>
        <w:t>ýpovědi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46"/>
        </w:tabs>
        <w:spacing w:line="218" w:lineRule="exact"/>
        <w:ind w:left="760" w:hanging="360"/>
      </w:pPr>
      <w:r>
        <w:t>Okamžitě ukončit účinnost této Smlouvy je možné pouze:</w:t>
      </w:r>
    </w:p>
    <w:p w:rsidR="00963D67" w:rsidRDefault="00407887">
      <w:pPr>
        <w:pStyle w:val="Zkladntext20"/>
        <w:numPr>
          <w:ilvl w:val="0"/>
          <w:numId w:val="8"/>
        </w:numPr>
        <w:shd w:val="clear" w:color="auto" w:fill="auto"/>
        <w:tabs>
          <w:tab w:val="left" w:pos="1112"/>
        </w:tabs>
        <w:spacing w:line="226" w:lineRule="exact"/>
        <w:ind w:left="1120" w:hanging="360"/>
      </w:pPr>
      <w:r>
        <w:t>dohodou Smluvních stran;</w:t>
      </w:r>
    </w:p>
    <w:p w:rsidR="00963D67" w:rsidRDefault="00407887">
      <w:pPr>
        <w:pStyle w:val="Zkladntext20"/>
        <w:numPr>
          <w:ilvl w:val="0"/>
          <w:numId w:val="8"/>
        </w:numPr>
        <w:shd w:val="clear" w:color="auto" w:fill="auto"/>
        <w:tabs>
          <w:tab w:val="left" w:pos="1112"/>
        </w:tabs>
        <w:spacing w:line="226" w:lineRule="exact"/>
        <w:ind w:left="1120" w:right="660" w:hanging="360"/>
        <w:jc w:val="both"/>
      </w:pPr>
      <w:r>
        <w:t>odstoupením Ticketpra od Smlouvy, je-li Provozovatel v prodlení s převodem Tržby podle ustanovení či. III.1. této Smlouvy na účet Ticketpro více než 10 (deset) dní a př</w:t>
      </w:r>
      <w:r>
        <w:t>evod neučiní ani po písemném upozornění Ticketprem do 5 (pěti) dnů od takového upozornění;</w:t>
      </w:r>
    </w:p>
    <w:p w:rsidR="00963D67" w:rsidRDefault="00407887">
      <w:pPr>
        <w:pStyle w:val="Zkladntext20"/>
        <w:numPr>
          <w:ilvl w:val="0"/>
          <w:numId w:val="8"/>
        </w:numPr>
        <w:shd w:val="clear" w:color="auto" w:fill="auto"/>
        <w:tabs>
          <w:tab w:val="left" w:pos="1112"/>
        </w:tabs>
        <w:spacing w:after="264" w:line="226" w:lineRule="exact"/>
        <w:ind w:left="1120" w:right="660" w:hanging="360"/>
        <w:jc w:val="both"/>
      </w:pPr>
      <w:r>
        <w:t>odstoupením Ticketpra od Smlouvy, pokud Provozovatel nebude schopen řádně provozovat a vést prodejní místo v souladu s touto Smlouvou.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46"/>
        </w:tabs>
        <w:spacing w:after="264" w:line="221" w:lineRule="exact"/>
        <w:ind w:left="760" w:right="660" w:hanging="360"/>
        <w:jc w:val="both"/>
      </w:pPr>
      <w:r>
        <w:t xml:space="preserve">Smlouva může být měněna či </w:t>
      </w:r>
      <w:r>
        <w:t>doplňována pouze písemnou formou, kde podmínkou platnosti a účinnosti těchto změn a dodatků je podpis obou Smluvních stran.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46"/>
        </w:tabs>
        <w:spacing w:after="237"/>
        <w:ind w:left="760" w:right="660" w:hanging="360"/>
        <w:jc w:val="both"/>
      </w:pPr>
      <w:r>
        <w:t>Pokud není ve Smlouvě stanoveno jinak, řídí se vzájemné vztahy Smluvních stran příslušnými ustanoveními občanského zákoníku a předpi</w:t>
      </w:r>
      <w:r>
        <w:t>sy souvisejícími.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746"/>
        </w:tabs>
        <w:spacing w:after="283" w:line="245" w:lineRule="exact"/>
        <w:ind w:left="760" w:right="660" w:hanging="360"/>
        <w:jc w:val="both"/>
      </w:pPr>
      <w:r>
        <w:t>Tato Smlouva byla vyhotovena ve 2 (dvou) originálech, z nichž 1 (jeden) originál obdrží Ticketpro a 1 (jeden) originál Provozovatel.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845"/>
        </w:tabs>
        <w:spacing w:after="258"/>
        <w:ind w:left="760" w:right="660" w:hanging="360"/>
        <w:jc w:val="both"/>
      </w:pPr>
      <w:r>
        <w:t xml:space="preserve">Tato Smlouva dnem nabytí její účinnosti nahrazuje veškeré předchozí smlouvy a ujednání Smluvních stran o </w:t>
      </w:r>
      <w:r>
        <w:t>jejím předmětu.</w:t>
      </w:r>
    </w:p>
    <w:p w:rsidR="00963D67" w:rsidRDefault="00407887">
      <w:pPr>
        <w:pStyle w:val="Zkladntext20"/>
        <w:numPr>
          <w:ilvl w:val="0"/>
          <w:numId w:val="7"/>
        </w:numPr>
        <w:shd w:val="clear" w:color="auto" w:fill="auto"/>
        <w:tabs>
          <w:tab w:val="left" w:pos="845"/>
        </w:tabs>
        <w:spacing w:after="2460" w:line="218" w:lineRule="exact"/>
        <w:ind w:left="760" w:hanging="360"/>
        <w:jc w:val="both"/>
      </w:pPr>
      <w:r>
        <w:t>Změny Provozoven uvedených v Příloze č. 1 se budou dít formou dodatku k této Smlouvy.</w:t>
      </w:r>
    </w:p>
    <w:p w:rsidR="00963D67" w:rsidRDefault="00407887">
      <w:pPr>
        <w:pStyle w:val="Zkladntext20"/>
        <w:shd w:val="clear" w:color="auto" w:fill="auto"/>
        <w:spacing w:line="218" w:lineRule="exact"/>
        <w:ind w:left="508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-114pt;width:383.05pt;height:139.9pt;z-index:-251658752;mso-wrap-distance-left:5pt;mso-wrap-distance-right:5pt;mso-wrap-distance-bottom:20pt;mso-position-horizontal-relative:margin" wrapcoords="0 0 21600 0 21600 21600 0 21600 0 0">
            <v:imagedata r:id="rId10" o:title="image1"/>
            <w10:wrap type="square" anchorx="margin"/>
          </v:shape>
        </w:pict>
      </w:r>
      <w:r>
        <w:t>Za Provozovatele</w:t>
      </w:r>
    </w:p>
    <w:p w:rsidR="00963D67" w:rsidRDefault="00407887">
      <w:pPr>
        <w:pStyle w:val="Zkladntext20"/>
        <w:shd w:val="clear" w:color="auto" w:fill="auto"/>
        <w:spacing w:line="218" w:lineRule="exact"/>
        <w:ind w:firstLine="0"/>
      </w:pPr>
      <w:r>
        <w:t>Mgr. Marina Vančato</w:t>
      </w:r>
      <w:bookmarkStart w:id="8" w:name="_GoBack"/>
      <w:bookmarkEnd w:id="8"/>
      <w:r>
        <w:t>vá, Ph.D., ředitelka</w:t>
      </w:r>
    </w:p>
    <w:sectPr w:rsidR="00963D67">
      <w:footerReference w:type="default" r:id="rId11"/>
      <w:pgSz w:w="11900" w:h="16840"/>
      <w:pgMar w:top="1267" w:right="817" w:bottom="865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87" w:rsidRDefault="00407887">
      <w:r>
        <w:separator/>
      </w:r>
    </w:p>
  </w:endnote>
  <w:endnote w:type="continuationSeparator" w:id="0">
    <w:p w:rsidR="00407887" w:rsidRDefault="0040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67" w:rsidRDefault="00407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15pt;margin-top:803pt;width:47.05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3D67" w:rsidRDefault="0040788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5769E" w:rsidRPr="0015769E">
                  <w:rPr>
                    <w:rStyle w:val="ZhlavneboZpat1"/>
                    <w:noProof/>
                  </w:rPr>
                  <w:t>6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ze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87" w:rsidRDefault="00407887"/>
  </w:footnote>
  <w:footnote w:type="continuationSeparator" w:id="0">
    <w:p w:rsidR="00407887" w:rsidRDefault="004078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D62"/>
    <w:multiLevelType w:val="multilevel"/>
    <w:tmpl w:val="DF50C22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33355"/>
    <w:multiLevelType w:val="multilevel"/>
    <w:tmpl w:val="0866951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B42C1"/>
    <w:multiLevelType w:val="multilevel"/>
    <w:tmpl w:val="6C9863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D3794"/>
    <w:multiLevelType w:val="multilevel"/>
    <w:tmpl w:val="B58E78B4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55201"/>
    <w:multiLevelType w:val="multilevel"/>
    <w:tmpl w:val="757805B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3164E"/>
    <w:multiLevelType w:val="multilevel"/>
    <w:tmpl w:val="BFE4300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F259EE"/>
    <w:multiLevelType w:val="multilevel"/>
    <w:tmpl w:val="758AB78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245FFF"/>
    <w:multiLevelType w:val="multilevel"/>
    <w:tmpl w:val="F680102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3D67"/>
    <w:rsid w:val="0015769E"/>
    <w:rsid w:val="00407887"/>
    <w:rsid w:val="009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057697-1213-4CFB-8AF6-2F655090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92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7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20" w:line="216" w:lineRule="exact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exact"/>
      <w:ind w:hanging="380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@ticketpr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deini.sit@ticketpr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egion@ipardub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2789</Words>
  <Characters>16461</Characters>
  <Application>Microsoft Office Word</Application>
  <DocSecurity>0</DocSecurity>
  <Lines>137</Lines>
  <Paragraphs>38</Paragraphs>
  <ScaleCrop>false</ScaleCrop>
  <Company>Hewlett-Packard Company</Company>
  <LinksUpToDate>false</LinksUpToDate>
  <CharactersWithSpaces>19212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2018-03-23T07:55:00Z</dcterms:created>
  <dcterms:modified xsi:type="dcterms:W3CDTF">2018-03-23T07:55:00Z</dcterms:modified>
</cp:coreProperties>
</file>