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C1" w:rsidRDefault="00F44638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5.5pt;width:55.45pt;height:30.75pt;z-index:251657728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1" w:name="bookmark0"/>
                  <w:proofErr w:type="spellStart"/>
                  <w:r>
                    <w:rPr>
                      <w:rStyle w:val="Nadpis1Exact0"/>
                      <w:b/>
                      <w:bCs/>
                    </w:rPr>
                    <w:t>iTREAM</w:t>
                  </w:r>
                  <w:bookmarkEnd w:id="1"/>
                  <w:proofErr w:type="spellEnd"/>
                </w:p>
                <w:p w:rsidR="006979C1" w:rsidRDefault="00F44638">
                  <w:pPr>
                    <w:pStyle w:val="Zkladntext3"/>
                    <w:shd w:val="clear" w:color="auto" w:fill="auto"/>
                    <w:ind w:left="140"/>
                  </w:pPr>
                  <w:r>
                    <w:t>+420 224 263 049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8.25pt;margin-top:.1pt;width:173.3pt;height:26.4pt;z-index:251657729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Zkladntext4"/>
                    <w:shd w:val="clear" w:color="auto" w:fill="auto"/>
                    <w:spacing w:line="670" w:lineRule="atLeast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t>Nezamyslova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47ptExact"/>
                    </w:rPr>
                    <w:t>726</w:t>
                  </w:r>
                  <w:r>
                    <w:t>/</w:t>
                  </w:r>
                  <w:r>
                    <w:rPr>
                      <w:rStyle w:val="Zkladntext47ptExact"/>
                    </w:rPr>
                    <w:t>5</w:t>
                  </w:r>
                  <w:r>
                    <w:t xml:space="preserve">, I Tel.: </w:t>
                  </w:r>
                  <w:r>
                    <w:rPr>
                      <w:rStyle w:val="Zkladntext47ptExact"/>
                    </w:rPr>
                    <w:t>+420</w:t>
                  </w:r>
                  <w:r>
                    <w:t xml:space="preserve"> </w:t>
                  </w:r>
                  <w:r>
                    <w:rPr>
                      <w:rStyle w:val="Zkladntext47ptExact"/>
                    </w:rPr>
                    <w:t>224</w:t>
                  </w:r>
                  <w:r>
                    <w:t xml:space="preserve"> </w:t>
                  </w:r>
                  <w:r>
                    <w:rPr>
                      <w:rStyle w:val="Zkladntext47ptExact"/>
                    </w:rPr>
                    <w:t>263</w:t>
                  </w:r>
                  <w:r>
                    <w:t xml:space="preserve"> </w:t>
                  </w:r>
                  <w:r>
                    <w:rPr>
                      <w:rStyle w:val="Zkladntext47ptExact"/>
                    </w:rPr>
                    <w:t>040</w:t>
                  </w:r>
                </w:p>
                <w:p w:rsidR="006979C1" w:rsidRDefault="00F44638">
                  <w:pPr>
                    <w:pStyle w:val="Zkladntext3"/>
                    <w:shd w:val="clear" w:color="auto" w:fill="auto"/>
                    <w:ind w:left="180"/>
                  </w:pPr>
                  <w:r>
                    <w:t>17K 00,1’r^hij 2 I írtdriniíítickHtstreHiTi.cz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66.7pt;margin-top:72.25pt;width:470.15pt;height:52.3pt;z-index:251657730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Nadpis2"/>
                    <w:keepNext/>
                    <w:keepLines/>
                    <w:shd w:val="clear" w:color="auto" w:fill="auto"/>
                    <w:spacing w:after="478"/>
                    <w:ind w:left="320"/>
                  </w:pPr>
                  <w:bookmarkStart w:id="2" w:name="bookmark1"/>
                  <w:r>
                    <w:t>SMLOUVA O SPOLUPRÁCI PŘI DISTRIBUCI VSTUPENEK č. 880</w:t>
                  </w:r>
                  <w:r>
                    <w:rPr>
                      <w:rStyle w:val="Nadpis2ArialNarrow11ptNetunKurzvaExact"/>
                    </w:rPr>
                    <w:t>OOty</w:t>
                  </w:r>
                  <w:bookmarkEnd w:id="2"/>
                </w:p>
                <w:p w:rsidR="006979C1" w:rsidRDefault="00F44638">
                  <w:pPr>
                    <w:pStyle w:val="Zkladntext5"/>
                    <w:shd w:val="clear" w:color="auto" w:fill="auto"/>
                    <w:spacing w:before="0"/>
                  </w:pPr>
                  <w:r>
                    <w:t xml:space="preserve">uzavřená dle § 1746 </w:t>
                  </w:r>
                  <w:proofErr w:type="gramStart"/>
                  <w:r>
                    <w:t>odst.2 zákona</w:t>
                  </w:r>
                  <w:proofErr w:type="gramEnd"/>
                  <w:r>
                    <w:t xml:space="preserve"> 6. 89/2012 Sb., občanského zákoníku, </w:t>
                  </w:r>
                  <w:r>
                    <w:t>mezi těmito smluvními stranami: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6pt;margin-top:138.5pt;width:78.25pt;height:100.1pt;z-index:251657731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Společnost: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 Číslo účtu Registrace Zastoupena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5.75pt;margin-top:296.15pt;width:78.25pt;height:99.6pt;z-index:251657732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Společnost: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</w:t>
                  </w:r>
                </w:p>
                <w:p w:rsidR="006979C1" w:rsidRDefault="00F44638">
                  <w:pPr>
                    <w:pStyle w:val="Zkladntext6"/>
                    <w:shd w:val="clear" w:color="auto" w:fill="auto"/>
                  </w:pPr>
                  <w:r>
                    <w:t>IČ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 Číslo účtu Registrace Zastoupena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68.5pt;margin-top:138.5pt;width:174pt;height:99.8pt;z-index:251657733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Nadpis30"/>
                    <w:keepNext/>
                    <w:keepLines/>
                    <w:shd w:val="clear" w:color="auto" w:fill="auto"/>
                  </w:pPr>
                  <w:bookmarkStart w:id="3" w:name="bookmark2"/>
                  <w:r>
                    <w:rPr>
                      <w:rStyle w:val="Nadpis3Exact"/>
                      <w:b/>
                      <w:bCs/>
                    </w:rPr>
                    <w:t>TICKETSTREAM s.r.o.</w:t>
                  </w:r>
                  <w:bookmarkEnd w:id="3"/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Oldřichova 254/15, 128 00 Praha 2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26695944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CZ26695944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FIO banka a.s.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2900994097/2010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Městský soud v Praze, vložka C 87942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12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Viktorem </w:t>
                  </w:r>
                  <w:proofErr w:type="spellStart"/>
                  <w:r>
                    <w:rPr>
                      <w:rStyle w:val="Zkladntext2Exact"/>
                    </w:rPr>
                    <w:t>Mastpíkem</w:t>
                  </w:r>
                  <w:proofErr w:type="spellEnd"/>
                  <w:r>
                    <w:rPr>
                      <w:rStyle w:val="Zkladntext2Exact"/>
                    </w:rPr>
                    <w:t>, jednatelem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8.15pt;margin-top:246.8pt;width:239.3pt;height:27.85pt;z-index:251657734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Calibri10ptNetunExact"/>
                    </w:rPr>
                    <w:t xml:space="preserve">(dále jen </w:t>
                  </w:r>
                  <w:r>
                    <w:t xml:space="preserve">„prodejní síť") </w:t>
                  </w:r>
                  <w:r>
                    <w:rPr>
                      <w:rStyle w:val="Zkladntext7Calibri10ptNetun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8.25pt;margin-top:295.7pt;width:315.1pt;height:99.6pt;z-index:251657735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Nadpis30"/>
                    <w:keepNext/>
                    <w:keepLines/>
                    <w:shd w:val="clear" w:color="auto" w:fill="auto"/>
                  </w:pPr>
                  <w:bookmarkStart w:id="4" w:name="bookmark3"/>
                  <w:r>
                    <w:rPr>
                      <w:rStyle w:val="Nadpis3Exact"/>
                      <w:b/>
                      <w:bCs/>
                    </w:rPr>
                    <w:t>Turistické Informační centrum Pardubice, příspěvková organizace</w:t>
                  </w:r>
                  <w:bookmarkEnd w:id="4"/>
                </w:p>
                <w:p w:rsidR="006979C1" w:rsidRDefault="00F44638">
                  <w:pPr>
                    <w:pStyle w:val="Zkladntext8"/>
                    <w:shd w:val="clear" w:color="auto" w:fill="auto"/>
                  </w:pPr>
                  <w:r>
                    <w:t>Náměstí Republiky 1, Pardubice 53002</w:t>
                  </w:r>
                </w:p>
                <w:p w:rsidR="006979C1" w:rsidRDefault="00F44638">
                  <w:pPr>
                    <w:pStyle w:val="Zkladntext8"/>
                    <w:shd w:val="clear" w:color="auto" w:fill="auto"/>
                    <w:spacing w:after="240"/>
                  </w:pPr>
                  <w:r>
                    <w:t>06495001</w:t>
                  </w:r>
                </w:p>
                <w:p w:rsidR="006979C1" w:rsidRDefault="00F44638">
                  <w:pPr>
                    <w:pStyle w:val="Nadpis30"/>
                    <w:keepNext/>
                    <w:keepLines/>
                    <w:shd w:val="clear" w:color="auto" w:fill="auto"/>
                  </w:pPr>
                  <w:bookmarkStart w:id="5" w:name="bookmark4"/>
                  <w:r>
                    <w:rPr>
                      <w:rStyle w:val="Nadpis3Exact"/>
                      <w:b/>
                      <w:bCs/>
                    </w:rPr>
                    <w:t>Komerční banka, a.s.</w:t>
                  </w:r>
                  <w:bookmarkEnd w:id="5"/>
                </w:p>
                <w:p w:rsidR="006979C1" w:rsidRDefault="00F44638">
                  <w:pPr>
                    <w:pStyle w:val="Zkladntext8"/>
                    <w:shd w:val="clear" w:color="auto" w:fill="auto"/>
                  </w:pPr>
                  <w:r>
                    <w:t>115-5858100267/0100</w:t>
                  </w:r>
                </w:p>
                <w:p w:rsidR="006979C1" w:rsidRDefault="00F44638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Městský </w:t>
                  </w:r>
                  <w:proofErr w:type="gramStart"/>
                  <w:r>
                    <w:rPr>
                      <w:rStyle w:val="Zkladntext2Exact"/>
                    </w:rPr>
                    <w:t>soud ....</w:t>
                  </w:r>
                  <w:proofErr w:type="gramEnd"/>
                </w:p>
                <w:p w:rsidR="006979C1" w:rsidRDefault="00F44638">
                  <w:pPr>
                    <w:pStyle w:val="Zkladntext8"/>
                    <w:shd w:val="clear" w:color="auto" w:fill="auto"/>
                    <w:spacing w:line="212" w:lineRule="exact"/>
                  </w:pPr>
                  <w:r>
                    <w:t xml:space="preserve">Mgr. Marina </w:t>
                  </w:r>
                  <w:proofErr w:type="spellStart"/>
                  <w:r>
                    <w:t>Vančatová</w:t>
                  </w:r>
                  <w:proofErr w:type="spellEnd"/>
                  <w:r>
                    <w:t>, Ph.D., ředitelka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9.5pt;margin-top:410pt;width:67.45pt;height:15.05pt;z-index:251657736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Zkladntext9"/>
                    <w:shd w:val="clear" w:color="auto" w:fill="auto"/>
                  </w:pPr>
                  <w:r>
                    <w:t>(dále jen „POS")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5.5pt;margin-top:449.5pt;width:455.5pt;height:233.05pt;z-index:251657737;mso-wrap-distance-left:5pt;mso-wrap-distance-right:5pt;mso-position-horizontal-relative:margin" filled="f" stroked="f">
            <v:textbox style="mso-fit-shape-to-text:t" inset="0,0,0,0">
              <w:txbxContent>
                <w:p w:rsidR="006979C1" w:rsidRDefault="00F44638">
                  <w:pPr>
                    <w:pStyle w:val="Nadpis30"/>
                    <w:keepNext/>
                    <w:keepLines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788"/>
                    </w:tabs>
                    <w:spacing w:line="230" w:lineRule="exact"/>
                    <w:ind w:left="3620"/>
                  </w:pPr>
                  <w:bookmarkStart w:id="6" w:name="bookmark5"/>
                  <w:r>
                    <w:rPr>
                      <w:rStyle w:val="Nadpis3Exact"/>
                      <w:b/>
                      <w:bCs/>
                    </w:rPr>
                    <w:t>Úvodní ustanovení</w:t>
                  </w:r>
                  <w:bookmarkEnd w:id="6"/>
                </w:p>
                <w:p w:rsidR="006979C1" w:rsidRDefault="00F44638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50"/>
                    </w:tabs>
                    <w:spacing w:line="230" w:lineRule="exact"/>
                    <w:ind w:left="380" w:hanging="380"/>
                    <w:jc w:val="both"/>
                  </w:pPr>
                  <w:r>
                    <w:rPr>
                      <w:rStyle w:val="Zkladntext2TunExact"/>
                    </w:rPr>
                    <w:t xml:space="preserve">Prodejní síť </w:t>
                  </w:r>
                  <w:r>
                    <w:rPr>
                      <w:rStyle w:val="Zkladntext2Exact"/>
                    </w:rPr>
                    <w:t xml:space="preserve">provozuje elektronický systém rezervace a prodeje vstupenek, voucherů, poukázek a jiných náhrad </w:t>
                  </w:r>
                  <w:r>
                    <w:rPr>
                      <w:rStyle w:val="Zkladntext2Exact"/>
                    </w:rPr>
                    <w:t xml:space="preserve">vstupenek na kulturní, sportovní a jiné akce, pod obchodními značkami </w:t>
                  </w:r>
                  <w:proofErr w:type="spellStart"/>
                  <w:r>
                    <w:rPr>
                      <w:rStyle w:val="Zkladntext2Exact"/>
                    </w:rPr>
                    <w:t>ticketstream</w:t>
                  </w:r>
                  <w:proofErr w:type="spellEnd"/>
                  <w:r>
                    <w:rPr>
                      <w:rStyle w:val="Zkladntext2Exact"/>
                    </w:rPr>
                    <w:t xml:space="preserve">, TS </w:t>
                  </w:r>
                  <w:proofErr w:type="spellStart"/>
                  <w:r>
                    <w:rPr>
                      <w:rStyle w:val="Zkladntext2Exact"/>
                    </w:rPr>
                    <w:t>Booker</w:t>
                  </w:r>
                  <w:proofErr w:type="spellEnd"/>
                  <w:r>
                    <w:rPr>
                      <w:rStyle w:val="Zkladntext2Exact"/>
                    </w:rPr>
                    <w:t xml:space="preserve"> a dalšími.</w:t>
                  </w:r>
                </w:p>
                <w:p w:rsidR="006979C1" w:rsidRDefault="00F44638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60"/>
                    </w:tabs>
                    <w:spacing w:after="205" w:line="212" w:lineRule="exact"/>
                    <w:ind w:left="380" w:hanging="380"/>
                    <w:jc w:val="both"/>
                  </w:pPr>
                  <w:r>
                    <w:rPr>
                      <w:rStyle w:val="Zkladntext2TunExact"/>
                    </w:rPr>
                    <w:t xml:space="preserve">POS </w:t>
                  </w:r>
                  <w:r>
                    <w:rPr>
                      <w:rStyle w:val="Zkladntext2Exact"/>
                    </w:rPr>
                    <w:t>je podnikatelem s oprávněním k provozování činnosti dle této smlouvy, (příloha č. 5)</w:t>
                  </w:r>
                </w:p>
                <w:p w:rsidR="006979C1" w:rsidRDefault="00F44638">
                  <w:pPr>
                    <w:pStyle w:val="Nadpis30"/>
                    <w:keepNext/>
                    <w:keepLines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836"/>
                    </w:tabs>
                    <w:spacing w:line="230" w:lineRule="exact"/>
                    <w:ind w:left="3620"/>
                  </w:pPr>
                  <w:bookmarkStart w:id="7" w:name="bookmark6"/>
                  <w:r>
                    <w:rPr>
                      <w:rStyle w:val="Nadpis3Exact"/>
                      <w:b/>
                      <w:bCs/>
                    </w:rPr>
                    <w:t>Předmět smlouvy</w:t>
                  </w:r>
                  <w:bookmarkEnd w:id="7"/>
                </w:p>
                <w:p w:rsidR="006979C1" w:rsidRDefault="00F44638">
                  <w:pPr>
                    <w:pStyle w:val="Zkladntext20"/>
                    <w:shd w:val="clear" w:color="auto" w:fill="auto"/>
                    <w:spacing w:after="216" w:line="230" w:lineRule="exact"/>
                    <w:ind w:left="380" w:hanging="380"/>
                    <w:jc w:val="both"/>
                  </w:pPr>
                  <w:r>
                    <w:rPr>
                      <w:rStyle w:val="Zkladntext2Exact"/>
                    </w:rPr>
                    <w:t>1. Předmětem smlouvy je závazek smluvních stra</w:t>
                  </w:r>
                  <w:r>
                    <w:rPr>
                      <w:rStyle w:val="Zkladntext2Exact"/>
                    </w:rPr>
                    <w:t>n spolupracovat při prodeji vstupenek na akce, a to za podmínek blíže stanovených touto smlouvou a Všeobecnými obchodními podmínkami, (příloha číslo 2)</w:t>
                  </w:r>
                </w:p>
                <w:p w:rsidR="006979C1" w:rsidRDefault="00F44638">
                  <w:pPr>
                    <w:pStyle w:val="Nadpis30"/>
                    <w:keepNext/>
                    <w:keepLines/>
                    <w:shd w:val="clear" w:color="auto" w:fill="auto"/>
                    <w:spacing w:line="235" w:lineRule="exact"/>
                    <w:ind w:right="20"/>
                    <w:jc w:val="center"/>
                  </w:pPr>
                  <w:bookmarkStart w:id="8" w:name="bookmark7"/>
                  <w:r>
                    <w:rPr>
                      <w:rStyle w:val="Nadpis3Exact"/>
                      <w:b/>
                      <w:bCs/>
                    </w:rPr>
                    <w:t>III. Místo plnění</w:t>
                  </w:r>
                  <w:bookmarkEnd w:id="8"/>
                </w:p>
                <w:p w:rsidR="006979C1" w:rsidRDefault="00F44638">
                  <w:pPr>
                    <w:pStyle w:val="Zkladntext20"/>
                    <w:shd w:val="clear" w:color="auto" w:fill="auto"/>
                    <w:spacing w:after="239" w:line="235" w:lineRule="exact"/>
                    <w:ind w:left="380" w:hanging="380"/>
                    <w:jc w:val="both"/>
                  </w:pPr>
                  <w:r>
                    <w:rPr>
                      <w:rStyle w:val="Zkladntext2TunExact"/>
                    </w:rPr>
                    <w:t xml:space="preserve">1. POS </w:t>
                  </w:r>
                  <w:r>
                    <w:rPr>
                      <w:rStyle w:val="Zkladntext2Exact"/>
                    </w:rPr>
                    <w:t xml:space="preserve">se zavazuje vykonávat činnost dle této smlouvy v prodejním místě (místech), </w:t>
                  </w:r>
                  <w:r>
                    <w:rPr>
                      <w:rStyle w:val="Zkladntext2Exact"/>
                    </w:rPr>
                    <w:t>které jsou uvedeny v příloze č. 4 - Kontaktní údaje POS.</w:t>
                  </w:r>
                </w:p>
                <w:p w:rsidR="006979C1" w:rsidRDefault="00F44638">
                  <w:pPr>
                    <w:pStyle w:val="Nadpis30"/>
                    <w:keepNext/>
                    <w:keepLines/>
                    <w:shd w:val="clear" w:color="auto" w:fill="auto"/>
                    <w:spacing w:line="212" w:lineRule="exact"/>
                    <w:ind w:right="20"/>
                    <w:jc w:val="center"/>
                  </w:pPr>
                  <w:bookmarkStart w:id="9" w:name="bookmark8"/>
                  <w:r>
                    <w:rPr>
                      <w:rStyle w:val="Nadpis3Exact"/>
                      <w:b/>
                      <w:bCs/>
                    </w:rPr>
                    <w:t>IV. Doba trvání smlouvy</w:t>
                  </w:r>
                  <w:bookmarkEnd w:id="9"/>
                </w:p>
                <w:p w:rsidR="006979C1" w:rsidRDefault="00F44638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36"/>
                    </w:tabs>
                    <w:spacing w:after="205" w:line="212" w:lineRule="exact"/>
                    <w:ind w:left="380" w:hanging="380"/>
                    <w:jc w:val="both"/>
                  </w:pPr>
                  <w:r>
                    <w:rPr>
                      <w:rStyle w:val="Zkladntext2Exact"/>
                    </w:rPr>
                    <w:t>Tato smlouva se uzavírá na dobu neurčitou.</w:t>
                  </w:r>
                </w:p>
                <w:p w:rsidR="006979C1" w:rsidRDefault="00F44638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60"/>
                    </w:tabs>
                    <w:spacing w:line="230" w:lineRule="exact"/>
                    <w:ind w:left="380" w:hanging="380"/>
                    <w:jc w:val="both"/>
                  </w:pPr>
                  <w:r>
                    <w:rPr>
                      <w:rStyle w:val="Zkladntext2Exact"/>
                    </w:rPr>
                    <w:t>Smlouvu lze ukončit písemnou výpovědí s výpovědní dobou 2 měsíců, která počíná běžet prvním dnem následujícího kalendářního měsíce p</w:t>
                  </w:r>
                  <w:r>
                    <w:rPr>
                      <w:rStyle w:val="Zkladntext2Exact"/>
                    </w:rPr>
                    <w:t>o doručení výpovědi druhé smluvní straně.</w:t>
                  </w:r>
                </w:p>
              </w:txbxContent>
            </v:textbox>
            <w10:wrap anchorx="margin"/>
          </v:shape>
        </w:pict>
      </w: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360" w:lineRule="exact"/>
      </w:pPr>
    </w:p>
    <w:p w:rsidR="006979C1" w:rsidRDefault="006979C1">
      <w:pPr>
        <w:spacing w:line="593" w:lineRule="exact"/>
      </w:pPr>
    </w:p>
    <w:p w:rsidR="006979C1" w:rsidRDefault="006979C1">
      <w:pPr>
        <w:rPr>
          <w:sz w:val="2"/>
          <w:szCs w:val="2"/>
        </w:rPr>
        <w:sectPr w:rsidR="006979C1">
          <w:headerReference w:type="default" r:id="rId7"/>
          <w:type w:val="continuous"/>
          <w:pgSz w:w="11900" w:h="16840"/>
          <w:pgMar w:top="604" w:right="1119" w:bottom="604" w:left="43" w:header="0" w:footer="3" w:gutter="0"/>
          <w:cols w:space="720"/>
          <w:noEndnote/>
          <w:docGrid w:linePitch="360"/>
        </w:sectPr>
      </w:pPr>
    </w:p>
    <w:p w:rsidR="006979C1" w:rsidRDefault="00F44638">
      <w:pPr>
        <w:pStyle w:val="Zkladntext100"/>
        <w:keepNext/>
        <w:framePr w:dropCap="drop" w:lines="3" w:hSpace="53" w:vSpace="53" w:wrap="auto" w:vAnchor="text" w:hAnchor="text"/>
        <w:shd w:val="clear" w:color="auto" w:fill="auto"/>
        <w:spacing w:line="479" w:lineRule="exact"/>
      </w:pPr>
      <w:r>
        <w:rPr>
          <w:rStyle w:val="Zkladntext1065pt"/>
          <w:position w:val="-10"/>
          <w:sz w:val="68"/>
          <w:szCs w:val="68"/>
        </w:rPr>
        <w:lastRenderedPageBreak/>
        <w:t>I</w:t>
      </w:r>
    </w:p>
    <w:p w:rsidR="006979C1" w:rsidRDefault="00F44638">
      <w:pPr>
        <w:pStyle w:val="Zkladntext100"/>
        <w:shd w:val="clear" w:color="auto" w:fill="auto"/>
        <w:spacing w:after="917"/>
        <w:ind w:left="5140" w:right="600"/>
      </w:pPr>
      <w:r>
        <w:rPr>
          <w:rStyle w:val="Zkladntext1065pt"/>
        </w:rPr>
        <w:t xml:space="preserve">TICKfclSfRKAM </w:t>
      </w:r>
      <w:proofErr w:type="spellStart"/>
      <w:r>
        <w:t>vr.i</w:t>
      </w:r>
      <w:proofErr w:type="spellEnd"/>
      <w:r>
        <w:t xml:space="preserve">&gt;. </w:t>
      </w:r>
      <w:r>
        <w:rPr>
          <w:rStyle w:val="Zkladntext1065pt"/>
        </w:rPr>
        <w:t xml:space="preserve">| </w:t>
      </w:r>
      <w:proofErr w:type="spellStart"/>
      <w:r>
        <w:rPr>
          <w:rStyle w:val="Zkladntext1065pt"/>
        </w:rPr>
        <w:t>ló</w:t>
      </w:r>
      <w:proofErr w:type="spellEnd"/>
      <w:r>
        <w:rPr>
          <w:rStyle w:val="Zkladntext1065pt"/>
        </w:rPr>
        <w:t xml:space="preserve"> </w:t>
      </w:r>
      <w:r>
        <w:t xml:space="preserve">2&lt;iM5‘M4 </w:t>
      </w:r>
      <w:proofErr w:type="spellStart"/>
      <w:r>
        <w:t>Ncziímyslova</w:t>
      </w:r>
      <w:proofErr w:type="spellEnd"/>
      <w:r>
        <w:t xml:space="preserve"> 726/5, I Tel.: </w:t>
      </w:r>
      <w:r>
        <w:t xml:space="preserve">+420 224 263 049 178 00, Praha 2 I </w:t>
      </w:r>
      <w:proofErr w:type="spellStart"/>
      <w:r>
        <w:t>íaijHnflffitíckHtstrpHm.i</w:t>
      </w:r>
      <w:proofErr w:type="spellEnd"/>
      <w:r>
        <w:t>./</w:t>
      </w:r>
    </w:p>
    <w:p w:rsidR="006979C1" w:rsidRDefault="00F44638">
      <w:pPr>
        <w:pStyle w:val="Zkladntext20"/>
        <w:numPr>
          <w:ilvl w:val="0"/>
          <w:numId w:val="4"/>
        </w:numPr>
        <w:shd w:val="clear" w:color="auto" w:fill="auto"/>
        <w:tabs>
          <w:tab w:val="left" w:pos="367"/>
        </w:tabs>
        <w:spacing w:after="240" w:line="226" w:lineRule="exact"/>
        <w:ind w:left="440"/>
        <w:jc w:val="both"/>
      </w:pPr>
      <w:r>
        <w:t>Od smlouvy lze odstoupit v případě jejího podstatného porušení druhou smluvní stranou. Podstatným porušením se rozumí zejm.: neoprávněný zásah do systému, poškození dobrého jména klienta, poruš</w:t>
      </w:r>
      <w:r>
        <w:t xml:space="preserve">ení obchodního tajemství, prodlení s úhradou jakékoli platby dle smlouvy o více než 15 dnů, nezaslání daňového, popř. účetního dokladu na provizi. Důvodem pro </w:t>
      </w:r>
      <w:proofErr w:type="gramStart"/>
      <w:r>
        <w:t>odstoupeni</w:t>
      </w:r>
      <w:proofErr w:type="gramEnd"/>
      <w:r>
        <w:t xml:space="preserve"> od smlouvy je též ztráta podnikatelského oprávnění druhé smluvní strany, její úpadek, </w:t>
      </w:r>
      <w:r>
        <w:t>prohlášení konkursu nebo vstup do likvidace. Odstoupení od smlouvy je účinné dnem doručení písemného odstoupení druhé smluvní straně. Odstoupením od smlouvy nejsou dotčena práva na náhradu škody odstupující smluvní strany.</w:t>
      </w:r>
    </w:p>
    <w:p w:rsidR="006979C1" w:rsidRDefault="00F44638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4248"/>
        </w:tabs>
        <w:spacing w:line="226" w:lineRule="exact"/>
        <w:ind w:left="3940"/>
      </w:pPr>
      <w:bookmarkStart w:id="10" w:name="bookmark9"/>
      <w:r>
        <w:t>Cena plnění</w:t>
      </w:r>
      <w:bookmarkEnd w:id="10"/>
    </w:p>
    <w:p w:rsidR="006979C1" w:rsidRDefault="00F44638">
      <w:pPr>
        <w:pStyle w:val="Zkladntext20"/>
        <w:numPr>
          <w:ilvl w:val="0"/>
          <w:numId w:val="6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t xml:space="preserve">Odměna </w:t>
      </w:r>
      <w:r>
        <w:rPr>
          <w:rStyle w:val="Zkladntext2Tun"/>
        </w:rPr>
        <w:t xml:space="preserve">POS </w:t>
      </w:r>
      <w:r>
        <w:t xml:space="preserve">včetně jeho nákladů je zahrnuta v ceně vstupenky. Výše odměny </w:t>
      </w:r>
      <w:r>
        <w:rPr>
          <w:rStyle w:val="Zkladntext2Tun"/>
        </w:rPr>
        <w:t xml:space="preserve">POS </w:t>
      </w:r>
      <w:r>
        <w:t xml:space="preserve">se liší u každé jednotlivé akce a činí obvykle 40% z celkové odměny </w:t>
      </w:r>
      <w:r>
        <w:rPr>
          <w:rStyle w:val="Zkladntext2Tun"/>
        </w:rPr>
        <w:t xml:space="preserve">prodejní sítě, </w:t>
      </w:r>
      <w:r>
        <w:t>pokud není stanoveno jinak. Odměna je vždy včetně případné DPH.</w:t>
      </w:r>
    </w:p>
    <w:p w:rsidR="006979C1" w:rsidRDefault="00F44638">
      <w:pPr>
        <w:pStyle w:val="Zkladntext20"/>
        <w:numPr>
          <w:ilvl w:val="0"/>
          <w:numId w:val="6"/>
        </w:numPr>
        <w:shd w:val="clear" w:color="auto" w:fill="auto"/>
        <w:tabs>
          <w:tab w:val="left" w:pos="367"/>
        </w:tabs>
        <w:spacing w:after="240" w:line="226" w:lineRule="exact"/>
        <w:ind w:left="440"/>
        <w:jc w:val="both"/>
      </w:pPr>
      <w:r>
        <w:t xml:space="preserve">POS nevzniká vůči </w:t>
      </w:r>
      <w:r>
        <w:rPr>
          <w:rStyle w:val="Zkladntext2Tun"/>
        </w:rPr>
        <w:t xml:space="preserve">prodejní síti </w:t>
      </w:r>
      <w:r>
        <w:t>nárok na úh</w:t>
      </w:r>
      <w:r>
        <w:t xml:space="preserve">radu nákladů vzniklých v souvislosti </w:t>
      </w:r>
      <w:proofErr w:type="spellStart"/>
      <w:r>
        <w:t>sjeho</w:t>
      </w:r>
      <w:proofErr w:type="spellEnd"/>
      <w:r>
        <w:t xml:space="preserve"> činností dle této smlouvy ani na žádné další plnění.</w:t>
      </w:r>
    </w:p>
    <w:p w:rsidR="006979C1" w:rsidRDefault="00F44638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4080"/>
        </w:tabs>
        <w:spacing w:line="226" w:lineRule="exact"/>
        <w:ind w:left="3700"/>
      </w:pPr>
      <w:bookmarkStart w:id="11" w:name="bookmark10"/>
      <w:r>
        <w:t>Způsob prodeje</w:t>
      </w:r>
      <w:bookmarkEnd w:id="11"/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rPr>
          <w:rStyle w:val="Zkladntext2Tun"/>
        </w:rPr>
        <w:t xml:space="preserve">POS </w:t>
      </w:r>
      <w:r>
        <w:t xml:space="preserve">je povinno složit na výše uvedený účet </w:t>
      </w:r>
      <w:r>
        <w:rPr>
          <w:rStyle w:val="Zkladntext2Tun"/>
        </w:rPr>
        <w:t xml:space="preserve">prodejní sítě </w:t>
      </w:r>
      <w:r>
        <w:t xml:space="preserve">kauci na prodej vstupenek v minimální výši 3.000,- Kč. Tuto zaplacenou částku je si </w:t>
      </w:r>
      <w:r>
        <w:rPr>
          <w:rStyle w:val="Zkladntext2Tun"/>
        </w:rPr>
        <w:t xml:space="preserve">POS </w:t>
      </w:r>
      <w:r>
        <w:t xml:space="preserve">oprávněna odečíst z jakéhokoliv vystaveného vyúčtování za prodané vstupenky ze strany </w:t>
      </w:r>
      <w:r>
        <w:rPr>
          <w:rStyle w:val="Zkladntext2Tun"/>
        </w:rPr>
        <w:t>prodejní sítě.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rPr>
          <w:rStyle w:val="Zkladntext2Tun"/>
        </w:rPr>
        <w:t xml:space="preserve">POS </w:t>
      </w:r>
      <w:r>
        <w:t>je oprávněno inkasovat od kupujícího cenu za prodané vstupenky.</w:t>
      </w:r>
    </w:p>
    <w:p w:rsidR="006979C1" w:rsidRDefault="00F44638">
      <w:pPr>
        <w:pStyle w:val="Zkladntext20"/>
        <w:shd w:val="clear" w:color="auto" w:fill="auto"/>
        <w:spacing w:line="226" w:lineRule="exact"/>
        <w:ind w:left="440" w:firstLine="0"/>
        <w:jc w:val="both"/>
      </w:pPr>
      <w:r>
        <w:rPr>
          <w:rStyle w:val="Zkladntext2Tun"/>
        </w:rPr>
        <w:t xml:space="preserve">POS </w:t>
      </w:r>
      <w:r>
        <w:t xml:space="preserve">se zavazuje, že částky přijaté od kupujících za prodané vstupenky převede </w:t>
      </w:r>
      <w:r>
        <w:rPr>
          <w:rStyle w:val="Zkladntext2Tun"/>
        </w:rPr>
        <w:t xml:space="preserve">prodejní </w:t>
      </w:r>
      <w:r>
        <w:rPr>
          <w:rStyle w:val="Zkladntext2Tun"/>
        </w:rPr>
        <w:t xml:space="preserve">síti; </w:t>
      </w:r>
      <w:r>
        <w:t xml:space="preserve">a že nebudou použity pro žádné jiné účely </w:t>
      </w:r>
      <w:r>
        <w:rPr>
          <w:rStyle w:val="Zkladntext2Tun"/>
        </w:rPr>
        <w:t xml:space="preserve">POS. </w:t>
      </w:r>
      <w:r>
        <w:t xml:space="preserve">Na vyžádání prodejní sítě je POS povinno uzavřít Přílohu </w:t>
      </w:r>
      <w:proofErr w:type="gramStart"/>
      <w:r>
        <w:t>č.3 - Ručitelský</w:t>
      </w:r>
      <w:proofErr w:type="gramEnd"/>
      <w:r>
        <w:t xml:space="preserve"> závazek, s úředně ověřeným podpisem.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rPr>
          <w:rStyle w:val="Zkladntext2Tun"/>
        </w:rPr>
        <w:t xml:space="preserve">Prodejní síť </w:t>
      </w:r>
      <w:r>
        <w:t xml:space="preserve">2x měsíčně (za období od 1. do 15. dne v měsíci a od 16. do </w:t>
      </w:r>
      <w:proofErr w:type="spellStart"/>
      <w:r>
        <w:t>poslední'dne</w:t>
      </w:r>
      <w:proofErr w:type="spellEnd"/>
      <w:r>
        <w:t xml:space="preserve"> v měsí</w:t>
      </w:r>
      <w:r>
        <w:t xml:space="preserve">ci) vyúčtuje </w:t>
      </w:r>
      <w:r>
        <w:rPr>
          <w:rStyle w:val="Zkladntext2Tun"/>
        </w:rPr>
        <w:t xml:space="preserve">POS </w:t>
      </w:r>
      <w:r>
        <w:t xml:space="preserve">na základě údajů v systému počet prodaných vstupenek, cenu prodaných vstupenek a odměnu. </w:t>
      </w:r>
      <w:r>
        <w:rPr>
          <w:rStyle w:val="Zkladntext2Tun"/>
        </w:rPr>
        <w:t xml:space="preserve">POS </w:t>
      </w:r>
      <w:r>
        <w:t xml:space="preserve">je povinen vyhotovit </w:t>
      </w:r>
      <w:r>
        <w:rPr>
          <w:rStyle w:val="Zkladntext2Tun"/>
        </w:rPr>
        <w:t xml:space="preserve">prodejní síti </w:t>
      </w:r>
      <w:r>
        <w:t>daňový (popř. účetní) doklad na částku rovnající se jeho odměně, a to v termínech stanovených daňovými a účetní</w:t>
      </w:r>
      <w:r>
        <w:t>mi předpisy.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rPr>
          <w:rStyle w:val="Zkladntext2Tun"/>
        </w:rPr>
        <w:t xml:space="preserve">POS </w:t>
      </w:r>
      <w:r>
        <w:t xml:space="preserve">je srozuměno a souhlasí s tím, že pokud </w:t>
      </w:r>
      <w:r>
        <w:rPr>
          <w:rStyle w:val="Zkladntext2Tun"/>
        </w:rPr>
        <w:t xml:space="preserve">prodejní síť </w:t>
      </w:r>
      <w:r>
        <w:t xml:space="preserve">nebude mít finanční prostředky za prodané vstupenky připsány na svém běžném účtu v den splatnosti každého jednotlivého vyúčtování, tj. do 7 dní ode dne zaslání, nebo </w:t>
      </w:r>
      <w:r>
        <w:rPr>
          <w:rStyle w:val="Zkladntext2Tun"/>
        </w:rPr>
        <w:t xml:space="preserve">POS </w:t>
      </w:r>
      <w:r>
        <w:t xml:space="preserve">nezašle </w:t>
      </w:r>
      <w:r>
        <w:rPr>
          <w:rStyle w:val="Zkladntext2Tun"/>
        </w:rPr>
        <w:t>prodejní</w:t>
      </w:r>
      <w:r>
        <w:rPr>
          <w:rStyle w:val="Zkladntext2Tun"/>
        </w:rPr>
        <w:t xml:space="preserve"> síti </w:t>
      </w:r>
      <w:r>
        <w:t xml:space="preserve">daňový nebo účetní doklad na jeho odměnu nejpozději do 14 dnů od období, za které byl k tomu povinen, vyhrazuje si </w:t>
      </w:r>
      <w:r>
        <w:rPr>
          <w:rStyle w:val="Zkladntext2Tun"/>
        </w:rPr>
        <w:t xml:space="preserve">prodejní síť </w:t>
      </w:r>
      <w:r>
        <w:t xml:space="preserve">právo na zablokování přístupu do systému. </w:t>
      </w:r>
      <w:proofErr w:type="gramStart"/>
      <w:r>
        <w:t>Obnoveni</w:t>
      </w:r>
      <w:proofErr w:type="gramEnd"/>
      <w:r>
        <w:t xml:space="preserve"> předprodejů může být </w:t>
      </w:r>
      <w:r>
        <w:rPr>
          <w:rStyle w:val="Zkladntext2Tun"/>
        </w:rPr>
        <w:t xml:space="preserve">POS </w:t>
      </w:r>
      <w:r>
        <w:t>umožněno po splnění následujících bodů:</w:t>
      </w:r>
    </w:p>
    <w:p w:rsidR="006979C1" w:rsidRDefault="00F44638">
      <w:pPr>
        <w:pStyle w:val="Zkladntext20"/>
        <w:numPr>
          <w:ilvl w:val="0"/>
          <w:numId w:val="8"/>
        </w:numPr>
        <w:shd w:val="clear" w:color="auto" w:fill="auto"/>
        <w:tabs>
          <w:tab w:val="left" w:pos="1058"/>
        </w:tabs>
        <w:spacing w:line="226" w:lineRule="exact"/>
        <w:ind w:left="760" w:firstLine="0"/>
      </w:pPr>
      <w:r>
        <w:t>úhradě</w:t>
      </w:r>
      <w:r>
        <w:t xml:space="preserve"> veškerých závazků </w:t>
      </w:r>
      <w:r>
        <w:rPr>
          <w:rStyle w:val="Zkladntext2Tun"/>
        </w:rPr>
        <w:t xml:space="preserve">POS </w:t>
      </w:r>
      <w:r>
        <w:t xml:space="preserve">vůči </w:t>
      </w:r>
      <w:r>
        <w:rPr>
          <w:rStyle w:val="Zkladntext2Tun"/>
        </w:rPr>
        <w:t xml:space="preserve">prodejní síti, </w:t>
      </w:r>
      <w:r>
        <w:t>tedy zejména dlužné částky vyúčtováni,</w:t>
      </w:r>
    </w:p>
    <w:p w:rsidR="006979C1" w:rsidRDefault="00F44638">
      <w:pPr>
        <w:pStyle w:val="Zkladntext20"/>
        <w:shd w:val="clear" w:color="auto" w:fill="auto"/>
        <w:spacing w:line="226" w:lineRule="exact"/>
        <w:ind w:left="760" w:firstLine="0"/>
      </w:pPr>
      <w:r>
        <w:t xml:space="preserve">jistiny, úroků z prodlení, nebo zajišťovacího instrumentu vyžádaného </w:t>
      </w:r>
      <w:r>
        <w:rPr>
          <w:rStyle w:val="Zkladntext2Tun"/>
        </w:rPr>
        <w:t>prodejní sítí.</w:t>
      </w:r>
    </w:p>
    <w:p w:rsidR="006979C1" w:rsidRDefault="00F44638">
      <w:pPr>
        <w:pStyle w:val="Zkladntext20"/>
        <w:numPr>
          <w:ilvl w:val="0"/>
          <w:numId w:val="8"/>
        </w:numPr>
        <w:shd w:val="clear" w:color="auto" w:fill="auto"/>
        <w:tabs>
          <w:tab w:val="left" w:pos="1058"/>
        </w:tabs>
        <w:spacing w:line="226" w:lineRule="exact"/>
        <w:ind w:left="760" w:firstLine="0"/>
      </w:pPr>
      <w:r>
        <w:t>úhradě poplatku za nové vystavení přístupu do systému dle bodu 5 tohoto článku.</w:t>
      </w:r>
    </w:p>
    <w:p w:rsidR="006979C1" w:rsidRDefault="00F44638">
      <w:pPr>
        <w:pStyle w:val="Zkladntext20"/>
        <w:numPr>
          <w:ilvl w:val="0"/>
          <w:numId w:val="8"/>
        </w:numPr>
        <w:shd w:val="clear" w:color="auto" w:fill="auto"/>
        <w:tabs>
          <w:tab w:val="left" w:pos="1058"/>
        </w:tabs>
        <w:spacing w:line="226" w:lineRule="exact"/>
        <w:ind w:left="760" w:firstLine="0"/>
      </w:pPr>
      <w:r>
        <w:t xml:space="preserve">zaslání </w:t>
      </w:r>
      <w:r>
        <w:t>všech chybějících dokladů na provizi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rPr>
          <w:rStyle w:val="Zkladntext2Tun"/>
        </w:rPr>
        <w:t xml:space="preserve">POS </w:t>
      </w:r>
      <w:r>
        <w:t xml:space="preserve">je srozuměn a souhlasí s tím, že za každé obnoveni přístupu do systému na základě předchozího odstavce si bude </w:t>
      </w:r>
      <w:r>
        <w:rPr>
          <w:rStyle w:val="Zkladntext2Tun"/>
        </w:rPr>
        <w:t xml:space="preserve">Prodejní síť </w:t>
      </w:r>
      <w:r>
        <w:t>účtovat poplatek ve výši 1.000,- Kč (slovy: jeden tisíc korun českých) plus DPH. V případě,</w:t>
      </w:r>
      <w:r>
        <w:t xml:space="preserve"> že prodejce nezašle </w:t>
      </w:r>
      <w:r>
        <w:rPr>
          <w:rStyle w:val="Zkladntext2Tun"/>
        </w:rPr>
        <w:t xml:space="preserve">Prodejní sít) </w:t>
      </w:r>
      <w:r>
        <w:t xml:space="preserve">daňový nebo účetní doklad v termínu podle této smlouvy, vzniká </w:t>
      </w:r>
      <w:r>
        <w:rPr>
          <w:rStyle w:val="Zkladntext2Tun"/>
        </w:rPr>
        <w:t xml:space="preserve">Prodejní síti </w:t>
      </w:r>
      <w:r>
        <w:t>právo na zaplacení dvojnásobku ceny vstupenek prodaných v příslušném období.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</w:pPr>
      <w:r>
        <w:t xml:space="preserve">Po podpisu smlouvy a obdržení zálohy na prodej vstupenek </w:t>
      </w:r>
      <w:r>
        <w:rPr>
          <w:rStyle w:val="Zkladntext2Tun"/>
        </w:rPr>
        <w:t>prodejní s</w:t>
      </w:r>
      <w:r>
        <w:rPr>
          <w:rStyle w:val="Zkladntext2Tun"/>
        </w:rPr>
        <w:t xml:space="preserve">íť </w:t>
      </w:r>
      <w:r>
        <w:t xml:space="preserve">vygeneruje </w:t>
      </w:r>
      <w:r>
        <w:rPr>
          <w:rStyle w:val="Zkladntext2Tun"/>
        </w:rPr>
        <w:t xml:space="preserve">POS </w:t>
      </w:r>
      <w:r>
        <w:t xml:space="preserve">uživatelské jméno a heslo, kterým se bude přihlašovat do přístupu pro profesionály na </w:t>
      </w:r>
      <w:hyperlink r:id="rId8" w:history="1">
        <w:r>
          <w:rPr>
            <w:lang w:val="en-US" w:eastAsia="en-US" w:bidi="en-US"/>
          </w:rPr>
          <w:t>www.ts07.cz</w:t>
        </w:r>
      </w:hyperlink>
      <w:r>
        <w:rPr>
          <w:lang w:val="en-US" w:eastAsia="en-US" w:bidi="en-US"/>
        </w:rPr>
        <w:t xml:space="preserve">. </w:t>
      </w:r>
      <w:r>
        <w:t xml:space="preserve">Díky tomuto přístupu bude mít </w:t>
      </w:r>
      <w:r>
        <w:rPr>
          <w:rStyle w:val="Zkladntext2Tun"/>
        </w:rPr>
        <w:t xml:space="preserve">POS </w:t>
      </w:r>
      <w:r>
        <w:t>možnost prodávat/rezervovat vstupenky na veškeré akce v systému, sledova</w:t>
      </w:r>
      <w:r>
        <w:t xml:space="preserve">t on-line výpisy prodejů či vyhledávat rezervované vstupenky. Na konci rezervačního procesu vytiskne </w:t>
      </w:r>
      <w:r>
        <w:rPr>
          <w:rStyle w:val="Zkladntext2Tun"/>
        </w:rPr>
        <w:t xml:space="preserve">POS </w:t>
      </w:r>
      <w:r>
        <w:t>zákazníkovi klasickou vstupenku nebo e-</w:t>
      </w:r>
      <w:proofErr w:type="spellStart"/>
      <w:r>
        <w:t>ticket</w:t>
      </w:r>
      <w:proofErr w:type="spellEnd"/>
      <w:r>
        <w:t>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67"/>
        </w:tabs>
        <w:spacing w:line="226" w:lineRule="exact"/>
        <w:ind w:left="440"/>
        <w:jc w:val="both"/>
        <w:sectPr w:rsidR="006979C1">
          <w:pgSz w:w="11900" w:h="16840"/>
          <w:pgMar w:top="524" w:right="1328" w:bottom="524" w:left="1413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Prodejní síť </w:t>
      </w:r>
      <w:r>
        <w:t xml:space="preserve">bude </w:t>
      </w:r>
      <w:r>
        <w:rPr>
          <w:rStyle w:val="Zkladntext2Tun"/>
        </w:rPr>
        <w:t xml:space="preserve">POS </w:t>
      </w:r>
      <w:r>
        <w:t>zasílat propagační materiály prodávaných akci (plakáty a le</w:t>
      </w:r>
      <w:r>
        <w:t xml:space="preserve">táky), které </w:t>
      </w:r>
      <w:r>
        <w:rPr>
          <w:rStyle w:val="Zkladntext2Tun"/>
        </w:rPr>
        <w:t xml:space="preserve">POS </w:t>
      </w:r>
      <w:r>
        <w:t>viditelně v prodejním místě na základě svých možností umístí.</w:t>
      </w:r>
    </w:p>
    <w:p w:rsidR="006979C1" w:rsidRDefault="00F44638">
      <w:pPr>
        <w:pStyle w:val="Zkladntext110"/>
        <w:shd w:val="clear" w:color="auto" w:fill="auto"/>
        <w:spacing w:after="1377"/>
        <w:ind w:left="5100" w:right="620"/>
      </w:pPr>
      <w:r>
        <w:rPr>
          <w:rStyle w:val="Zkladntext11PalatinoLinotype65ptdkovn1pt"/>
        </w:rPr>
        <w:lastRenderedPageBreak/>
        <w:t xml:space="preserve">| </w:t>
      </w:r>
      <w:proofErr w:type="spellStart"/>
      <w:r>
        <w:rPr>
          <w:rStyle w:val="Zkladntext11PalatinoLinotype65ptdkovn1pt"/>
        </w:rPr>
        <w:t>HCKĚlSrRfcAM</w:t>
      </w:r>
      <w:proofErr w:type="spellEnd"/>
      <w:r>
        <w:rPr>
          <w:rStyle w:val="Zkladntext11PalatinoLinotype65ptdkovn1pt"/>
        </w:rPr>
        <w:t xml:space="preserve"> </w:t>
      </w:r>
      <w:r>
        <w:t xml:space="preserve">s.r.o, | IC: </w:t>
      </w:r>
      <w:proofErr w:type="gramStart"/>
      <w:r>
        <w:t>2&lt;</w:t>
      </w:r>
      <w:proofErr w:type="spellStart"/>
      <w:r>
        <w:t>if</w:t>
      </w:r>
      <w:proofErr w:type="spellEnd"/>
      <w:r>
        <w:t>&gt;9!&gt;‘)44</w:t>
      </w:r>
      <w:proofErr w:type="gramEnd"/>
      <w:r>
        <w:t xml:space="preserve"> </w:t>
      </w:r>
      <w:r>
        <w:rPr>
          <w:rStyle w:val="Zkladntext117pt"/>
        </w:rPr>
        <w:t xml:space="preserve">| Nesmyslová 726/5, I Tel.: +420 224 263 049 </w:t>
      </w:r>
      <w:r>
        <w:t>I 178 (10, Praha 2 I /</w:t>
      </w:r>
      <w:proofErr w:type="spellStart"/>
      <w:r>
        <w:t>řulřini</w:t>
      </w:r>
      <w:proofErr w:type="spellEnd"/>
      <w:r>
        <w:t>(</w:t>
      </w:r>
      <w:proofErr w:type="spellStart"/>
      <w:r>
        <w:t>ffltic:kť!tstreHm</w:t>
      </w:r>
      <w:proofErr w:type="spellEnd"/>
      <w:r>
        <w:t>.[:y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line="226" w:lineRule="exact"/>
        <w:ind w:left="400" w:hanging="400"/>
        <w:jc w:val="both"/>
      </w:pPr>
      <w:r>
        <w:rPr>
          <w:rStyle w:val="Zkladntext2Tun"/>
        </w:rPr>
        <w:t xml:space="preserve">POS </w:t>
      </w:r>
      <w:r>
        <w:t xml:space="preserve">obdrží od </w:t>
      </w:r>
      <w:r>
        <w:rPr>
          <w:rStyle w:val="Zkladntext2Tun"/>
        </w:rPr>
        <w:t xml:space="preserve">prodejní sítě </w:t>
      </w:r>
      <w:r>
        <w:t>zdarma nevy</w:t>
      </w:r>
      <w:r>
        <w:t xml:space="preserve">plněné formuláře vstupenek, se kterými je povinno nakládat jako s ceninou. </w:t>
      </w:r>
      <w:r>
        <w:rPr>
          <w:rStyle w:val="Zkladntext2Tun"/>
        </w:rPr>
        <w:t xml:space="preserve">POS </w:t>
      </w:r>
      <w:r>
        <w:t xml:space="preserve">se zavazuje nevyplňovat formuláře vstupenek dodané Prodejní sítí jiným způsobem než prostřednictvím systému </w:t>
      </w:r>
      <w:r>
        <w:rPr>
          <w:rStyle w:val="Zkladntext2Tun"/>
        </w:rPr>
        <w:t xml:space="preserve">Prodejní sítě. POS </w:t>
      </w:r>
      <w:r>
        <w:t>plně odpovídá za tyto formuláře a je povinen uhrad</w:t>
      </w:r>
      <w:r>
        <w:t xml:space="preserve">it </w:t>
      </w:r>
      <w:r>
        <w:rPr>
          <w:rStyle w:val="Zkladntext2Tun"/>
        </w:rPr>
        <w:t xml:space="preserve">Prodejní síti </w:t>
      </w:r>
      <w:r>
        <w:t>škody vzniklé jejich neoprávněným použitím či zneužitím, tím se má na mysli zejména jejich zneužití ke vstupu na jinou akci, která není předmětem této smlouvy a škodou se má na mysli úhrada vstupného za tuto akci a případně další sankce up</w:t>
      </w:r>
      <w:r>
        <w:t>latněné pořadatelem takové akce.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line="226" w:lineRule="exact"/>
        <w:ind w:left="400" w:hanging="400"/>
        <w:jc w:val="both"/>
      </w:pPr>
      <w:r>
        <w:t xml:space="preserve">Smluvní strany sjednávají, pro případ prodlení kterékoliv strany s plněním peněžitého dluhu, smluvní úrok z prodlení ve výši 0.05% denně z dlužné částky. V případě, že bude </w:t>
      </w:r>
      <w:r>
        <w:rPr>
          <w:rStyle w:val="Zkladntext2Tun"/>
        </w:rPr>
        <w:t xml:space="preserve">POS </w:t>
      </w:r>
      <w:r>
        <w:t>v prodlení delším než 1 měsíc od splatnosti, j</w:t>
      </w:r>
      <w:r>
        <w:t>e povinna hradit úrok z prodlení nejen z jistiny, nýbrž z jistiny s úrokem z prodlení do té doby vzniklým.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89"/>
        </w:tabs>
        <w:spacing w:line="226" w:lineRule="exact"/>
        <w:ind w:left="400" w:hanging="400"/>
        <w:jc w:val="both"/>
      </w:pPr>
      <w:r>
        <w:t>POS bude prodané vstupenky tisknout ve formě:</w:t>
      </w:r>
    </w:p>
    <w:p w:rsidR="006979C1" w:rsidRDefault="00F44638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line="226" w:lineRule="exact"/>
        <w:ind w:left="400" w:firstLine="0"/>
      </w:pPr>
      <w:r>
        <w:t>e-</w:t>
      </w:r>
      <w:proofErr w:type="spellStart"/>
      <w:r>
        <w:t>ticket</w:t>
      </w:r>
      <w:proofErr w:type="spellEnd"/>
      <w:r>
        <w:t xml:space="preserve"> (běžný papír formátu A4)</w:t>
      </w:r>
    </w:p>
    <w:p w:rsidR="006979C1" w:rsidRDefault="00F44638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line="226" w:lineRule="exact"/>
        <w:ind w:left="400" w:firstLine="0"/>
      </w:pPr>
      <w:r>
        <w:t>vstupenky s ochrannými prvky (tisk na nevyplněné formuláře vstupenek)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399"/>
        </w:tabs>
        <w:spacing w:line="226" w:lineRule="exact"/>
        <w:ind w:left="400" w:hanging="400"/>
        <w:jc w:val="both"/>
      </w:pPr>
      <w:r>
        <w:t xml:space="preserve">V případě zrušení nebo přesunutí akce, které se </w:t>
      </w:r>
      <w:r>
        <w:rPr>
          <w:rStyle w:val="Zkladntext2Tun"/>
        </w:rPr>
        <w:t xml:space="preserve">POS </w:t>
      </w:r>
      <w:r>
        <w:t xml:space="preserve">dozví z webových stránek </w:t>
      </w:r>
      <w:r>
        <w:rPr>
          <w:rStyle w:val="Zkladntext2Tun"/>
        </w:rPr>
        <w:t xml:space="preserve">prodejní sítě </w:t>
      </w:r>
      <w:r>
        <w:t>(zrušené akce/změny), je oprávněno a zároveň povinno refundovat hodnotu vstupenky klientovi. Zároveň je povinno tento údaj zaznamenat do příslušného období pod svým</w:t>
      </w:r>
      <w:r>
        <w:t>i přístupy.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line="226" w:lineRule="exact"/>
        <w:ind w:left="400" w:hanging="400"/>
        <w:jc w:val="both"/>
      </w:pPr>
      <w:r>
        <w:t xml:space="preserve">V případě storna je POS povinno zaslat mailem do 3 pracovních dní žádost o storno, které bude obsahovat údaje v rozsahu Referenční číslo a důvod storna. </w:t>
      </w:r>
      <w:r>
        <w:rPr>
          <w:rStyle w:val="Zkladntext2Tun"/>
        </w:rPr>
        <w:t xml:space="preserve">Prodejní síť </w:t>
      </w:r>
      <w:r>
        <w:t>je toto storno povinna potvrdit do 2 pracovních dní.</w:t>
      </w:r>
    </w:p>
    <w:p w:rsidR="006979C1" w:rsidRDefault="00F44638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after="216" w:line="226" w:lineRule="exact"/>
        <w:ind w:left="400" w:hanging="400"/>
        <w:jc w:val="both"/>
      </w:pPr>
      <w:r>
        <w:t>Dárkové poukázky, které j</w:t>
      </w:r>
      <w:r>
        <w:t xml:space="preserve">e </w:t>
      </w:r>
      <w:r>
        <w:rPr>
          <w:rStyle w:val="Zkladntext2Tun"/>
        </w:rPr>
        <w:t xml:space="preserve">POS </w:t>
      </w:r>
      <w:r>
        <w:t xml:space="preserve">povinno od zákazníků přijímat v nominální hodnotě nahrazující hotovost, je nutné označit v systému a zaslat poštou na adresu </w:t>
      </w:r>
      <w:r>
        <w:rPr>
          <w:rStyle w:val="Zkladntext2Tun"/>
        </w:rPr>
        <w:t>prodejní sítě.</w:t>
      </w:r>
    </w:p>
    <w:p w:rsidR="006979C1" w:rsidRDefault="00F44638">
      <w:pPr>
        <w:pStyle w:val="Nadpis30"/>
        <w:keepNext/>
        <w:keepLines/>
        <w:shd w:val="clear" w:color="auto" w:fill="auto"/>
        <w:spacing w:line="230" w:lineRule="exact"/>
        <w:ind w:left="4420"/>
      </w:pPr>
      <w:bookmarkStart w:id="12" w:name="bookmark11"/>
      <w:r>
        <w:t>VII.</w:t>
      </w:r>
      <w:bookmarkEnd w:id="12"/>
    </w:p>
    <w:p w:rsidR="006979C1" w:rsidRDefault="00F44638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line="230" w:lineRule="exact"/>
        <w:ind w:left="400" w:hanging="400"/>
        <w:jc w:val="both"/>
      </w:pPr>
      <w:r>
        <w:t>Smlouva může být měněna a doplňována písemnou formou, kde podmínkou platnosti těchto dodatků je podpis ob</w:t>
      </w:r>
      <w:r>
        <w:t>ou smluvních stran.</w:t>
      </w:r>
    </w:p>
    <w:p w:rsidR="006979C1" w:rsidRDefault="00F44638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line="230" w:lineRule="exact"/>
        <w:ind w:left="400" w:hanging="400"/>
        <w:jc w:val="both"/>
      </w:pPr>
      <w:r>
        <w:t>Smlouva se řídí českým právem. V případě sporů jsou věcně a místně příslušné soudy na území České republiky.</w:t>
      </w:r>
    </w:p>
    <w:p w:rsidR="006979C1" w:rsidRDefault="00F44638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after="440" w:line="230" w:lineRule="exact"/>
        <w:ind w:left="400" w:hanging="400"/>
        <w:jc w:val="both"/>
      </w:pPr>
      <w:r>
        <w:t>Smlouva nabývá platnosti a účinnosti dnem jejího podpisu.</w:t>
      </w:r>
    </w:p>
    <w:p w:rsidR="006979C1" w:rsidRDefault="00F44638">
      <w:pPr>
        <w:pStyle w:val="Zkladntext20"/>
        <w:shd w:val="clear" w:color="auto" w:fill="auto"/>
        <w:tabs>
          <w:tab w:val="left" w:pos="1406"/>
        </w:tabs>
        <w:spacing w:line="230" w:lineRule="exact"/>
        <w:ind w:left="400" w:hanging="400"/>
        <w:jc w:val="both"/>
      </w:pPr>
      <w:r>
        <w:t>Přílohy:</w:t>
      </w:r>
      <w:r>
        <w:tab/>
        <w:t>1. Specifikace spolupráce</w:t>
      </w:r>
    </w:p>
    <w:p w:rsidR="006979C1" w:rsidRDefault="00F44638">
      <w:pPr>
        <w:pStyle w:val="Zkladntext20"/>
        <w:numPr>
          <w:ilvl w:val="0"/>
          <w:numId w:val="11"/>
        </w:numPr>
        <w:shd w:val="clear" w:color="auto" w:fill="auto"/>
        <w:tabs>
          <w:tab w:val="left" w:pos="1738"/>
        </w:tabs>
        <w:spacing w:line="230" w:lineRule="exact"/>
        <w:ind w:left="1440" w:firstLine="0"/>
      </w:pPr>
      <w:r>
        <w:t>Všeobecné obchodní podmínky</w:t>
      </w:r>
    </w:p>
    <w:p w:rsidR="006979C1" w:rsidRDefault="00F44638">
      <w:pPr>
        <w:pStyle w:val="Zkladntext20"/>
        <w:numPr>
          <w:ilvl w:val="0"/>
          <w:numId w:val="11"/>
        </w:numPr>
        <w:shd w:val="clear" w:color="auto" w:fill="auto"/>
        <w:tabs>
          <w:tab w:val="left" w:pos="1738"/>
        </w:tabs>
        <w:spacing w:line="230" w:lineRule="exact"/>
        <w:ind w:left="1440" w:firstLine="0"/>
      </w:pPr>
      <w:r>
        <w:t>Ručitelský závazek</w:t>
      </w:r>
    </w:p>
    <w:p w:rsidR="006979C1" w:rsidRDefault="00F44638">
      <w:pPr>
        <w:pStyle w:val="Zkladntext20"/>
        <w:numPr>
          <w:ilvl w:val="0"/>
          <w:numId w:val="11"/>
        </w:numPr>
        <w:shd w:val="clear" w:color="auto" w:fill="auto"/>
        <w:tabs>
          <w:tab w:val="left" w:pos="1743"/>
        </w:tabs>
        <w:spacing w:line="230" w:lineRule="exact"/>
        <w:ind w:left="1440" w:firstLine="0"/>
      </w:pPr>
      <w:r>
        <w:t>Kontaktní údaje POS</w:t>
      </w:r>
    </w:p>
    <w:p w:rsidR="006979C1" w:rsidRDefault="00F44638">
      <w:pPr>
        <w:pStyle w:val="Zkladntext20"/>
        <w:numPr>
          <w:ilvl w:val="0"/>
          <w:numId w:val="11"/>
        </w:numPr>
        <w:shd w:val="clear" w:color="auto" w:fill="auto"/>
        <w:tabs>
          <w:tab w:val="left" w:pos="1743"/>
        </w:tabs>
        <w:spacing w:after="695" w:line="230" w:lineRule="exact"/>
        <w:ind w:left="1440" w:firstLine="0"/>
      </w:pPr>
      <w:r>
        <w:t>Registrační údaje (ŽL)</w:t>
      </w:r>
    </w:p>
    <w:p w:rsidR="006979C1" w:rsidRDefault="00F44638">
      <w:pPr>
        <w:pStyle w:val="Zkladntext20"/>
        <w:shd w:val="clear" w:color="auto" w:fill="auto"/>
        <w:spacing w:line="212" w:lineRule="exact"/>
        <w:ind w:left="400" w:hanging="400"/>
        <w:jc w:val="both"/>
        <w:sectPr w:rsidR="006979C1">
          <w:headerReference w:type="default" r:id="rId9"/>
          <w:pgSz w:w="11900" w:h="16840"/>
          <w:pgMar w:top="404" w:right="1423" w:bottom="2886" w:left="1356" w:header="0" w:footer="3" w:gutter="0"/>
          <w:cols w:space="720"/>
          <w:noEndnote/>
          <w:docGrid w:linePitch="360"/>
        </w:sectPr>
      </w:pPr>
      <w:r>
        <w:t>V Praze dne</w:t>
      </w:r>
    </w:p>
    <w:p w:rsidR="006979C1" w:rsidRDefault="006979C1">
      <w:pPr>
        <w:spacing w:line="240" w:lineRule="exact"/>
        <w:rPr>
          <w:sz w:val="19"/>
          <w:szCs w:val="19"/>
        </w:rPr>
      </w:pPr>
    </w:p>
    <w:p w:rsidR="006979C1" w:rsidRDefault="006979C1">
      <w:pPr>
        <w:spacing w:line="240" w:lineRule="exact"/>
        <w:rPr>
          <w:sz w:val="19"/>
          <w:szCs w:val="19"/>
        </w:rPr>
      </w:pPr>
    </w:p>
    <w:p w:rsidR="006979C1" w:rsidRDefault="006979C1">
      <w:pPr>
        <w:spacing w:before="5" w:after="5" w:line="240" w:lineRule="exact"/>
        <w:rPr>
          <w:sz w:val="19"/>
          <w:szCs w:val="19"/>
        </w:rPr>
      </w:pPr>
    </w:p>
    <w:p w:rsidR="006979C1" w:rsidRDefault="006979C1">
      <w:pPr>
        <w:rPr>
          <w:sz w:val="2"/>
          <w:szCs w:val="2"/>
        </w:rPr>
        <w:sectPr w:rsidR="006979C1">
          <w:type w:val="continuous"/>
          <w:pgSz w:w="11900" w:h="16840"/>
          <w:pgMar w:top="389" w:right="0" w:bottom="389" w:left="0" w:header="0" w:footer="3" w:gutter="0"/>
          <w:cols w:space="720"/>
          <w:noEndnote/>
          <w:docGrid w:linePitch="360"/>
        </w:sectPr>
      </w:pPr>
    </w:p>
    <w:p w:rsidR="006979C1" w:rsidRDefault="00F4463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7.3pt;margin-top:28.8pt;width:90.7pt;height:50.4pt;z-index:-125829376;mso-wrap-distance-left:5pt;mso-wrap-distance-right:5pt;mso-wrap-distance-bottom:20pt;mso-position-horizontal-relative:margin" wrapcoords="0 0 21600 0 21600 21600 0 21600 0 0">
            <v:imagedata r:id="rId10" o:title="image1"/>
            <w10:wrap type="square" anchorx="margin"/>
          </v:shape>
        </w:pict>
      </w:r>
    </w:p>
    <w:p w:rsidR="006979C1" w:rsidRDefault="00F44638">
      <w:pPr>
        <w:pStyle w:val="Nadpis320"/>
        <w:keepNext/>
        <w:keepLines/>
        <w:shd w:val="clear" w:color="auto" w:fill="auto"/>
      </w:pPr>
      <w:bookmarkStart w:id="13" w:name="bookmark12"/>
      <w:r>
        <w:t>TICKETSTREAM s.r.o.</w:t>
      </w:r>
      <w:bookmarkEnd w:id="13"/>
    </w:p>
    <w:p w:rsidR="006979C1" w:rsidRDefault="00F44638">
      <w:pPr>
        <w:pStyle w:val="Zkladntext20"/>
        <w:shd w:val="clear" w:color="auto" w:fill="auto"/>
        <w:spacing w:line="235" w:lineRule="exact"/>
        <w:ind w:right="520" w:firstLine="520"/>
      </w:pPr>
      <w:r>
        <w:t>Oldřichova 254/15 128 00 Praha 2 26695</w:t>
      </w:r>
      <w:r>
        <w:t>944</w:t>
      </w:r>
    </w:p>
    <w:p w:rsidR="006979C1" w:rsidRDefault="00F44638">
      <w:pPr>
        <w:pStyle w:val="Zkladntext120"/>
        <w:shd w:val="clear" w:color="auto" w:fill="auto"/>
      </w:pPr>
      <w:r>
        <w:br w:type="column"/>
      </w:r>
      <w:r>
        <w:rPr>
          <w:rStyle w:val="Zkladntext12Calibri9pt"/>
          <w:b/>
          <w:bCs/>
        </w:rPr>
        <w:lastRenderedPageBreak/>
        <w:t xml:space="preserve">Turistické </w:t>
      </w:r>
      <w:r>
        <w:rPr>
          <w:rStyle w:val="Zkladntext121"/>
          <w:b/>
          <w:bCs/>
        </w:rPr>
        <w:t>Informační centrum</w:t>
      </w:r>
    </w:p>
    <w:p w:rsidR="006979C1" w:rsidRDefault="00F44638">
      <w:pPr>
        <w:pStyle w:val="Zkladntext130"/>
        <w:shd w:val="clear" w:color="auto" w:fill="auto"/>
      </w:pPr>
      <w:proofErr w:type="spellStart"/>
      <w:r>
        <w:t>náméstí</w:t>
      </w:r>
      <w:proofErr w:type="spellEnd"/>
      <w:r>
        <w:t xml:space="preserve"> Republiky </w:t>
      </w:r>
      <w:r>
        <w:rPr>
          <w:rStyle w:val="Zkladntext13Georgia11ptNetun"/>
        </w:rPr>
        <w:t>1</w:t>
      </w:r>
    </w:p>
    <w:p w:rsidR="006979C1" w:rsidRDefault="00F44638">
      <w:pPr>
        <w:pStyle w:val="Zkladntext130"/>
        <w:shd w:val="clear" w:color="auto" w:fill="auto"/>
        <w:spacing w:after="249" w:line="156" w:lineRule="exact"/>
      </w:pPr>
      <w:r>
        <w:t>Pardubice, 530 02</w:t>
      </w:r>
    </w:p>
    <w:p w:rsidR="006979C1" w:rsidRDefault="00F44638">
      <w:pPr>
        <w:pStyle w:val="Zkladntext140"/>
        <w:shd w:val="clear" w:color="auto" w:fill="auto"/>
        <w:spacing w:before="0"/>
      </w:pPr>
      <w:r>
        <w:rPr>
          <w:rStyle w:val="Zkladntext14NetunNekurzva"/>
        </w:rPr>
        <w:t>Á</w:t>
      </w:r>
      <w:r>
        <w:rPr>
          <w:rStyle w:val="Zkladntext14NetunNekurzva"/>
          <w:vertAlign w:val="superscript"/>
        </w:rPr>
        <w:t>7</w:t>
      </w:r>
      <w:r>
        <w:rPr>
          <w:rStyle w:val="Zkladntext14NetunNekurzva"/>
        </w:rPr>
        <w:t xml:space="preserve">/ </w:t>
      </w:r>
      <w:r>
        <w:rPr>
          <w:rStyle w:val="Zkladntext141"/>
          <w:b/>
          <w:bCs/>
          <w:i/>
          <w:iCs/>
        </w:rPr>
        <w:t>I U- c</w:t>
      </w:r>
      <w:r>
        <w:rPr>
          <w:rStyle w:val="Zkladntext14NetunNekurzva"/>
        </w:rPr>
        <w:t xml:space="preserve"> 4 </w:t>
      </w:r>
      <w:r>
        <w:rPr>
          <w:rStyle w:val="Zkladntext14Malpsmena"/>
          <w:b/>
          <w:bCs/>
          <w:i/>
          <w:iCs/>
        </w:rPr>
        <w:t xml:space="preserve">A&gt; </w:t>
      </w:r>
      <w:proofErr w:type="spellStart"/>
      <w:r>
        <w:rPr>
          <w:rStyle w:val="Zkladntext14Malpsmena"/>
          <w:b/>
          <w:bCs/>
          <w:i/>
          <w:iCs/>
        </w:rPr>
        <w:t>lj</w:t>
      </w:r>
      <w:proofErr w:type="spellEnd"/>
    </w:p>
    <w:p w:rsidR="006979C1" w:rsidRDefault="00F44638">
      <w:pPr>
        <w:pStyle w:val="Nadpis30"/>
        <w:keepNext/>
        <w:keepLines/>
        <w:shd w:val="clear" w:color="auto" w:fill="auto"/>
        <w:spacing w:line="212" w:lineRule="exact"/>
        <w:ind w:left="700"/>
      </w:pPr>
      <w:bookmarkStart w:id="14" w:name="bookmark13"/>
      <w:r>
        <w:t>POS</w:t>
      </w:r>
      <w:bookmarkEnd w:id="14"/>
    </w:p>
    <w:sectPr w:rsidR="006979C1">
      <w:type w:val="continuous"/>
      <w:pgSz w:w="11900" w:h="16840"/>
      <w:pgMar w:top="389" w:right="2777" w:bottom="389" w:left="1726" w:header="0" w:footer="3" w:gutter="0"/>
      <w:cols w:num="2" w:space="720" w:equalWidth="0">
        <w:col w:w="2630" w:space="2486"/>
        <w:col w:w="228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38" w:rsidRDefault="00F44638">
      <w:r>
        <w:separator/>
      </w:r>
    </w:p>
  </w:endnote>
  <w:endnote w:type="continuationSeparator" w:id="0">
    <w:p w:rsidR="00F44638" w:rsidRDefault="00F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38" w:rsidRDefault="00F44638"/>
  </w:footnote>
  <w:footnote w:type="continuationSeparator" w:id="0">
    <w:p w:rsidR="00F44638" w:rsidRDefault="00F446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C1" w:rsidRDefault="00F446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95pt;margin-top:10.1pt;width:187.7pt;height:16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79C1" w:rsidRDefault="00F4463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21pt"/>
                    <w:b/>
                    <w:bCs/>
                  </w:rPr>
                  <w:t>TICKETSTREAM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C1" w:rsidRDefault="00F446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35pt;margin-top:22.6pt;width:187.7pt;height:19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79C1" w:rsidRDefault="00F44638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  <w:b/>
                    <w:bCs/>
                  </w:rPr>
                  <w:t>TiCKETSTREAAÁ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B7A"/>
    <w:multiLevelType w:val="multilevel"/>
    <w:tmpl w:val="121890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A24EF"/>
    <w:multiLevelType w:val="multilevel"/>
    <w:tmpl w:val="3E06D702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150B7"/>
    <w:multiLevelType w:val="multilevel"/>
    <w:tmpl w:val="91FE543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701C9"/>
    <w:multiLevelType w:val="multilevel"/>
    <w:tmpl w:val="612ADD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B3141"/>
    <w:multiLevelType w:val="multilevel"/>
    <w:tmpl w:val="6B4CCD4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76EA0"/>
    <w:multiLevelType w:val="multilevel"/>
    <w:tmpl w:val="906AD5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53786"/>
    <w:multiLevelType w:val="multilevel"/>
    <w:tmpl w:val="9A369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B65901"/>
    <w:multiLevelType w:val="multilevel"/>
    <w:tmpl w:val="AB460A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00590"/>
    <w:multiLevelType w:val="multilevel"/>
    <w:tmpl w:val="156C30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D79FA"/>
    <w:multiLevelType w:val="multilevel"/>
    <w:tmpl w:val="9BD2668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C11861"/>
    <w:multiLevelType w:val="multilevel"/>
    <w:tmpl w:val="CF7656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79C1"/>
    <w:rsid w:val="006979C1"/>
    <w:rsid w:val="00BE6747"/>
    <w:rsid w:val="00F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0FC61D-23EF-4840-95B9-E8AA4E2E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hlavneboZpatArial21pt">
    <w:name w:val="Záhlaví nebo Zápatí + Arial;21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32"/>
      <w:szCs w:val="32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9D2D33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7ptExact">
    <w:name w:val="Základní text (4) + 7 pt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ArialNarrow11ptNetunKurzvaExact">
    <w:name w:val="Nadpis #2 + Arial Narrow;11 pt;Ne tučné;Kurzíva Exact"/>
    <w:basedOn w:val="Nadpis2Exact"/>
    <w:rPr>
      <w:rFonts w:ascii="Arial Narrow" w:eastAsia="Arial Narrow" w:hAnsi="Arial Narrow" w:cs="Arial Narrow"/>
      <w:b/>
      <w:bCs/>
      <w:i/>
      <w:iCs/>
      <w:smallCaps w:val="0"/>
      <w:strike w:val="0"/>
      <w:color w:val="2C29A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Calibri10ptNetunExact">
    <w:name w:val="Základní text (7) + Calibri;10 pt;Ne tučné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65pt">
    <w:name w:val="Základní text (10) + 6;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PalatinoLinotype65ptdkovn1pt">
    <w:name w:val="Základní text (11) + Palatino Linotype;6;5 pt;Řádkování 1 pt"/>
    <w:basedOn w:val="Zkladntext1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7pt">
    <w:name w:val="Základní text (11) + 7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Calibri9pt">
    <w:name w:val="Základní text (12) + Calibri;9 pt"/>
    <w:basedOn w:val="Zkladntext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Georgia11ptNetun">
    <w:name w:val="Základní text (13) + Georgia;11 pt;Ne tučné"/>
    <w:basedOn w:val="Zkladntext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14NetunNekurzva">
    <w:name w:val="Základní text (14) + Ne tučné;Ne kurzíva"/>
    <w:basedOn w:val="Zkladntext1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6991B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1">
    <w:name w:val="Základní text (14)"/>
    <w:basedOn w:val="Zkladntext1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6991B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Palatino Linotype" w:eastAsia="Palatino Linotype" w:hAnsi="Palatino Linotype" w:cs="Palatino Linotype"/>
      <w:b/>
      <w:bCs/>
      <w:i/>
      <w:iCs/>
      <w:smallCaps/>
      <w:strike w:val="0"/>
      <w:color w:val="6991BD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660" w:lineRule="exact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46" w:lineRule="exact"/>
    </w:pPr>
    <w:rPr>
      <w:rFonts w:ascii="Calibri" w:eastAsia="Calibri" w:hAnsi="Calibri" w:cs="Calibri"/>
      <w:sz w:val="12"/>
      <w:szCs w:val="1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670" w:lineRule="exac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38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380"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  <w:ind w:firstLine="286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940" w:line="197" w:lineRule="exact"/>
    </w:pPr>
    <w:rPr>
      <w:rFonts w:ascii="Arial" w:eastAsia="Arial" w:hAnsi="Arial" w:cs="Arial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400" w:line="197" w:lineRule="exact"/>
    </w:pPr>
    <w:rPr>
      <w:rFonts w:ascii="Arial" w:eastAsia="Arial" w:hAnsi="Arial" w:cs="Arial"/>
      <w:sz w:val="12"/>
      <w:szCs w:val="1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35" w:lineRule="exac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20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340" w:line="270" w:lineRule="exact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07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5515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2018-03-22T13:36:00Z</dcterms:created>
  <dcterms:modified xsi:type="dcterms:W3CDTF">2018-03-22T13:37:00Z</dcterms:modified>
</cp:coreProperties>
</file>