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0F" w:rsidRDefault="00035BE0">
      <w:pPr>
        <w:pStyle w:val="Nadpis10"/>
        <w:keepNext/>
        <w:keepLines/>
        <w:shd w:val="clear" w:color="auto" w:fill="auto"/>
        <w:spacing w:after="274"/>
        <w:ind w:left="3640"/>
      </w:pPr>
      <w:bookmarkStart w:id="0" w:name="bookmark0"/>
      <w:bookmarkStart w:id="1" w:name="_GoBack"/>
      <w:bookmarkEnd w:id="1"/>
      <w:r>
        <w:t>IV. Ostatní informace</w:t>
      </w:r>
      <w:bookmarkEnd w:id="0"/>
    </w:p>
    <w:p w:rsidR="00D22F0F" w:rsidRDefault="00035BE0">
      <w:pPr>
        <w:pStyle w:val="Nadpis10"/>
        <w:keepNext/>
        <w:keepLines/>
        <w:shd w:val="clear" w:color="auto" w:fill="auto"/>
        <w:spacing w:after="0" w:line="274" w:lineRule="exact"/>
        <w:ind w:left="420"/>
      </w:pPr>
      <w:bookmarkStart w:id="2" w:name="bookmark1"/>
      <w:r>
        <w:t>Povinností komisionáře na přepážce bude podávání následujících informací:</w:t>
      </w:r>
      <w:bookmarkEnd w:id="2"/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veškeré informace o Tarifu MHD a Smluvních přepravních podmínkách</w:t>
      </w:r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ind w:left="420"/>
      </w:pPr>
      <w:r>
        <w:t xml:space="preserve">v případě potřeby přetypování karty bude cestující odkázán na Zákaznické centrum v Pemerově </w:t>
      </w:r>
      <w:r>
        <w:t>ulici nebo na předprodej na Nádraží CD</w:t>
      </w:r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706"/>
        </w:tabs>
        <w:ind w:left="420"/>
      </w:pPr>
      <w:r>
        <w:t>v případě potřeby zakoupení časového jízdného pro organizace nebo zaměstnaneckého jízdného bude cestující odkázán na Zákaznické centrum v Pemerově ulici</w:t>
      </w:r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92"/>
        </w:tabs>
        <w:spacing w:after="280"/>
        <w:ind w:left="420"/>
      </w:pPr>
      <w:r>
        <w:t>v případě potřeby přijetí reklamace nebo podání informace ohledn</w:t>
      </w:r>
      <w:r>
        <w:t xml:space="preserve">ě internetového dobíjení karet bude cestující odkázán na Zákaznické centrum v Pemerově ulici nebo na webový formulář na stránkách </w:t>
      </w:r>
      <w:hyperlink r:id="rId7" w:history="1">
        <w:r>
          <w:rPr>
            <w:lang w:val="en-US" w:eastAsia="en-US" w:bidi="en-US"/>
          </w:rPr>
          <w:t>www.dpmp.cz</w:t>
        </w:r>
      </w:hyperlink>
    </w:p>
    <w:p w:rsidR="00D22F0F" w:rsidRDefault="00035BE0">
      <w:pPr>
        <w:pStyle w:val="Nadpis10"/>
        <w:keepNext/>
        <w:keepLines/>
        <w:shd w:val="clear" w:color="auto" w:fill="auto"/>
        <w:spacing w:after="0" w:line="274" w:lineRule="exact"/>
        <w:ind w:left="420"/>
      </w:pPr>
      <w:bookmarkStart w:id="3" w:name="bookmark2"/>
      <w:r>
        <w:t>Na přepážce se nebudou prodávat následující typy časových jízdenek:</w:t>
      </w:r>
      <w:bookmarkEnd w:id="3"/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seniorské jíz</w:t>
      </w:r>
      <w:r>
        <w:t>dné dotované 12ti měsíční</w:t>
      </w:r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časové jízdné pro organizace</w:t>
      </w:r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spacing w:after="280"/>
        <w:ind w:left="420"/>
      </w:pPr>
      <w:r>
        <w:t>zaměstnanecké jízdné</w:t>
      </w:r>
    </w:p>
    <w:p w:rsidR="00D22F0F" w:rsidRDefault="00035BE0">
      <w:pPr>
        <w:pStyle w:val="Nadpis10"/>
        <w:keepNext/>
        <w:keepLines/>
        <w:shd w:val="clear" w:color="auto" w:fill="auto"/>
        <w:spacing w:after="0" w:line="274" w:lineRule="exact"/>
        <w:ind w:left="420"/>
      </w:pPr>
      <w:bookmarkStart w:id="4" w:name="bookmark3"/>
      <w:r>
        <w:t>Na přepážce se nebudou poskytovat následující služby:</w:t>
      </w:r>
      <w:bookmarkEnd w:id="4"/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vystavení personalizované a nepersonalizované karty</w:t>
      </w:r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zablokování a odblokování karty</w:t>
      </w:r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vystavení duplikátu karty</w:t>
      </w:r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 xml:space="preserve">změna údajů v </w:t>
      </w:r>
      <w:r>
        <w:t>evidenci</w:t>
      </w:r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vrácení zůstatku elektronické hotovosti</w:t>
      </w:r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změna karty z nepersonalizované na personalizovanou</w:t>
      </w:r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ind w:left="420"/>
      </w:pPr>
      <w:r>
        <w:t>vrácení časového jízdného</w:t>
      </w:r>
    </w:p>
    <w:p w:rsidR="00D22F0F" w:rsidRDefault="00035BE0">
      <w:pPr>
        <w:pStyle w:val="Zkladntext20"/>
        <w:numPr>
          <w:ilvl w:val="0"/>
          <w:numId w:val="1"/>
        </w:numPr>
        <w:shd w:val="clear" w:color="auto" w:fill="auto"/>
        <w:tabs>
          <w:tab w:val="left" w:pos="682"/>
        </w:tabs>
        <w:spacing w:after="540"/>
        <w:ind w:left="420"/>
      </w:pPr>
      <w:r>
        <w:t>převod zůstatku z jedné karty na drahou</w:t>
      </w:r>
    </w:p>
    <w:p w:rsidR="00D22F0F" w:rsidRDefault="00035BE0">
      <w:pPr>
        <w:pStyle w:val="Nadpis10"/>
        <w:keepNext/>
        <w:keepLines/>
        <w:shd w:val="clear" w:color="auto" w:fill="auto"/>
        <w:spacing w:after="0" w:line="274" w:lineRule="exact"/>
        <w:ind w:left="420"/>
      </w:pPr>
      <w:bookmarkStart w:id="5" w:name="bookmark4"/>
      <w:r>
        <w:t>Na bezplatnou přepravu mají nárok:</w:t>
      </w:r>
      <w:bookmarkEnd w:id="5"/>
    </w:p>
    <w:p w:rsidR="00D22F0F" w:rsidRDefault="00035BE0">
      <w:pPr>
        <w:pStyle w:val="Zkladntext20"/>
        <w:numPr>
          <w:ilvl w:val="0"/>
          <w:numId w:val="2"/>
        </w:numPr>
        <w:shd w:val="clear" w:color="auto" w:fill="auto"/>
        <w:tabs>
          <w:tab w:val="left" w:pos="788"/>
        </w:tabs>
        <w:ind w:left="420"/>
      </w:pPr>
      <w:r>
        <w:t>děti do 6 let pouze v doprovodu osoby starší 10 let,</w:t>
      </w:r>
    </w:p>
    <w:p w:rsidR="00D22F0F" w:rsidRDefault="00035BE0">
      <w:pPr>
        <w:pStyle w:val="Zkladntext20"/>
        <w:numPr>
          <w:ilvl w:val="0"/>
          <w:numId w:val="2"/>
        </w:numPr>
        <w:shd w:val="clear" w:color="auto" w:fill="auto"/>
        <w:tabs>
          <w:tab w:val="left" w:pos="807"/>
        </w:tabs>
        <w:ind w:left="420"/>
      </w:pPr>
      <w:r>
        <w:t>d</w:t>
      </w:r>
      <w:r>
        <w:t>ržitelé průkazu ZTP-P včetně průvodce nebo psa a držitelé průkazu ZTP,</w:t>
      </w:r>
    </w:p>
    <w:p w:rsidR="00D22F0F" w:rsidRDefault="00035BE0">
      <w:pPr>
        <w:pStyle w:val="Zkladntext20"/>
        <w:numPr>
          <w:ilvl w:val="0"/>
          <w:numId w:val="2"/>
        </w:numPr>
        <w:shd w:val="clear" w:color="auto" w:fill="auto"/>
        <w:tabs>
          <w:tab w:val="left" w:pos="807"/>
        </w:tabs>
        <w:ind w:left="420"/>
      </w:pPr>
      <w:r>
        <w:t>dětský kočárek s dítětem,</w:t>
      </w:r>
    </w:p>
    <w:p w:rsidR="00D22F0F" w:rsidRDefault="00035BE0">
      <w:pPr>
        <w:pStyle w:val="Zkladntext20"/>
        <w:numPr>
          <w:ilvl w:val="0"/>
          <w:numId w:val="2"/>
        </w:numPr>
        <w:shd w:val="clear" w:color="auto" w:fill="auto"/>
        <w:tabs>
          <w:tab w:val="left" w:pos="807"/>
        </w:tabs>
        <w:ind w:left="420"/>
      </w:pPr>
      <w:r>
        <w:t>spoluzavazadlo (1 ks) o rozměrech do 25x40x60 cm,</w:t>
      </w:r>
    </w:p>
    <w:p w:rsidR="00D22F0F" w:rsidRDefault="00035BE0">
      <w:pPr>
        <w:pStyle w:val="Zkladntext20"/>
        <w:numPr>
          <w:ilvl w:val="0"/>
          <w:numId w:val="2"/>
        </w:numPr>
        <w:shd w:val="clear" w:color="auto" w:fill="auto"/>
        <w:tabs>
          <w:tab w:val="left" w:pos="807"/>
        </w:tabs>
        <w:ind w:left="420"/>
      </w:pPr>
      <w:r>
        <w:t>psi, kteří se podrobují speciálnímu výcviku pro doprovod handicapovaných osob,</w:t>
      </w:r>
    </w:p>
    <w:p w:rsidR="00D22F0F" w:rsidRDefault="00035BE0">
      <w:pPr>
        <w:pStyle w:val="Zkladntext20"/>
        <w:numPr>
          <w:ilvl w:val="0"/>
          <w:numId w:val="2"/>
        </w:numPr>
        <w:shd w:val="clear" w:color="auto" w:fill="auto"/>
        <w:tabs>
          <w:tab w:val="left" w:pos="807"/>
        </w:tabs>
        <w:ind w:left="420"/>
      </w:pPr>
      <w:r>
        <w:t>zaměstnanci DPMP a.s.</w:t>
      </w:r>
    </w:p>
    <w:p w:rsidR="00D22F0F" w:rsidRDefault="00035BE0">
      <w:pPr>
        <w:pStyle w:val="Zkladntext20"/>
        <w:shd w:val="clear" w:color="auto" w:fill="auto"/>
        <w:spacing w:after="280" w:line="278" w:lineRule="exact"/>
        <w:ind w:left="420"/>
      </w:pPr>
      <w:r>
        <w:t xml:space="preserve">Osoby </w:t>
      </w:r>
      <w:r>
        <w:t>uvedené v bodu „b“ prokazují svůj nárok na bezplatnou přepravu platným zvláštním průkazem vydaným orgánem státní správy ČR.</w:t>
      </w:r>
    </w:p>
    <w:p w:rsidR="00D22F0F" w:rsidRDefault="00035BE0">
      <w:pPr>
        <w:pStyle w:val="Zkladntext20"/>
        <w:shd w:val="clear" w:color="auto" w:fill="auto"/>
        <w:spacing w:after="544" w:line="278" w:lineRule="exact"/>
        <w:ind w:left="420"/>
      </w:pPr>
      <w:r>
        <w:t xml:space="preserve">Nárok na zakoupení časového jízdného </w:t>
      </w:r>
      <w:r>
        <w:rPr>
          <w:rStyle w:val="Zkladntext2Tun"/>
        </w:rPr>
        <w:t xml:space="preserve">přenosného </w:t>
      </w:r>
      <w:r>
        <w:t>má každý držitel přenosné Pardubické karty.</w:t>
      </w:r>
    </w:p>
    <w:p w:rsidR="00D22F0F" w:rsidRDefault="00035BE0">
      <w:pPr>
        <w:pStyle w:val="Zkladntext20"/>
        <w:shd w:val="clear" w:color="auto" w:fill="auto"/>
      </w:pPr>
      <w:r>
        <w:t>Platnost všech časových jízdenek je od p</w:t>
      </w:r>
      <w:r>
        <w:t xml:space="preserve">ožadovaného data platnosti dle požadavku cestujícího zadaného v okamžiku prodeje. Nákup přenosné resp. nepřenosné časové jízdenky na Pardubickou kartu v období nákupu může časová jízdenka svou platností překročit termín vyhlášení nových tarifních podmínek </w:t>
      </w:r>
      <w:r>
        <w:t>nebo konec kalendářního roku bez nároku na změnu nebo doplatek. Před změnou tarifuje cestujícímu umožněno zakoupení časové jízdenky v ceně původního tarifu nejpozději do konce kalendářního měsíce, který předchází poslednímu kalendářnímu měsíci před platnos</w:t>
      </w:r>
      <w:r>
        <w:t xml:space="preserve">tí nového tarifu. Počátek platnosti takové časové jízdenky </w:t>
      </w:r>
      <w:r>
        <w:lastRenderedPageBreak/>
        <w:t>musí být minimálně 30 dní před termínem platnosti nového tarifů. Po tomto datu lze</w:t>
      </w:r>
    </w:p>
    <w:sectPr w:rsidR="00D22F0F">
      <w:pgSz w:w="11900" w:h="16840"/>
      <w:pgMar w:top="1503" w:right="1428" w:bottom="1503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E0" w:rsidRDefault="00035BE0">
      <w:r>
        <w:separator/>
      </w:r>
    </w:p>
  </w:endnote>
  <w:endnote w:type="continuationSeparator" w:id="0">
    <w:p w:rsidR="00035BE0" w:rsidRDefault="0003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E0" w:rsidRDefault="00035BE0"/>
  </w:footnote>
  <w:footnote w:type="continuationSeparator" w:id="0">
    <w:p w:rsidR="00035BE0" w:rsidRDefault="00035B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9C7"/>
    <w:multiLevelType w:val="multilevel"/>
    <w:tmpl w:val="2806CC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941688"/>
    <w:multiLevelType w:val="multilevel"/>
    <w:tmpl w:val="381618E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22F0F"/>
    <w:rsid w:val="00035BE0"/>
    <w:rsid w:val="00CE7534"/>
    <w:rsid w:val="00D2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10140-15CD-4E79-AA35-83BAF022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80" w:line="26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pm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2087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Štěpánková</dc:creator>
  <cp:lastModifiedBy>Dana Štěpánková</cp:lastModifiedBy>
  <cp:revision>1</cp:revision>
  <dcterms:created xsi:type="dcterms:W3CDTF">2018-03-22T11:43:00Z</dcterms:created>
  <dcterms:modified xsi:type="dcterms:W3CDTF">2018-03-22T11:43:00Z</dcterms:modified>
</cp:coreProperties>
</file>