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E3" w:rsidRDefault="004F52B1">
      <w:pPr>
        <w:pStyle w:val="Nadpis10"/>
        <w:keepNext/>
        <w:keepLines/>
        <w:shd w:val="clear" w:color="auto" w:fill="auto"/>
        <w:spacing w:after="315"/>
      </w:pPr>
      <w:bookmarkStart w:id="0" w:name="bookmark0"/>
      <w:bookmarkStart w:id="1" w:name="_GoBack"/>
      <w:bookmarkEnd w:id="1"/>
      <w:r>
        <w:t>Příloha č. 1 - Povinnosti komisionáře při prodeji produktů DPMP a.s.</w:t>
      </w:r>
      <w:bookmarkEnd w:id="0"/>
    </w:p>
    <w:p w:rsidR="00BC20E3" w:rsidRDefault="004F52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694"/>
        </w:tabs>
        <w:spacing w:before="0" w:after="274"/>
        <w:ind w:left="2360"/>
      </w:pPr>
      <w:bookmarkStart w:id="2" w:name="bookmark1"/>
      <w:r>
        <w:t>Prodej papírových jízdních dokladů:</w:t>
      </w:r>
      <w:bookmarkEnd w:id="2"/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</w:pPr>
      <w:r>
        <w:t>papírové jízdní doklady se prodávají pro jednotlivé jízdné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before="0"/>
      </w:pPr>
      <w:r>
        <w:t xml:space="preserve">jejich struktura je rozdělena na základní jízdné, zlevněné jízdné a přeprava zavazadel </w:t>
      </w:r>
      <w:r>
        <w:t>(ceny jízdného viz. platný Tarif MHD Pardubice)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280"/>
      </w:pPr>
      <w:r>
        <w:t>papírové jízdní doklady se prodávají ve dvou typech, a to pro Zónu I nebo pro Zónu I+II</w:t>
      </w:r>
    </w:p>
    <w:p w:rsidR="00BC20E3" w:rsidRDefault="004F52B1">
      <w:pPr>
        <w:pStyle w:val="Nadpis20"/>
        <w:keepNext/>
        <w:keepLines/>
        <w:shd w:val="clear" w:color="auto" w:fill="auto"/>
        <w:spacing w:before="0" w:after="0" w:line="274" w:lineRule="exact"/>
      </w:pPr>
      <w:bookmarkStart w:id="3" w:name="bookmark2"/>
      <w:r>
        <w:t>Na zlevněné jednotlivé jízdné mají nárok:</w:t>
      </w:r>
      <w:bookmarkEnd w:id="3"/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before="0"/>
      </w:pPr>
      <w:r>
        <w:t>děti ve věku od 6 do 15 let,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before="0"/>
      </w:pPr>
      <w:r>
        <w:t>všichni cestující ve věku od 65 let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before="0"/>
      </w:pPr>
      <w:r>
        <w:t>(nárok na sle</w:t>
      </w:r>
      <w:r>
        <w:t>vu prokazují platným dokladem totožnosti).</w:t>
      </w:r>
    </w:p>
    <w:p w:rsidR="00BC20E3" w:rsidRDefault="004F52B1">
      <w:pPr>
        <w:pStyle w:val="Zkladntext20"/>
        <w:shd w:val="clear" w:color="auto" w:fill="auto"/>
        <w:spacing w:before="0" w:after="286"/>
      </w:pPr>
      <w:r>
        <w:t>Toto věkové omezení začíná a končí dosažením uvedených věkových hranic cestujících.</w:t>
      </w:r>
    </w:p>
    <w:p w:rsidR="00BC20E3" w:rsidRDefault="004F52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613"/>
        </w:tabs>
        <w:spacing w:before="0" w:after="274"/>
        <w:ind w:left="2180"/>
      </w:pPr>
      <w:bookmarkStart w:id="4" w:name="bookmark3"/>
      <w:r>
        <w:t>Prodej časových předplatných jízdenek:</w:t>
      </w:r>
      <w:bookmarkEnd w:id="4"/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</w:pPr>
      <w:r>
        <w:t>časové předplatné jízdenky se dají zakoupit pouze na Pardubickou kartu s výjimkou občanské</w:t>
      </w:r>
      <w:r>
        <w:t xml:space="preserve"> časové jízdenky přenosné zakoupené v jízdenkových automatech (ceny jízdného viz. Příloha ě. 1 - Tarif MHD Pardubice)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286"/>
      </w:pPr>
      <w:r>
        <w:t>struktura časových jízdenek je rozdělena v Příloze č. 1 - Tarif MHD Pardubice</w:t>
      </w:r>
    </w:p>
    <w:p w:rsidR="00BC20E3" w:rsidRDefault="004F52B1">
      <w:pPr>
        <w:pStyle w:val="Nadpis20"/>
        <w:keepNext/>
        <w:keepLines/>
        <w:shd w:val="clear" w:color="auto" w:fill="auto"/>
        <w:spacing w:before="0" w:after="0"/>
      </w:pPr>
      <w:bookmarkStart w:id="5" w:name="bookmark4"/>
      <w:r>
        <w:t>Na občanské časové předplatné jízdné mají nárok:</w:t>
      </w:r>
      <w:bookmarkEnd w:id="5"/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280" w:line="266" w:lineRule="exact"/>
      </w:pPr>
      <w:r>
        <w:t>každý cestu</w:t>
      </w:r>
      <w:r>
        <w:t>jící, jež je uživatelem Pardubické karty a jehož karta je podtyp „občanská“</w:t>
      </w:r>
    </w:p>
    <w:p w:rsidR="00BC20E3" w:rsidRDefault="004F52B1">
      <w:pPr>
        <w:pStyle w:val="Nadpis20"/>
        <w:keepNext/>
        <w:keepLines/>
        <w:shd w:val="clear" w:color="auto" w:fill="auto"/>
        <w:spacing w:before="0" w:after="0"/>
      </w:pPr>
      <w:bookmarkStart w:id="6" w:name="bookmark5"/>
      <w:r>
        <w:t>Uplatňování nároku na občanské zlevněné časové jízdné:</w:t>
      </w:r>
      <w:bookmarkEnd w:id="6"/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280" w:line="266" w:lineRule="exact"/>
      </w:pPr>
      <w:r>
        <w:t>každý cestující, jež je uživatelem Pardubické karty a jehož karta je podtyp „zlevněná</w:t>
      </w:r>
      <w:r>
        <w:rPr>
          <w:vertAlign w:val="superscript"/>
        </w:rPr>
        <w:t>44</w:t>
      </w:r>
    </w:p>
    <w:p w:rsidR="00BC20E3" w:rsidRDefault="004F52B1">
      <w:pPr>
        <w:pStyle w:val="Nadpis20"/>
        <w:keepNext/>
        <w:keepLines/>
        <w:shd w:val="clear" w:color="auto" w:fill="auto"/>
        <w:spacing w:before="0" w:after="0"/>
      </w:pPr>
      <w:bookmarkStart w:id="7" w:name="bookmark6"/>
      <w:r>
        <w:t>Uplatňování nároku na zlevněné žákovs</w:t>
      </w:r>
      <w:r>
        <w:t>ké časové jízdné:</w:t>
      </w:r>
      <w:bookmarkEnd w:id="7"/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274" w:line="266" w:lineRule="exact"/>
      </w:pPr>
      <w:r>
        <w:t>každý cestující, jež je uživatelem Pardubické karty a jehož karta je podtyp „žákovská</w:t>
      </w:r>
      <w:r>
        <w:rPr>
          <w:vertAlign w:val="superscript"/>
        </w:rPr>
        <w:t>44</w:t>
      </w:r>
    </w:p>
    <w:p w:rsidR="00BC20E3" w:rsidRDefault="004F52B1">
      <w:pPr>
        <w:pStyle w:val="Nadpis20"/>
        <w:keepNext/>
        <w:keepLines/>
        <w:shd w:val="clear" w:color="auto" w:fill="auto"/>
        <w:spacing w:before="0" w:after="0" w:line="274" w:lineRule="exact"/>
      </w:pPr>
      <w:bookmarkStart w:id="8" w:name="bookmark7"/>
      <w:r>
        <w:t>Uplatňování nároku na zlevněné studentské časové jízdné:</w:t>
      </w:r>
      <w:bookmarkEnd w:id="8"/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before="0"/>
      </w:pPr>
      <w:r>
        <w:t>každý cestující, jež je uživatelem Pardubické karty a jehož karta je podtyp „studentská</w:t>
      </w:r>
      <w:r>
        <w:rPr>
          <w:vertAlign w:val="superscript"/>
        </w:rPr>
        <w:t>44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280"/>
      </w:pPr>
      <w:r>
        <w:t>pokud se jedná o cestujícího, kterému je 19 až 26 let, tak si musí přinést na zákaznické centrum potvrzení o studiu, tam mu kartu přetypují a teprve potom lze na tuto kartu prodávat studentské jízdné</w:t>
      </w:r>
    </w:p>
    <w:p w:rsidR="00BC20E3" w:rsidRDefault="004F52B1">
      <w:pPr>
        <w:pStyle w:val="Nadpis20"/>
        <w:keepNext/>
        <w:keepLines/>
        <w:shd w:val="clear" w:color="auto" w:fill="auto"/>
        <w:spacing w:before="0" w:after="0" w:line="274" w:lineRule="exact"/>
      </w:pPr>
      <w:bookmarkStart w:id="9" w:name="bookmark8"/>
      <w:r>
        <w:t>Uplatňování nároku na zlevněné časové jízdné Seniorpas:</w:t>
      </w:r>
      <w:bookmarkEnd w:id="9"/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before="0"/>
      </w:pPr>
      <w:r>
        <w:t>každý cestující, jež je uživatelem Pardubické karty a jehož karta je podtyp „senior</w:t>
      </w:r>
      <w:r>
        <w:rPr>
          <w:vertAlign w:val="superscript"/>
        </w:rPr>
        <w:t>44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566"/>
      </w:pPr>
      <w:r>
        <w:t>pokud se jedná o cestujícího, kterému bylo 70 let a nemá kartu podtyp „senior</w:t>
      </w:r>
      <w:r>
        <w:rPr>
          <w:vertAlign w:val="superscript"/>
        </w:rPr>
        <w:t>44</w:t>
      </w:r>
      <w:r>
        <w:t>, pak si musí dojít na zákaznické centru, kde mu karty přetypují a teprve potom lze na tuto</w:t>
      </w:r>
      <w:r>
        <w:t xml:space="preserve"> kartu prodávat seniorské jízdné</w:t>
      </w:r>
    </w:p>
    <w:p w:rsidR="00BC20E3" w:rsidRDefault="004F52B1">
      <w:pPr>
        <w:pStyle w:val="Nadpis20"/>
        <w:keepNext/>
        <w:keepLines/>
        <w:shd w:val="clear" w:color="auto" w:fill="auto"/>
        <w:spacing w:before="0"/>
        <w:ind w:right="40"/>
        <w:jc w:val="center"/>
      </w:pPr>
      <w:bookmarkStart w:id="10" w:name="bookmark9"/>
      <w:r>
        <w:t>IlI.Prodej elektronické hotovosti na Pardubickou kartu</w:t>
      </w:r>
      <w:bookmarkEnd w:id="10"/>
    </w:p>
    <w:p w:rsidR="00BC20E3" w:rsidRDefault="004F52B1">
      <w:pPr>
        <w:pStyle w:val="Zkladntext20"/>
        <w:shd w:val="clear" w:color="auto" w:fill="auto"/>
        <w:spacing w:before="0" w:after="534" w:line="266" w:lineRule="exact"/>
      </w:pPr>
      <w:r>
        <w:t xml:space="preserve">- elektronickou hotovost lze dobít pouze na Pardubickou kartu zakupovat časové jízdenky </w:t>
      </w:r>
      <w:r>
        <w:lastRenderedPageBreak/>
        <w:t>pouze za ceny nového tarifu. Toto ustanovení neplatí pro níže uvedené časové jíz</w:t>
      </w:r>
      <w:r>
        <w:t>denky: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49"/>
        </w:tabs>
        <w:spacing w:before="0"/>
      </w:pPr>
      <w:r>
        <w:t>žákovské půlroční, 1 Oti -měsíční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49"/>
        </w:tabs>
        <w:spacing w:before="0"/>
      </w:pPr>
      <w:r>
        <w:t>studentské půlroční, 10ti -měsíční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49"/>
        </w:tabs>
        <w:spacing w:before="0"/>
      </w:pPr>
      <w:r>
        <w:t>organizace měsíční, půlroční</w:t>
      </w:r>
    </w:p>
    <w:p w:rsidR="00BC20E3" w:rsidRDefault="004F52B1">
      <w:pPr>
        <w:pStyle w:val="Zkladntext20"/>
        <w:numPr>
          <w:ilvl w:val="0"/>
          <w:numId w:val="2"/>
        </w:numPr>
        <w:shd w:val="clear" w:color="auto" w:fill="auto"/>
        <w:tabs>
          <w:tab w:val="left" w:pos="249"/>
        </w:tabs>
        <w:spacing w:before="0" w:after="276"/>
      </w:pPr>
      <w:r>
        <w:t>seniorské jízdné 12ti měsíční dotované</w:t>
      </w:r>
    </w:p>
    <w:p w:rsidR="00BC20E3" w:rsidRDefault="004F52B1">
      <w:pPr>
        <w:pStyle w:val="Zkladntext20"/>
        <w:shd w:val="clear" w:color="auto" w:fill="auto"/>
        <w:spacing w:before="0" w:after="284" w:line="278" w:lineRule="exact"/>
      </w:pPr>
      <w:r>
        <w:t xml:space="preserve">Platnost předplatných časových jízdenek studentských a žákovských desetiměsíčních je stanovena vždy od 1. 9. do </w:t>
      </w:r>
      <w:r>
        <w:t>30. 6. následujícího kalendářního roku. Tento jízdní doklad si může zakoupit každý student nebo žák, jehož věk v období platnosti jízdního dokladu nepřesáhne příslušnou věkovou hranici pro přiznání jízdného.</w:t>
      </w:r>
    </w:p>
    <w:p w:rsidR="00BC20E3" w:rsidRDefault="004F52B1">
      <w:pPr>
        <w:pStyle w:val="Zkladntext20"/>
        <w:shd w:val="clear" w:color="auto" w:fill="auto"/>
        <w:spacing w:before="0" w:after="286"/>
      </w:pPr>
      <w:r>
        <w:t>Časové jízdenky žákovské (půlroční a 10ti měsíčn</w:t>
      </w:r>
      <w:r>
        <w:t>í), studentské (půlroční a desetiměsíční), organizace (půlroční a měsíční) platí vždy v příslušném kalendářním období. Seniorpasy dotované 12ti-měsíční platí pro období od 1. 2. do 31. 1. následujícího kalendářního roku.</w:t>
      </w:r>
    </w:p>
    <w:p w:rsidR="00BC20E3" w:rsidRDefault="004F52B1">
      <w:pPr>
        <w:pStyle w:val="Nadpis20"/>
        <w:keepNext/>
        <w:keepLines/>
        <w:shd w:val="clear" w:color="auto" w:fill="auto"/>
        <w:spacing w:before="0" w:after="274"/>
        <w:ind w:left="3680"/>
      </w:pPr>
      <w:bookmarkStart w:id="11" w:name="bookmark10"/>
      <w:r>
        <w:t>V. Zajištění prodeje</w:t>
      </w:r>
      <w:bookmarkEnd w:id="11"/>
    </w:p>
    <w:p w:rsidR="00BC20E3" w:rsidRDefault="004F52B1">
      <w:pPr>
        <w:pStyle w:val="Zkladntext20"/>
        <w:shd w:val="clear" w:color="auto" w:fill="auto"/>
        <w:spacing w:before="0"/>
      </w:pPr>
      <w:r>
        <w:t>Prodej bude za</w:t>
      </w:r>
      <w:r>
        <w:t>jištěn přes vyrobené identifikační karty IC-1, IC-2, IC-3, IC-4. Tyto karty budou používány pouze pro logování do domény DPMP. K žádnému jinému použití nejsou přihlašovací karty určeny.</w:t>
      </w:r>
    </w:p>
    <w:sectPr w:rsidR="00BC20E3">
      <w:pgSz w:w="11900" w:h="16840"/>
      <w:pgMar w:top="1496" w:right="1508" w:bottom="2350" w:left="1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B1" w:rsidRDefault="004F52B1">
      <w:r>
        <w:separator/>
      </w:r>
    </w:p>
  </w:endnote>
  <w:endnote w:type="continuationSeparator" w:id="0">
    <w:p w:rsidR="004F52B1" w:rsidRDefault="004F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B1" w:rsidRDefault="004F52B1"/>
  </w:footnote>
  <w:footnote w:type="continuationSeparator" w:id="0">
    <w:p w:rsidR="004F52B1" w:rsidRDefault="004F52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6C42"/>
    <w:multiLevelType w:val="multilevel"/>
    <w:tmpl w:val="EBACC4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D6C27"/>
    <w:multiLevelType w:val="multilevel"/>
    <w:tmpl w:val="E6284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20E3"/>
    <w:rsid w:val="004F52B1"/>
    <w:rsid w:val="005A0763"/>
    <w:rsid w:val="00B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BC129-B277-4242-985C-E376ADAF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80" w:after="28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8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2779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2018-03-22T11:42:00Z</dcterms:created>
  <dcterms:modified xsi:type="dcterms:W3CDTF">2018-03-22T11:42:00Z</dcterms:modified>
</cp:coreProperties>
</file>