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45" w:rsidRDefault="00D3102D">
      <w:pPr>
        <w:pStyle w:val="Nadpis10"/>
        <w:keepNext/>
        <w:keepLines/>
        <w:shd w:val="clear" w:color="auto" w:fill="auto"/>
      </w:pPr>
      <w:bookmarkStart w:id="0" w:name="bookmark0"/>
      <w:bookmarkStart w:id="1" w:name="_GoBack"/>
      <w:bookmarkEnd w:id="1"/>
      <w:r>
        <w:t>KOMISIONÁŘSKÁ SMLOUVA</w:t>
      </w:r>
      <w:r>
        <w:br/>
        <w:t>Č.j. 3226/2011</w:t>
      </w:r>
      <w:bookmarkEnd w:id="0"/>
    </w:p>
    <w:p w:rsidR="00371C45" w:rsidRDefault="00D3102D">
      <w:pPr>
        <w:pStyle w:val="Nadpis10"/>
        <w:keepNext/>
        <w:keepLines/>
        <w:shd w:val="clear" w:color="auto" w:fill="auto"/>
        <w:jc w:val="left"/>
      </w:pPr>
      <w:bookmarkStart w:id="2" w:name="bookmark1"/>
      <w:r>
        <w:t>uzavřená dle ustanovení § 2455 a násl. zákona č. 89/2012 Sb., občanský zákoník, v platném znění</w:t>
      </w:r>
      <w:bookmarkEnd w:id="2"/>
    </w:p>
    <w:p w:rsidR="00371C45" w:rsidRDefault="00D3102D">
      <w:pPr>
        <w:pStyle w:val="Zkladntext20"/>
        <w:shd w:val="clear" w:color="auto" w:fill="auto"/>
        <w:ind w:firstLine="0"/>
      </w:pPr>
      <w:r>
        <w:rPr>
          <w:rStyle w:val="Zkladntext21"/>
        </w:rPr>
        <w:t>Smluvní strany:</w:t>
      </w:r>
    </w:p>
    <w:p w:rsidR="00371C45" w:rsidRDefault="00D3102D">
      <w:pPr>
        <w:pStyle w:val="Nadpis10"/>
        <w:keepNext/>
        <w:keepLines/>
        <w:numPr>
          <w:ilvl w:val="0"/>
          <w:numId w:val="1"/>
        </w:numPr>
        <w:shd w:val="clear" w:color="auto" w:fill="auto"/>
        <w:tabs>
          <w:tab w:val="left" w:pos="638"/>
        </w:tabs>
        <w:jc w:val="left"/>
      </w:pPr>
      <w:bookmarkStart w:id="3" w:name="bookmark2"/>
      <w:r>
        <w:t>Turistické informační centrum Pardubice</w:t>
      </w:r>
      <w:bookmarkEnd w:id="3"/>
    </w:p>
    <w:p w:rsidR="00371C45" w:rsidRDefault="00D3102D">
      <w:pPr>
        <w:pStyle w:val="Zkladntext20"/>
        <w:shd w:val="clear" w:color="auto" w:fill="auto"/>
        <w:spacing w:line="288" w:lineRule="exact"/>
        <w:ind w:firstLine="0"/>
      </w:pPr>
      <w:r>
        <w:t>Sídlo: Náměstí Republiky 1, 530 02 Pardubice</w:t>
      </w:r>
    </w:p>
    <w:p w:rsidR="00371C45" w:rsidRDefault="00D3102D">
      <w:pPr>
        <w:pStyle w:val="Zkladntext20"/>
        <w:shd w:val="clear" w:color="auto" w:fill="auto"/>
        <w:spacing w:line="288" w:lineRule="exact"/>
        <w:ind w:firstLine="0"/>
      </w:pPr>
      <w:r>
        <w:t>IČ: 06495001</w:t>
      </w:r>
    </w:p>
    <w:p w:rsidR="00371C45" w:rsidRDefault="00D3102D">
      <w:pPr>
        <w:pStyle w:val="Zkladntext20"/>
        <w:shd w:val="clear" w:color="auto" w:fill="auto"/>
        <w:spacing w:line="288" w:lineRule="exact"/>
        <w:ind w:firstLine="0"/>
      </w:pPr>
      <w:r>
        <w:t>DIČ:</w:t>
      </w:r>
    </w:p>
    <w:p w:rsidR="00371C45" w:rsidRDefault="00D3102D">
      <w:pPr>
        <w:pStyle w:val="Zkladntext20"/>
        <w:shd w:val="clear" w:color="auto" w:fill="auto"/>
        <w:spacing w:line="288" w:lineRule="exact"/>
        <w:ind w:firstLine="0"/>
      </w:pPr>
      <w:r>
        <w:t>Zapsané v obchodním rejstříku Oprávněn k podpisu:</w:t>
      </w:r>
    </w:p>
    <w:p w:rsidR="00371C45" w:rsidRDefault="00D3102D">
      <w:pPr>
        <w:pStyle w:val="Zkladntext20"/>
        <w:shd w:val="clear" w:color="auto" w:fill="auto"/>
        <w:spacing w:line="288" w:lineRule="exact"/>
        <w:ind w:firstLine="0"/>
      </w:pPr>
      <w:r>
        <w:t>Bankovní spojení: Komerční banka, a.s.</w:t>
      </w:r>
    </w:p>
    <w:p w:rsidR="00371C45" w:rsidRDefault="00D3102D">
      <w:pPr>
        <w:pStyle w:val="Zkladntext20"/>
        <w:shd w:val="clear" w:color="auto" w:fill="auto"/>
        <w:spacing w:after="260" w:line="288" w:lineRule="exact"/>
        <w:ind w:firstLine="0"/>
      </w:pPr>
      <w:r>
        <w:t>Číslo účtu: 115-5858100267/0100 (dále jen „</w:t>
      </w:r>
      <w:r>
        <w:rPr>
          <w:rStyle w:val="Zkladntext2Kurzva"/>
        </w:rPr>
        <w:t>komisionář“)</w:t>
      </w:r>
    </w:p>
    <w:p w:rsidR="00371C45" w:rsidRDefault="00D3102D">
      <w:pPr>
        <w:pStyle w:val="Nadpis10"/>
        <w:keepNext/>
        <w:keepLines/>
        <w:numPr>
          <w:ilvl w:val="0"/>
          <w:numId w:val="1"/>
        </w:numPr>
        <w:shd w:val="clear" w:color="auto" w:fill="auto"/>
        <w:tabs>
          <w:tab w:val="left" w:pos="638"/>
        </w:tabs>
        <w:spacing w:line="288" w:lineRule="exact"/>
        <w:jc w:val="left"/>
      </w:pPr>
      <w:bookmarkStart w:id="4" w:name="bookmark3"/>
      <w:r>
        <w:t>Dopravní podnik města Pardubic a.s.</w:t>
      </w:r>
      <w:bookmarkEnd w:id="4"/>
    </w:p>
    <w:p w:rsidR="00371C45" w:rsidRDefault="00D3102D">
      <w:pPr>
        <w:pStyle w:val="Zkladntext20"/>
        <w:shd w:val="clear" w:color="auto" w:fill="auto"/>
        <w:spacing w:line="288" w:lineRule="exact"/>
        <w:ind w:firstLine="0"/>
      </w:pPr>
      <w:r>
        <w:t>Sídlo: Teplého 2141, 532 20 Pardubice IČ: 632 17 066 DIČ: CZ 632 17 066</w:t>
      </w:r>
    </w:p>
    <w:p w:rsidR="00371C45" w:rsidRDefault="00D3102D">
      <w:pPr>
        <w:pStyle w:val="Zkladntext20"/>
        <w:shd w:val="clear" w:color="auto" w:fill="auto"/>
        <w:spacing w:line="288" w:lineRule="exact"/>
        <w:ind w:firstLine="0"/>
      </w:pPr>
      <w:r>
        <w:t>Zap</w:t>
      </w:r>
      <w:r>
        <w:t>sané v obchodním rejstříku KS v Hradci Králové, pobočka Pardubice, oddíl B, vložka 1241</w:t>
      </w:r>
    </w:p>
    <w:p w:rsidR="00371C45" w:rsidRDefault="00D3102D">
      <w:pPr>
        <w:pStyle w:val="Zkladntext20"/>
        <w:shd w:val="clear" w:color="auto" w:fill="auto"/>
        <w:spacing w:line="288" w:lineRule="exact"/>
        <w:ind w:firstLine="0"/>
      </w:pPr>
      <w:r>
        <w:t>oprávněn k podpisu: místopředseda představenstva Ing. Tomáš Pelikán</w:t>
      </w:r>
    </w:p>
    <w:p w:rsidR="00371C45" w:rsidRDefault="00D3102D">
      <w:pPr>
        <w:pStyle w:val="Zkladntext20"/>
        <w:shd w:val="clear" w:color="auto" w:fill="auto"/>
        <w:spacing w:line="288" w:lineRule="exact"/>
        <w:ind w:firstLine="0"/>
      </w:pPr>
      <w:r>
        <w:t>Bankovní spojení: Komerční banka Pardubice</w:t>
      </w:r>
    </w:p>
    <w:p w:rsidR="00371C45" w:rsidRDefault="00D3102D">
      <w:pPr>
        <w:pStyle w:val="Zkladntext20"/>
        <w:shd w:val="clear" w:color="auto" w:fill="auto"/>
        <w:spacing w:line="288" w:lineRule="exact"/>
        <w:ind w:firstLine="0"/>
      </w:pPr>
      <w:r>
        <w:t>Číslo účtu: 19-2372930267/0100</w:t>
      </w:r>
    </w:p>
    <w:p w:rsidR="00371C45" w:rsidRDefault="00D3102D">
      <w:pPr>
        <w:pStyle w:val="Zkladntext30"/>
        <w:shd w:val="clear" w:color="auto" w:fill="auto"/>
      </w:pPr>
      <w:r>
        <w:rPr>
          <w:rStyle w:val="Zkladntext3Nekurzva"/>
        </w:rPr>
        <w:t xml:space="preserve">(dále jen </w:t>
      </w:r>
      <w:r>
        <w:t>,Jíomitent“)</w:t>
      </w:r>
    </w:p>
    <w:p w:rsidR="00371C45" w:rsidRDefault="00D3102D">
      <w:pPr>
        <w:pStyle w:val="Zkladntext20"/>
        <w:shd w:val="clear" w:color="auto" w:fill="auto"/>
        <w:spacing w:after="295" w:line="288" w:lineRule="exact"/>
        <w:ind w:firstLine="0"/>
      </w:pPr>
      <w:r>
        <w:t xml:space="preserve">uzavřeli níže uvedeného dne, měsíce a roku v souladu sust. § 2455 a násl. zákona č. 89/2012 Sb., občanský zákoník, v platném znění, tuto </w:t>
      </w:r>
      <w:r>
        <w:rPr>
          <w:rStyle w:val="Zkladntext2Kurzva0"/>
        </w:rPr>
        <w:t>Komisionářskou smlouvu</w:t>
      </w:r>
      <w:r>
        <w:t xml:space="preserve"> (dále jen </w:t>
      </w:r>
      <w:r>
        <w:rPr>
          <w:rStyle w:val="Zkladntext2Tun"/>
        </w:rPr>
        <w:t>,,smlouva“)</w:t>
      </w:r>
    </w:p>
    <w:p w:rsidR="00371C45" w:rsidRDefault="00D3102D">
      <w:pPr>
        <w:pStyle w:val="Nadpis10"/>
        <w:keepNext/>
        <w:keepLines/>
        <w:shd w:val="clear" w:color="auto" w:fill="auto"/>
        <w:spacing w:line="244" w:lineRule="exact"/>
      </w:pPr>
      <w:bookmarkStart w:id="5" w:name="bookmark4"/>
      <w:r>
        <w:t>Článek I.</w:t>
      </w:r>
      <w:bookmarkEnd w:id="5"/>
    </w:p>
    <w:p w:rsidR="00371C45" w:rsidRDefault="00D3102D">
      <w:pPr>
        <w:pStyle w:val="Nadpis10"/>
        <w:keepNext/>
        <w:keepLines/>
        <w:shd w:val="clear" w:color="auto" w:fill="auto"/>
        <w:spacing w:after="225" w:line="244" w:lineRule="exact"/>
      </w:pPr>
      <w:bookmarkStart w:id="6" w:name="bookmark5"/>
      <w:r>
        <w:t>Předmět „smlouvy“</w:t>
      </w:r>
      <w:bookmarkEnd w:id="6"/>
    </w:p>
    <w:p w:rsidR="00371C45" w:rsidRDefault="00D3102D">
      <w:pPr>
        <w:pStyle w:val="Zkladntext20"/>
        <w:numPr>
          <w:ilvl w:val="0"/>
          <w:numId w:val="2"/>
        </w:numPr>
        <w:shd w:val="clear" w:color="auto" w:fill="auto"/>
        <w:tabs>
          <w:tab w:val="left" w:pos="638"/>
        </w:tabs>
        <w:spacing w:line="288" w:lineRule="exact"/>
        <w:ind w:left="740" w:hanging="740"/>
        <w:jc w:val="both"/>
      </w:pPr>
      <w:r>
        <w:t>Předmětem této smlouvy je úplatné zajištění ní</w:t>
      </w:r>
      <w:r>
        <w:t>že specifikované obchodní záležitosti komitenta komisionářem, a to uskutečňováním následujících činností vlastním jménem a na účet komitenta:</w:t>
      </w:r>
    </w:p>
    <w:p w:rsidR="00371C45" w:rsidRDefault="00D3102D">
      <w:pPr>
        <w:pStyle w:val="Zkladntext20"/>
        <w:numPr>
          <w:ilvl w:val="0"/>
          <w:numId w:val="3"/>
        </w:numPr>
        <w:shd w:val="clear" w:color="auto" w:fill="auto"/>
        <w:tabs>
          <w:tab w:val="left" w:pos="1094"/>
        </w:tabs>
        <w:spacing w:line="244" w:lineRule="exact"/>
        <w:ind w:left="740" w:firstLine="0"/>
        <w:jc w:val="both"/>
      </w:pPr>
      <w:r>
        <w:t>prodej časových jízdních dokladů</w:t>
      </w:r>
    </w:p>
    <w:p w:rsidR="00371C45" w:rsidRDefault="00D3102D">
      <w:pPr>
        <w:pStyle w:val="Zkladntext20"/>
        <w:numPr>
          <w:ilvl w:val="0"/>
          <w:numId w:val="3"/>
        </w:numPr>
        <w:shd w:val="clear" w:color="auto" w:fill="auto"/>
        <w:tabs>
          <w:tab w:val="left" w:pos="1094"/>
        </w:tabs>
        <w:spacing w:line="244" w:lineRule="exact"/>
        <w:ind w:left="740" w:firstLine="0"/>
        <w:jc w:val="both"/>
      </w:pPr>
      <w:r>
        <w:t>prodej papírových jízdních dokladů</w:t>
      </w:r>
    </w:p>
    <w:p w:rsidR="00371C45" w:rsidRDefault="00D3102D">
      <w:pPr>
        <w:pStyle w:val="Zkladntext20"/>
        <w:numPr>
          <w:ilvl w:val="0"/>
          <w:numId w:val="3"/>
        </w:numPr>
        <w:shd w:val="clear" w:color="auto" w:fill="auto"/>
        <w:tabs>
          <w:tab w:val="left" w:pos="1094"/>
        </w:tabs>
        <w:spacing w:line="288" w:lineRule="exact"/>
        <w:ind w:left="740" w:firstLine="0"/>
        <w:jc w:val="both"/>
      </w:pPr>
      <w:r>
        <w:t>prodej elektronické hotovosti na elektronickou</w:t>
      </w:r>
      <w:r>
        <w:t xml:space="preserve"> peněženku Pardubické karty</w:t>
      </w:r>
    </w:p>
    <w:p w:rsidR="00371C45" w:rsidRDefault="00D3102D">
      <w:pPr>
        <w:pStyle w:val="Zkladntext20"/>
        <w:shd w:val="clear" w:color="auto" w:fill="auto"/>
        <w:spacing w:line="288" w:lineRule="exact"/>
        <w:ind w:left="740" w:firstLine="0"/>
        <w:jc w:val="both"/>
      </w:pPr>
      <w:r>
        <w:t>To vše za ceny dle platného tarifu pro MHD v Pardubicích prostřednictvím prodejních zařízení komisionáře, dále jen „předprodej".</w:t>
      </w:r>
    </w:p>
    <w:p w:rsidR="00371C45" w:rsidRDefault="00D3102D">
      <w:pPr>
        <w:pStyle w:val="Zkladntext20"/>
        <w:numPr>
          <w:ilvl w:val="0"/>
          <w:numId w:val="2"/>
        </w:numPr>
        <w:shd w:val="clear" w:color="auto" w:fill="auto"/>
        <w:tabs>
          <w:tab w:val="left" w:pos="638"/>
        </w:tabs>
        <w:spacing w:line="288" w:lineRule="exact"/>
        <w:ind w:left="740" w:hanging="740"/>
        <w:jc w:val="both"/>
      </w:pPr>
      <w:r>
        <w:t>Komisionář se zavazuje „předprodej</w:t>
      </w:r>
      <w:r>
        <w:rPr>
          <w:vertAlign w:val="superscript"/>
        </w:rPr>
        <w:t>14</w:t>
      </w:r>
      <w:r>
        <w:t xml:space="preserve"> zařídit a uskutečnit a postupovat při tom s odbornou péčí, pod</w:t>
      </w:r>
      <w:r>
        <w:t>le pokynů komitenta a v souladu se zájmy komitenta. Komisionář je povinen komitentovi bez zbytečného odkladu sdělovat všechny jím zjištěné skutečnosti, které by mohly ovlivnit či změnit pokyny či zájmy komitenta. Od pokynů komitenta se smí komisionář odchý</w:t>
      </w:r>
      <w:r>
        <w:t>lit pouze tehdy, je-li to naléhavě nezbytné vzhledem k zájmům komitenta a jen tehdy, nelze-li včas získat souhlas komitenta.</w:t>
      </w:r>
    </w:p>
    <w:p w:rsidR="00371C45" w:rsidRDefault="00D3102D">
      <w:pPr>
        <w:pStyle w:val="Zkladntext20"/>
        <w:numPr>
          <w:ilvl w:val="0"/>
          <w:numId w:val="2"/>
        </w:numPr>
        <w:shd w:val="clear" w:color="auto" w:fill="auto"/>
        <w:tabs>
          <w:tab w:val="left" w:pos="638"/>
        </w:tabs>
        <w:spacing w:after="295" w:line="288" w:lineRule="exact"/>
        <w:ind w:firstLine="0"/>
      </w:pPr>
      <w:r>
        <w:t>Veškeré finanční transakce vztahující se k této smlouvě se váží k provedení měsíční uzávěrky.</w:t>
      </w:r>
    </w:p>
    <w:p w:rsidR="00371C45" w:rsidRDefault="00D3102D">
      <w:pPr>
        <w:pStyle w:val="Nadpis10"/>
        <w:keepNext/>
        <w:keepLines/>
        <w:shd w:val="clear" w:color="auto" w:fill="auto"/>
        <w:spacing w:line="244" w:lineRule="exact"/>
      </w:pPr>
      <w:bookmarkStart w:id="7" w:name="bookmark6"/>
      <w:r>
        <w:t>Článek U.</w:t>
      </w:r>
      <w:bookmarkEnd w:id="7"/>
    </w:p>
    <w:p w:rsidR="00371C45" w:rsidRDefault="00D3102D">
      <w:pPr>
        <w:pStyle w:val="Nadpis10"/>
        <w:keepNext/>
        <w:keepLines/>
        <w:shd w:val="clear" w:color="auto" w:fill="auto"/>
        <w:spacing w:line="244" w:lineRule="exact"/>
        <w:sectPr w:rsidR="00371C45">
          <w:footerReference w:type="default" r:id="rId7"/>
          <w:pgSz w:w="11900" w:h="16840"/>
          <w:pgMar w:top="1258" w:right="1376" w:bottom="994" w:left="1376" w:header="0" w:footer="3" w:gutter="0"/>
          <w:cols w:space="720"/>
          <w:noEndnote/>
          <w:docGrid w:linePitch="360"/>
        </w:sectPr>
      </w:pPr>
      <w:bookmarkStart w:id="8" w:name="bookmark7"/>
      <w:r>
        <w:t>Povinnosti „komitenta"</w:t>
      </w:r>
      <w:bookmarkEnd w:id="8"/>
    </w:p>
    <w:p w:rsidR="00371C45" w:rsidRDefault="00D3102D">
      <w:pPr>
        <w:pStyle w:val="Zkladntext20"/>
        <w:shd w:val="clear" w:color="auto" w:fill="auto"/>
        <w:spacing w:after="535" w:line="288" w:lineRule="exact"/>
        <w:ind w:left="800"/>
        <w:jc w:val="both"/>
      </w:pPr>
      <w:r>
        <w:lastRenderedPageBreak/>
        <w:t xml:space="preserve">3.10. Komisionář se zavazuje, že plnění této smlouvy bude probíhat pouze v rámci jeho stálých zaměstnanců, kteří budou </w:t>
      </w:r>
      <w:r>
        <w:t>zaškoleni. S aplikací „předprodej“ nebudou pracovat brigádníci či externí zaměstnanci.</w:t>
      </w:r>
    </w:p>
    <w:p w:rsidR="00371C45" w:rsidRDefault="00D3102D">
      <w:pPr>
        <w:pStyle w:val="Nadpis10"/>
        <w:keepNext/>
        <w:keepLines/>
        <w:shd w:val="clear" w:color="auto" w:fill="auto"/>
        <w:spacing w:line="244" w:lineRule="exact"/>
        <w:ind w:right="40"/>
      </w:pPr>
      <w:bookmarkStart w:id="9" w:name="bookmark8"/>
      <w:r>
        <w:t>Článek IV.</w:t>
      </w:r>
      <w:bookmarkEnd w:id="9"/>
    </w:p>
    <w:p w:rsidR="00371C45" w:rsidRDefault="00D3102D">
      <w:pPr>
        <w:pStyle w:val="Nadpis10"/>
        <w:keepNext/>
        <w:keepLines/>
        <w:shd w:val="clear" w:color="auto" w:fill="auto"/>
        <w:spacing w:after="205" w:line="244" w:lineRule="exact"/>
        <w:ind w:right="40"/>
      </w:pPr>
      <w:bookmarkStart w:id="10" w:name="bookmark9"/>
      <w:r>
        <w:t>Odměna</w:t>
      </w:r>
      <w:bookmarkEnd w:id="10"/>
    </w:p>
    <w:p w:rsidR="00371C45" w:rsidRDefault="00D3102D">
      <w:pPr>
        <w:pStyle w:val="Zkladntext20"/>
        <w:numPr>
          <w:ilvl w:val="0"/>
          <w:numId w:val="4"/>
        </w:numPr>
        <w:shd w:val="clear" w:color="auto" w:fill="auto"/>
        <w:tabs>
          <w:tab w:val="left" w:pos="721"/>
        </w:tabs>
        <w:spacing w:line="288" w:lineRule="exact"/>
        <w:ind w:left="800"/>
        <w:jc w:val="both"/>
      </w:pPr>
      <w:r>
        <w:t>Odměna za činnost komisionáře podle této smlouvy (dále jen „odměna") je splatná čtvrtletně a je sjednána ve smyslu zákona č. 526/1990 Sb., v platném zn</w:t>
      </w:r>
      <w:r>
        <w:t xml:space="preserve">ění jako odměna smluvní. Odměna činí 15.000,- </w:t>
      </w:r>
      <w:r>
        <w:rPr>
          <w:rStyle w:val="Zkladntext2Kurzva"/>
        </w:rPr>
        <w:t>(patnáctisíc)</w:t>
      </w:r>
      <w:r>
        <w:t xml:space="preserve"> Kč za každý započatý měsíc trvání této smlouvy.</w:t>
      </w:r>
    </w:p>
    <w:p w:rsidR="00371C45" w:rsidRDefault="00D3102D">
      <w:pPr>
        <w:pStyle w:val="Zkladntext20"/>
        <w:numPr>
          <w:ilvl w:val="0"/>
          <w:numId w:val="4"/>
        </w:numPr>
        <w:shd w:val="clear" w:color="auto" w:fill="auto"/>
        <w:tabs>
          <w:tab w:val="left" w:pos="721"/>
        </w:tabs>
        <w:spacing w:line="288" w:lineRule="exact"/>
        <w:ind w:left="800"/>
        <w:jc w:val="both"/>
      </w:pPr>
      <w:r>
        <w:t>Sjednaná odměna zahrnuje veškeré náklady komisionáře.</w:t>
      </w:r>
    </w:p>
    <w:p w:rsidR="00371C45" w:rsidRDefault="00D3102D">
      <w:pPr>
        <w:pStyle w:val="Zkladntext20"/>
        <w:numPr>
          <w:ilvl w:val="0"/>
          <w:numId w:val="4"/>
        </w:numPr>
        <w:shd w:val="clear" w:color="auto" w:fill="auto"/>
        <w:tabs>
          <w:tab w:val="left" w:pos="721"/>
        </w:tabs>
        <w:spacing w:after="735" w:line="288" w:lineRule="exact"/>
        <w:ind w:left="800"/>
        <w:jc w:val="both"/>
      </w:pPr>
      <w:r>
        <w:t>Částka odměny sjednaná v bodu 4.1. této smlouvy neobsahuje DPH. K částce odměny připočte komis</w:t>
      </w:r>
      <w:r>
        <w:t>ionář DPH v zákonem stanovené výši.</w:t>
      </w:r>
    </w:p>
    <w:p w:rsidR="00371C45" w:rsidRDefault="00D3102D">
      <w:pPr>
        <w:pStyle w:val="Nadpis10"/>
        <w:keepNext/>
        <w:keepLines/>
        <w:shd w:val="clear" w:color="auto" w:fill="auto"/>
        <w:spacing w:line="244" w:lineRule="exact"/>
        <w:ind w:right="40"/>
      </w:pPr>
      <w:bookmarkStart w:id="11" w:name="bookmark10"/>
      <w:r>
        <w:t>Článek V.</w:t>
      </w:r>
      <w:bookmarkEnd w:id="11"/>
    </w:p>
    <w:p w:rsidR="00371C45" w:rsidRDefault="00D3102D">
      <w:pPr>
        <w:pStyle w:val="Nadpis10"/>
        <w:keepNext/>
        <w:keepLines/>
        <w:shd w:val="clear" w:color="auto" w:fill="auto"/>
        <w:spacing w:after="205" w:line="244" w:lineRule="exact"/>
        <w:ind w:right="40"/>
      </w:pPr>
      <w:bookmarkStart w:id="12" w:name="bookmark11"/>
      <w:r>
        <w:t>Doba trvání „smlouvy“</w:t>
      </w:r>
      <w:bookmarkEnd w:id="12"/>
    </w:p>
    <w:p w:rsidR="00371C45" w:rsidRDefault="00D3102D">
      <w:pPr>
        <w:pStyle w:val="Zkladntext20"/>
        <w:numPr>
          <w:ilvl w:val="0"/>
          <w:numId w:val="5"/>
        </w:numPr>
        <w:shd w:val="clear" w:color="auto" w:fill="auto"/>
        <w:tabs>
          <w:tab w:val="left" w:pos="721"/>
        </w:tabs>
        <w:spacing w:after="275" w:line="288" w:lineRule="exact"/>
        <w:ind w:left="800"/>
        <w:jc w:val="both"/>
      </w:pPr>
      <w:r>
        <w:t xml:space="preserve">Tato smlouva je uzavřena na dobu neurčitou. Každá ze smluvních stran má právo tuto smlouvu “vypovědět bez udání důvodů s výpovědní lhůtou 3 (tři) měsíce. Výpovědní lhůta začíná plynout </w:t>
      </w:r>
      <w:r>
        <w:t>prvním dnem prvního měsíce následujícího po doručení písemné výpovědi druhé smluvní straně. Po uplynutí výpovědní lhůty je komisionář povinen do 45 (čtyřicetipěti) dnů provést závěrečné vyúčtování a vzájemné finanční vypořádání.</w:t>
      </w:r>
    </w:p>
    <w:p w:rsidR="00371C45" w:rsidRDefault="00D3102D">
      <w:pPr>
        <w:pStyle w:val="Nadpis10"/>
        <w:keepNext/>
        <w:keepLines/>
        <w:shd w:val="clear" w:color="auto" w:fill="auto"/>
        <w:spacing w:line="244" w:lineRule="exact"/>
        <w:ind w:right="40"/>
      </w:pPr>
      <w:bookmarkStart w:id="13" w:name="bookmark12"/>
      <w:r>
        <w:t>Článek VI.</w:t>
      </w:r>
      <w:bookmarkEnd w:id="13"/>
    </w:p>
    <w:p w:rsidR="00371C45" w:rsidRDefault="00D3102D">
      <w:pPr>
        <w:pStyle w:val="Nadpis10"/>
        <w:keepNext/>
        <w:keepLines/>
        <w:shd w:val="clear" w:color="auto" w:fill="auto"/>
        <w:spacing w:after="205" w:line="244" w:lineRule="exact"/>
        <w:ind w:right="40"/>
      </w:pPr>
      <w:bookmarkStart w:id="14" w:name="bookmark13"/>
      <w:r>
        <w:t>Odstoupení od „s</w:t>
      </w:r>
      <w:r>
        <w:t>mlouvy"</w:t>
      </w:r>
      <w:bookmarkEnd w:id="14"/>
    </w:p>
    <w:p w:rsidR="00371C45" w:rsidRDefault="00D3102D">
      <w:pPr>
        <w:pStyle w:val="Zkladntext20"/>
        <w:numPr>
          <w:ilvl w:val="0"/>
          <w:numId w:val="6"/>
        </w:numPr>
        <w:shd w:val="clear" w:color="auto" w:fill="auto"/>
        <w:tabs>
          <w:tab w:val="left" w:pos="721"/>
        </w:tabs>
        <w:spacing w:line="288" w:lineRule="exact"/>
        <w:ind w:left="800"/>
        <w:jc w:val="both"/>
      </w:pPr>
      <w:r>
        <w:t>Smluvní strany se dohodly, že od této smlouvy mohou odstoupit v případech stanovených zákonem a touto smlouvou.</w:t>
      </w:r>
    </w:p>
    <w:p w:rsidR="00371C45" w:rsidRDefault="00D3102D">
      <w:pPr>
        <w:pStyle w:val="Zkladntext20"/>
        <w:numPr>
          <w:ilvl w:val="0"/>
          <w:numId w:val="6"/>
        </w:numPr>
        <w:shd w:val="clear" w:color="auto" w:fill="auto"/>
        <w:tabs>
          <w:tab w:val="left" w:pos="721"/>
        </w:tabs>
        <w:spacing w:line="288" w:lineRule="exact"/>
        <w:ind w:left="800"/>
        <w:jc w:val="both"/>
      </w:pPr>
      <w:r>
        <w:t>Účinky odstoupení od této smlouvy nastanou dnem doručení písemného odstoupení od této smlouvy druhé smluvní straně.</w:t>
      </w:r>
    </w:p>
    <w:p w:rsidR="00371C45" w:rsidRDefault="00D3102D">
      <w:pPr>
        <w:pStyle w:val="Zkladntext20"/>
        <w:numPr>
          <w:ilvl w:val="0"/>
          <w:numId w:val="6"/>
        </w:numPr>
        <w:shd w:val="clear" w:color="auto" w:fill="auto"/>
        <w:tabs>
          <w:tab w:val="left" w:pos="721"/>
        </w:tabs>
        <w:spacing w:after="275" w:line="288" w:lineRule="exact"/>
        <w:ind w:left="800"/>
        <w:jc w:val="both"/>
      </w:pPr>
      <w:r>
        <w:t xml:space="preserve">Odstoupí-li některá </w:t>
      </w:r>
      <w:r>
        <w:t>ze smluvních stran od této smlouvy, ať již na základě smluvního ujednání či ustanovení zákona, je komisionář povinen do 45 (čtyřicetipěti) dnů ode dne, kdy nastanou účinky odstoupení, provést závěrečné vyúčtování a vzájemné finanční vypořádání.</w:t>
      </w:r>
    </w:p>
    <w:p w:rsidR="00371C45" w:rsidRDefault="00D3102D">
      <w:pPr>
        <w:pStyle w:val="Nadpis10"/>
        <w:keepNext/>
        <w:keepLines/>
        <w:shd w:val="clear" w:color="auto" w:fill="auto"/>
        <w:spacing w:line="244" w:lineRule="exact"/>
        <w:ind w:right="40"/>
      </w:pPr>
      <w:bookmarkStart w:id="15" w:name="bookmark14"/>
      <w:r>
        <w:t>Článek VII.</w:t>
      </w:r>
      <w:bookmarkEnd w:id="15"/>
    </w:p>
    <w:p w:rsidR="00371C45" w:rsidRDefault="00D3102D">
      <w:pPr>
        <w:pStyle w:val="Nadpis10"/>
        <w:keepNext/>
        <w:keepLines/>
        <w:shd w:val="clear" w:color="auto" w:fill="auto"/>
        <w:spacing w:after="205" w:line="244" w:lineRule="exact"/>
        <w:ind w:right="40"/>
      </w:pPr>
      <w:bookmarkStart w:id="16" w:name="bookmark15"/>
      <w:r>
        <w:t>Povinnost mlčenlivosti</w:t>
      </w:r>
      <w:bookmarkEnd w:id="16"/>
    </w:p>
    <w:p w:rsidR="00371C45" w:rsidRDefault="00D3102D">
      <w:pPr>
        <w:pStyle w:val="Zkladntext20"/>
        <w:numPr>
          <w:ilvl w:val="0"/>
          <w:numId w:val="7"/>
        </w:numPr>
        <w:shd w:val="clear" w:color="auto" w:fill="auto"/>
        <w:tabs>
          <w:tab w:val="left" w:pos="721"/>
        </w:tabs>
        <w:spacing w:line="288" w:lineRule="exact"/>
        <w:ind w:left="800"/>
        <w:jc w:val="both"/>
      </w:pPr>
      <w:r>
        <w:t>Komisionář se zavazuje zachovávat mlčenlivost o skutečnostech, tvořících obchodní tajemství komitenta a zdržet se veškerých aktivit, které by mohly poškodit dobré jméno či zájmy komitenta. Dále se komisionář zavazuje nevyužít skuteč</w:t>
      </w:r>
      <w:r>
        <w:t>ností, o nichž se dozvěděl v důsledku jeho vztahu ke komitentovi založeného touto smlouvou, pro sebe či pro jiného, ani neumožnit jejich využití třetím osobám.</w:t>
      </w:r>
    </w:p>
    <w:p w:rsidR="00371C45" w:rsidRDefault="00D3102D">
      <w:pPr>
        <w:pStyle w:val="Zkladntext20"/>
        <w:numPr>
          <w:ilvl w:val="0"/>
          <w:numId w:val="7"/>
        </w:numPr>
        <w:shd w:val="clear" w:color="auto" w:fill="auto"/>
        <w:tabs>
          <w:tab w:val="left" w:pos="721"/>
        </w:tabs>
        <w:spacing w:line="288" w:lineRule="exact"/>
        <w:ind w:left="800"/>
        <w:jc w:val="both"/>
      </w:pPr>
      <w:r>
        <w:t>Komitent se zavazuje zachovávat mlčenlivost o skutečnostech, tvořících obchodní tajemství komisi</w:t>
      </w:r>
      <w:r>
        <w:t>onáře a zdržet se veškerých aktivit, které by mohly poškodit dobré jméno či zájmy komisionáře. Dále se komitent zavazuje nevyužít skutečností, o nichž se dozvěděl v důsledku jeho vztahu ke komisionáři a založeného touto smlouvou, pro sebe či pro jiného, an</w:t>
      </w:r>
      <w:r>
        <w:t>i neumožnit jejich využití třetím osobám.</w:t>
      </w:r>
    </w:p>
    <w:p w:rsidR="00371C45" w:rsidRDefault="00D3102D">
      <w:pPr>
        <w:pStyle w:val="Zkladntext20"/>
        <w:numPr>
          <w:ilvl w:val="0"/>
          <w:numId w:val="7"/>
        </w:numPr>
        <w:shd w:val="clear" w:color="auto" w:fill="auto"/>
        <w:tabs>
          <w:tab w:val="left" w:pos="721"/>
        </w:tabs>
        <w:spacing w:line="288" w:lineRule="exact"/>
        <w:ind w:left="800"/>
        <w:jc w:val="both"/>
      </w:pPr>
      <w:r>
        <w:t>Povinnosti uvedené v bodech 7.1. a 7.2. trvají i po skončení trvání této smlouvy, jakož i poté, co dojde k odstoupení od smlouvy či výpovědí některou ze stran nebo po ukončení platnosti</w:t>
      </w:r>
    </w:p>
    <w:sectPr w:rsidR="00371C45">
      <w:footerReference w:type="default" r:id="rId8"/>
      <w:pgSz w:w="11900" w:h="16840"/>
      <w:pgMar w:top="1258" w:right="1376" w:bottom="994" w:left="1376" w:header="0" w:footer="3"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2D" w:rsidRDefault="00D3102D">
      <w:r>
        <w:separator/>
      </w:r>
    </w:p>
  </w:endnote>
  <w:endnote w:type="continuationSeparator" w:id="0">
    <w:p w:rsidR="00D3102D" w:rsidRDefault="00D3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45" w:rsidRDefault="00D3102D">
    <w:pPr>
      <w:rPr>
        <w:sz w:val="2"/>
        <w:szCs w:val="2"/>
      </w:rPr>
    </w:pPr>
    <w:r>
      <w:pict>
        <v:shapetype id="_x0000_t202" coordsize="21600,21600" o:spt="202" path="m,l,21600r21600,l21600,xe">
          <v:stroke joinstyle="miter"/>
          <v:path gradientshapeok="t" o:connecttype="rect"/>
        </v:shapetype>
        <v:shape id="_x0000_s2050" type="#_x0000_t202" style="position:absolute;margin-left:490.45pt;margin-top:824.7pt;width:31.9pt;height:5.75pt;z-index:-188744064;mso-wrap-style:none;mso-wrap-distance-left:5pt;mso-wrap-distance-right:5pt;mso-position-horizontal-relative:page;mso-position-vertical-relative:page" wrapcoords="0 0" filled="f" stroked="f">
          <v:textbox style="mso-fit-shape-to-text:t" inset="0,0,0,0">
            <w:txbxContent>
              <w:p w:rsidR="00371C45" w:rsidRDefault="00D3102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76617" w:rsidRPr="00976617">
                  <w:rPr>
                    <w:rStyle w:val="ZhlavneboZpat1"/>
                    <w:noProof/>
                  </w:rPr>
                  <w:t>1</w:t>
                </w:r>
                <w:r>
                  <w:rPr>
                    <w:rStyle w:val="ZhlavneboZpat1"/>
                  </w:rPr>
                  <w:fldChar w:fldCharType="end"/>
                </w:r>
                <w:r>
                  <w:rPr>
                    <w:rStyle w:val="ZhlavneboZpat1"/>
                  </w:rPr>
                  <w:t>/4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45" w:rsidRDefault="00D3102D">
    <w:pPr>
      <w:rPr>
        <w:sz w:val="2"/>
        <w:szCs w:val="2"/>
      </w:rPr>
    </w:pPr>
    <w:r>
      <w:pict>
        <v:shapetype id="_x0000_t202" coordsize="21600,21600" o:spt="202" path="m,l,21600r21600,l21600,xe">
          <v:stroke joinstyle="miter"/>
          <v:path gradientshapeok="t" o:connecttype="rect"/>
        </v:shapetype>
        <v:shape id="_x0000_s2051" type="#_x0000_t202" style="position:absolute;margin-left:491.2pt;margin-top:823.95pt;width:31.7pt;height:5.75pt;z-index:-188744063;mso-wrap-style:none;mso-wrap-distance-left:5pt;mso-wrap-distance-right:5pt;mso-position-horizontal-relative:page;mso-position-vertical-relative:page" wrapcoords="0 0" filled="f" stroked="f">
          <v:textbox style="mso-fit-shape-to-text:t" inset="0,0,0,0">
            <w:txbxContent>
              <w:p w:rsidR="00371C45" w:rsidRDefault="00D3102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76617" w:rsidRPr="00976617">
                  <w:rPr>
                    <w:rStyle w:val="ZhlavneboZpat1"/>
                    <w:noProof/>
                  </w:rPr>
                  <w:t>3</w:t>
                </w:r>
                <w:r>
                  <w:rPr>
                    <w:rStyle w:val="ZhlavneboZpat1"/>
                  </w:rPr>
                  <w:fldChar w:fldCharType="end"/>
                </w:r>
                <w:r>
                  <w:rPr>
                    <w:rStyle w:val="ZhlavneboZpat1"/>
                  </w:rPr>
                  <w:t>/4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2D" w:rsidRDefault="00D3102D"/>
  </w:footnote>
  <w:footnote w:type="continuationSeparator" w:id="0">
    <w:p w:rsidR="00D3102D" w:rsidRDefault="00D310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101"/>
    <w:multiLevelType w:val="multilevel"/>
    <w:tmpl w:val="7BDAFA9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ED0ECF"/>
    <w:multiLevelType w:val="multilevel"/>
    <w:tmpl w:val="7AF22C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0F35BB"/>
    <w:multiLevelType w:val="multilevel"/>
    <w:tmpl w:val="F1EC7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164D9F"/>
    <w:multiLevelType w:val="multilevel"/>
    <w:tmpl w:val="43DE22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3748B0"/>
    <w:multiLevelType w:val="multilevel"/>
    <w:tmpl w:val="A14C4A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F3789E"/>
    <w:multiLevelType w:val="multilevel"/>
    <w:tmpl w:val="2A2084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9D75E0"/>
    <w:multiLevelType w:val="multilevel"/>
    <w:tmpl w:val="E6A8647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71C45"/>
    <w:rsid w:val="00371C45"/>
    <w:rsid w:val="00976617"/>
    <w:rsid w:val="00D310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4567F4A-C294-4210-9662-CEDDCF42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5"/>
      <w:szCs w:val="15"/>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2"/>
      <w:szCs w:val="22"/>
      <w:u w:val="none"/>
    </w:rPr>
  </w:style>
  <w:style w:type="character" w:customStyle="1" w:styleId="Zkladntext3Nekurzva">
    <w:name w:val="Základní text (3) + Ne kurzíva"/>
    <w:basedOn w:val="Zkladntext3"/>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Kurzva0">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singl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paragraph" w:customStyle="1" w:styleId="Nadpis10">
    <w:name w:val="Nadpis #1"/>
    <w:basedOn w:val="Normln"/>
    <w:link w:val="Nadpis1"/>
    <w:pPr>
      <w:shd w:val="clear" w:color="auto" w:fill="FFFFFF"/>
      <w:spacing w:line="490" w:lineRule="exact"/>
      <w:jc w:val="center"/>
      <w:outlineLvl w:val="0"/>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spacing w:line="166" w:lineRule="exact"/>
    </w:pPr>
    <w:rPr>
      <w:rFonts w:ascii="Times New Roman" w:eastAsia="Times New Roman" w:hAnsi="Times New Roman" w:cs="Times New Roman"/>
      <w:sz w:val="15"/>
      <w:szCs w:val="15"/>
    </w:rPr>
  </w:style>
  <w:style w:type="paragraph" w:customStyle="1" w:styleId="Zkladntext20">
    <w:name w:val="Základní text (2)"/>
    <w:basedOn w:val="Normln"/>
    <w:link w:val="Zkladntext2"/>
    <w:pPr>
      <w:shd w:val="clear" w:color="auto" w:fill="FFFFFF"/>
      <w:spacing w:line="490" w:lineRule="exact"/>
      <w:ind w:hanging="800"/>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260" w:line="288" w:lineRule="exact"/>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4007</Characters>
  <Application>Microsoft Office Word</Application>
  <DocSecurity>0</DocSecurity>
  <Lines>33</Lines>
  <Paragraphs>9</Paragraphs>
  <ScaleCrop>false</ScaleCrop>
  <Company>Hewlett-Packard Company</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Štěpánková</dc:creator>
  <cp:lastModifiedBy>Dana Štěpánková</cp:lastModifiedBy>
  <cp:revision>1</cp:revision>
  <dcterms:created xsi:type="dcterms:W3CDTF">2018-03-22T11:40:00Z</dcterms:created>
  <dcterms:modified xsi:type="dcterms:W3CDTF">2018-03-22T11:40:00Z</dcterms:modified>
</cp:coreProperties>
</file>