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4" w:rsidRPr="00EA338A" w:rsidRDefault="006E4AF8" w:rsidP="00DB4CA4">
      <w:pPr>
        <w:jc w:val="center"/>
        <w:rPr>
          <w:rFonts w:cs="Arial"/>
          <w:b/>
          <w:sz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-209550</wp:posOffset>
            </wp:positionV>
            <wp:extent cx="1113155" cy="542290"/>
            <wp:effectExtent l="19050" t="0" r="0" b="0"/>
            <wp:wrapNone/>
            <wp:docPr id="4" name="obrázek 4" descr="C:\Users\okrizek\Pictures\logo_V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rizek\Pictures\logo_VITA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CA4" w:rsidRPr="00EA338A" w:rsidRDefault="00DB4CA4" w:rsidP="00DB4CA4">
      <w:pPr>
        <w:jc w:val="center"/>
        <w:rPr>
          <w:rFonts w:cs="Arial"/>
          <w:b/>
          <w:sz w:val="24"/>
        </w:rPr>
      </w:pPr>
    </w:p>
    <w:p w:rsidR="0006764C" w:rsidRPr="00EA338A" w:rsidRDefault="00B8492A" w:rsidP="0006764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6"/>
        </w:rPr>
        <w:t xml:space="preserve">   </w:t>
      </w:r>
      <w:r w:rsidR="0006764C" w:rsidRPr="00EA338A">
        <w:rPr>
          <w:rFonts w:cs="Arial"/>
          <w:b/>
          <w:sz w:val="36"/>
        </w:rPr>
        <w:t xml:space="preserve">DODATEK </w:t>
      </w:r>
      <w:r w:rsidR="0006764C" w:rsidRPr="00EA338A">
        <w:rPr>
          <w:rFonts w:cs="Arial"/>
          <w:b/>
          <w:sz w:val="28"/>
          <w:szCs w:val="28"/>
        </w:rPr>
        <w:t xml:space="preserve">Č. </w:t>
      </w:r>
      <w:r w:rsidR="00CB2821" w:rsidRPr="00B8492A">
        <w:rPr>
          <w:rFonts w:cs="Arial"/>
          <w:b/>
          <w:sz w:val="36"/>
          <w:szCs w:val="28"/>
        </w:rPr>
        <w:t>2</w:t>
      </w:r>
    </w:p>
    <w:p w:rsidR="0006764C" w:rsidRPr="00EA338A" w:rsidRDefault="0006764C" w:rsidP="0006764C">
      <w:pPr>
        <w:spacing w:before="60"/>
        <w:jc w:val="center"/>
        <w:rPr>
          <w:rFonts w:cs="Arial"/>
          <w:b/>
          <w:sz w:val="28"/>
          <w:szCs w:val="28"/>
        </w:rPr>
      </w:pPr>
      <w:r w:rsidRPr="00EA338A">
        <w:rPr>
          <w:rFonts w:cs="Arial"/>
          <w:b/>
          <w:sz w:val="28"/>
          <w:szCs w:val="28"/>
        </w:rPr>
        <w:t>SMLOUVY O TECHNICKÉ PODPOŘE</w:t>
      </w:r>
    </w:p>
    <w:p w:rsidR="0006764C" w:rsidRPr="00EA338A" w:rsidRDefault="0006764C" w:rsidP="0006764C">
      <w:pPr>
        <w:spacing w:before="240"/>
        <w:jc w:val="center"/>
        <w:rPr>
          <w:rFonts w:cs="Arial"/>
        </w:rPr>
      </w:pPr>
      <w:r w:rsidRPr="00EA338A">
        <w:rPr>
          <w:rFonts w:cs="Arial"/>
        </w:rPr>
        <w:t>číslo TP</w:t>
      </w:r>
      <w:r w:rsidR="002D3311" w:rsidRPr="00EA338A">
        <w:rPr>
          <w:rFonts w:cs="Arial"/>
        </w:rPr>
        <w:t>18</w:t>
      </w:r>
      <w:r w:rsidRPr="00EA338A">
        <w:rPr>
          <w:rFonts w:cs="Arial"/>
        </w:rPr>
        <w:t>/1</w:t>
      </w:r>
      <w:r w:rsidR="002D3311" w:rsidRPr="00EA338A">
        <w:rPr>
          <w:rFonts w:cs="Arial"/>
        </w:rPr>
        <w:t>6</w:t>
      </w:r>
    </w:p>
    <w:p w:rsidR="00386AB7" w:rsidRPr="00EA338A" w:rsidRDefault="00386AB7">
      <w:pPr>
        <w:pStyle w:val="Zpat"/>
        <w:tabs>
          <w:tab w:val="clear" w:pos="4536"/>
          <w:tab w:val="clear" w:pos="9072"/>
        </w:tabs>
        <w:spacing w:line="240" w:lineRule="atLeast"/>
        <w:rPr>
          <w:rFonts w:cs="Arial"/>
        </w:rPr>
      </w:pPr>
    </w:p>
    <w:p w:rsidR="00386AB7" w:rsidRPr="00EA338A" w:rsidRDefault="00DB4CA4">
      <w:pPr>
        <w:spacing w:before="360" w:line="240" w:lineRule="atLeast"/>
        <w:rPr>
          <w:rFonts w:cs="Arial"/>
        </w:rPr>
      </w:pPr>
      <w:r w:rsidRPr="00EA338A">
        <w:rPr>
          <w:rFonts w:cs="Arial"/>
          <w:b/>
        </w:rPr>
        <w:t>Poskytovatel</w:t>
      </w:r>
      <w:r w:rsidR="00386AB7" w:rsidRPr="00EA338A">
        <w:rPr>
          <w:rFonts w:cs="Arial"/>
          <w:b/>
        </w:rPr>
        <w:t>:</w:t>
      </w:r>
      <w:r w:rsidR="00386AB7" w:rsidRPr="00EA338A">
        <w:rPr>
          <w:rFonts w:cs="Arial"/>
        </w:rPr>
        <w:tab/>
        <w:t xml:space="preserve">VITA software, s.r.o., Na </w:t>
      </w:r>
      <w:proofErr w:type="spellStart"/>
      <w:r w:rsidR="0073696A" w:rsidRPr="00EA338A">
        <w:rPr>
          <w:rFonts w:cs="Arial"/>
        </w:rPr>
        <w:t>Beránce</w:t>
      </w:r>
      <w:proofErr w:type="spellEnd"/>
      <w:r w:rsidR="0073696A" w:rsidRPr="00EA338A">
        <w:rPr>
          <w:rFonts w:cs="Arial"/>
        </w:rPr>
        <w:t xml:space="preserve"> </w:t>
      </w:r>
      <w:r w:rsidR="008C5611" w:rsidRPr="00EA338A">
        <w:rPr>
          <w:rFonts w:cs="Arial"/>
        </w:rPr>
        <w:t>57/</w:t>
      </w:r>
      <w:r w:rsidR="0073696A" w:rsidRPr="00EA338A">
        <w:rPr>
          <w:rFonts w:cs="Arial"/>
        </w:rPr>
        <w:t>2</w:t>
      </w:r>
      <w:r w:rsidR="00E366BC" w:rsidRPr="00EA338A">
        <w:rPr>
          <w:rFonts w:cs="Arial"/>
        </w:rPr>
        <w:t>, 160 00 Praha 6</w:t>
      </w:r>
      <w:r w:rsidR="00386AB7" w:rsidRPr="00EA338A">
        <w:rPr>
          <w:rFonts w:cs="Arial"/>
        </w:rPr>
        <w:t>, IČ</w:t>
      </w:r>
      <w:r w:rsidR="00D17B6B" w:rsidRPr="00EA338A">
        <w:rPr>
          <w:rFonts w:cs="Arial"/>
        </w:rPr>
        <w:t>O</w:t>
      </w:r>
      <w:r w:rsidR="00386AB7" w:rsidRPr="00EA338A">
        <w:rPr>
          <w:rFonts w:cs="Arial"/>
        </w:rPr>
        <w:t xml:space="preserve"> 610</w:t>
      </w:r>
      <w:r w:rsidR="00FA1F03">
        <w:rPr>
          <w:rFonts w:cs="Arial"/>
        </w:rPr>
        <w:t xml:space="preserve"> </w:t>
      </w:r>
      <w:r w:rsidR="00386AB7" w:rsidRPr="00EA338A">
        <w:rPr>
          <w:rFonts w:cs="Arial"/>
        </w:rPr>
        <w:t>60</w:t>
      </w:r>
      <w:r w:rsidR="00FA1F03">
        <w:rPr>
          <w:rFonts w:cs="Arial"/>
        </w:rPr>
        <w:t xml:space="preserve"> </w:t>
      </w:r>
      <w:r w:rsidR="00386AB7" w:rsidRPr="00EA338A">
        <w:rPr>
          <w:rFonts w:cs="Arial"/>
        </w:rPr>
        <w:t>631</w:t>
      </w:r>
      <w:r w:rsidR="0006764C" w:rsidRPr="00EA338A">
        <w:rPr>
          <w:rFonts w:cs="Arial"/>
        </w:rPr>
        <w:t>,</w:t>
      </w:r>
    </w:p>
    <w:p w:rsidR="00386AB7" w:rsidRPr="00EA338A" w:rsidRDefault="00386AB7" w:rsidP="0006764C">
      <w:pPr>
        <w:spacing w:line="240" w:lineRule="atLeast"/>
        <w:ind w:left="1410"/>
        <w:rPr>
          <w:rFonts w:cs="Arial"/>
        </w:rPr>
      </w:pPr>
      <w:r w:rsidRPr="00EA338A">
        <w:rPr>
          <w:rFonts w:cs="Arial"/>
        </w:rPr>
        <w:t xml:space="preserve">zapsaná u Městského soudu v Praze, </w:t>
      </w:r>
      <w:r w:rsidR="00C45950">
        <w:rPr>
          <w:rFonts w:cs="Arial"/>
        </w:rPr>
        <w:t xml:space="preserve">spisová. </w:t>
      </w:r>
      <w:proofErr w:type="gramStart"/>
      <w:r w:rsidRPr="00EA338A">
        <w:rPr>
          <w:rFonts w:cs="Arial"/>
        </w:rPr>
        <w:t>značka</w:t>
      </w:r>
      <w:proofErr w:type="gramEnd"/>
      <w:r w:rsidRPr="00EA338A">
        <w:rPr>
          <w:rFonts w:cs="Arial"/>
        </w:rPr>
        <w:t xml:space="preserve"> C</w:t>
      </w:r>
      <w:r w:rsidR="00032419">
        <w:rPr>
          <w:rFonts w:cs="Arial"/>
        </w:rPr>
        <w:t xml:space="preserve"> </w:t>
      </w:r>
      <w:r w:rsidRPr="00EA338A">
        <w:rPr>
          <w:rFonts w:cs="Arial"/>
        </w:rPr>
        <w:t>42951</w:t>
      </w:r>
      <w:r w:rsidR="0006764C" w:rsidRPr="00EA338A">
        <w:rPr>
          <w:rFonts w:cs="Arial"/>
        </w:rPr>
        <w:t>,</w:t>
      </w:r>
    </w:p>
    <w:p w:rsidR="00386AB7" w:rsidRPr="00EA338A" w:rsidRDefault="00386AB7" w:rsidP="0006764C">
      <w:pPr>
        <w:spacing w:line="240" w:lineRule="atLeast"/>
        <w:ind w:left="1410"/>
        <w:rPr>
          <w:rFonts w:cs="Arial"/>
        </w:rPr>
      </w:pPr>
      <w:r w:rsidRPr="00EA338A">
        <w:rPr>
          <w:rFonts w:cs="Arial"/>
        </w:rPr>
        <w:t>zastoupen</w:t>
      </w:r>
      <w:r w:rsidR="00FA1F03">
        <w:rPr>
          <w:rFonts w:cs="Arial"/>
        </w:rPr>
        <w:t>a</w:t>
      </w:r>
      <w:r w:rsidR="0006764C" w:rsidRPr="00EA338A">
        <w:rPr>
          <w:rFonts w:cs="Arial"/>
        </w:rPr>
        <w:t>:</w:t>
      </w:r>
      <w:r w:rsidRPr="00EA338A">
        <w:rPr>
          <w:rFonts w:cs="Arial"/>
        </w:rPr>
        <w:t xml:space="preserve"> RNDr. Ivan</w:t>
      </w:r>
      <w:r w:rsidR="0006764C" w:rsidRPr="00EA338A">
        <w:rPr>
          <w:rFonts w:cs="Arial"/>
        </w:rPr>
        <w:t>a</w:t>
      </w:r>
      <w:r w:rsidRPr="00EA338A">
        <w:rPr>
          <w:rFonts w:cs="Arial"/>
        </w:rPr>
        <w:t xml:space="preserve"> Havlíkov</w:t>
      </w:r>
      <w:r w:rsidR="0006764C" w:rsidRPr="00EA338A">
        <w:rPr>
          <w:rFonts w:cs="Arial"/>
        </w:rPr>
        <w:t>á, jednatel</w:t>
      </w:r>
    </w:p>
    <w:p w:rsidR="00386AB7" w:rsidRPr="00EA338A" w:rsidRDefault="00386AB7">
      <w:pPr>
        <w:spacing w:line="240" w:lineRule="atLeast"/>
        <w:rPr>
          <w:rFonts w:cs="Arial"/>
        </w:rPr>
      </w:pPr>
    </w:p>
    <w:p w:rsidR="002A4195" w:rsidRPr="00EA338A" w:rsidRDefault="002A4195" w:rsidP="002A4195">
      <w:pPr>
        <w:rPr>
          <w:rFonts w:cs="Arial"/>
        </w:rPr>
      </w:pPr>
      <w:r w:rsidRPr="00EA338A">
        <w:rPr>
          <w:rFonts w:cs="Arial"/>
          <w:b/>
        </w:rPr>
        <w:t>Uživatel:</w:t>
      </w:r>
      <w:r w:rsidRPr="00EA338A">
        <w:rPr>
          <w:rFonts w:cs="Arial"/>
        </w:rPr>
        <w:tab/>
      </w:r>
      <w:r w:rsidR="002D3311" w:rsidRPr="00EA338A">
        <w:rPr>
          <w:rFonts w:cs="Arial"/>
        </w:rPr>
        <w:t>Statutární město Karlovy Vary</w:t>
      </w:r>
      <w:r w:rsidRPr="00EA338A">
        <w:rPr>
          <w:rFonts w:cs="Arial"/>
        </w:rPr>
        <w:t xml:space="preserve">, </w:t>
      </w:r>
      <w:r w:rsidR="002D3311" w:rsidRPr="00EA338A">
        <w:rPr>
          <w:rFonts w:cs="Arial"/>
        </w:rPr>
        <w:t>Moskevská 21</w:t>
      </w:r>
      <w:r w:rsidRPr="00EA338A">
        <w:rPr>
          <w:rFonts w:cs="Arial"/>
        </w:rPr>
        <w:t xml:space="preserve">, </w:t>
      </w:r>
      <w:r w:rsidR="002D3311" w:rsidRPr="00EA338A">
        <w:rPr>
          <w:rFonts w:cs="Arial"/>
        </w:rPr>
        <w:t>361 20 Karlovy Vary</w:t>
      </w:r>
      <w:r w:rsidRPr="00EA338A">
        <w:rPr>
          <w:rFonts w:cs="Arial"/>
        </w:rPr>
        <w:t>, IČ</w:t>
      </w:r>
      <w:r w:rsidR="00D17B6B" w:rsidRPr="00EA338A">
        <w:rPr>
          <w:rFonts w:cs="Arial"/>
        </w:rPr>
        <w:t>O</w:t>
      </w:r>
      <w:r w:rsidRPr="00EA338A">
        <w:rPr>
          <w:rFonts w:cs="Arial"/>
        </w:rPr>
        <w:t xml:space="preserve"> 00</w:t>
      </w:r>
      <w:r w:rsidR="002D3311" w:rsidRPr="00EA338A">
        <w:rPr>
          <w:rFonts w:cs="Arial"/>
        </w:rPr>
        <w:t>2</w:t>
      </w:r>
      <w:r w:rsidR="00B8492A">
        <w:rPr>
          <w:rFonts w:cs="Arial"/>
        </w:rPr>
        <w:t xml:space="preserve"> </w:t>
      </w:r>
      <w:r w:rsidR="002D3311" w:rsidRPr="00EA338A">
        <w:rPr>
          <w:rFonts w:cs="Arial"/>
        </w:rPr>
        <w:t>54</w:t>
      </w:r>
      <w:r w:rsidR="00B8492A">
        <w:rPr>
          <w:rFonts w:cs="Arial"/>
        </w:rPr>
        <w:t xml:space="preserve"> </w:t>
      </w:r>
      <w:r w:rsidR="002D3311" w:rsidRPr="00EA338A">
        <w:rPr>
          <w:rFonts w:cs="Arial"/>
        </w:rPr>
        <w:t>657</w:t>
      </w:r>
      <w:r w:rsidRPr="00EA338A">
        <w:rPr>
          <w:rFonts w:cs="Arial"/>
        </w:rPr>
        <w:t>,</w:t>
      </w:r>
    </w:p>
    <w:p w:rsidR="002A4195" w:rsidRPr="00EA338A" w:rsidRDefault="002A4195" w:rsidP="002A4195">
      <w:pPr>
        <w:ind w:left="1418"/>
        <w:rPr>
          <w:rFonts w:cs="Arial"/>
        </w:rPr>
      </w:pPr>
      <w:r w:rsidRPr="00EA338A">
        <w:rPr>
          <w:rFonts w:cs="Arial"/>
        </w:rPr>
        <w:t>zastoupen</w:t>
      </w:r>
      <w:r w:rsidR="00C45950">
        <w:rPr>
          <w:rFonts w:cs="Arial"/>
        </w:rPr>
        <w:t>o</w:t>
      </w:r>
      <w:r w:rsidRPr="00EA338A">
        <w:rPr>
          <w:rFonts w:cs="Arial"/>
        </w:rPr>
        <w:t xml:space="preserve">: Ing. </w:t>
      </w:r>
      <w:r w:rsidR="002D3311" w:rsidRPr="00EA338A">
        <w:rPr>
          <w:rFonts w:cs="Arial"/>
        </w:rPr>
        <w:t>Petr Kulhánek</w:t>
      </w:r>
      <w:r w:rsidRPr="00EA338A">
        <w:rPr>
          <w:rFonts w:cs="Arial"/>
        </w:rPr>
        <w:t xml:space="preserve">, </w:t>
      </w:r>
      <w:r w:rsidR="002D3311" w:rsidRPr="00EA338A">
        <w:rPr>
          <w:rFonts w:cs="Arial"/>
        </w:rPr>
        <w:t>primátor</w:t>
      </w:r>
    </w:p>
    <w:p w:rsidR="0006764C" w:rsidRPr="00EA338A" w:rsidRDefault="0006764C" w:rsidP="0006764C">
      <w:pPr>
        <w:spacing w:before="60" w:line="240" w:lineRule="atLeast"/>
        <w:rPr>
          <w:rFonts w:cs="Arial"/>
        </w:rPr>
      </w:pPr>
    </w:p>
    <w:p w:rsidR="0006764C" w:rsidRPr="00EA338A" w:rsidRDefault="0006764C" w:rsidP="0006764C">
      <w:pPr>
        <w:spacing w:before="60" w:line="240" w:lineRule="atLeast"/>
        <w:rPr>
          <w:rFonts w:cs="Arial"/>
        </w:rPr>
      </w:pPr>
    </w:p>
    <w:p w:rsidR="00B8492A" w:rsidRDefault="00B8492A" w:rsidP="00B8492A">
      <w:pPr>
        <w:spacing w:before="60"/>
        <w:jc w:val="center"/>
        <w:rPr>
          <w:rFonts w:cs="Arial"/>
          <w:b/>
        </w:rPr>
      </w:pPr>
      <w:r w:rsidRPr="00EA338A">
        <w:rPr>
          <w:rFonts w:cs="Arial"/>
          <w:b/>
        </w:rPr>
        <w:t>I.</w:t>
      </w:r>
    </w:p>
    <w:p w:rsidR="00B8492A" w:rsidRPr="00EA338A" w:rsidRDefault="00B8492A" w:rsidP="00B8492A">
      <w:pPr>
        <w:spacing w:before="60"/>
        <w:jc w:val="center"/>
        <w:rPr>
          <w:rFonts w:cs="Arial"/>
          <w:b/>
        </w:rPr>
      </w:pPr>
      <w:r>
        <w:rPr>
          <w:rFonts w:cs="Arial"/>
          <w:b/>
        </w:rPr>
        <w:t>Předmět dodatku</w:t>
      </w:r>
    </w:p>
    <w:p w:rsidR="00B8492A" w:rsidRPr="00FA1F03" w:rsidRDefault="00B8492A" w:rsidP="00FA1F03">
      <w:pPr>
        <w:tabs>
          <w:tab w:val="num" w:pos="284"/>
        </w:tabs>
        <w:spacing w:before="120" w:line="240" w:lineRule="atLeast"/>
        <w:jc w:val="both"/>
        <w:rPr>
          <w:rFonts w:cs="Arial"/>
        </w:rPr>
      </w:pPr>
      <w:r w:rsidRPr="00FA1F03">
        <w:rPr>
          <w:rFonts w:cs="Arial"/>
        </w:rPr>
        <w:t xml:space="preserve">Smluvní strany se ve smyslu ustanovení čl. VII. </w:t>
      </w:r>
      <w:proofErr w:type="gramStart"/>
      <w:r w:rsidRPr="00FA1F03">
        <w:rPr>
          <w:rFonts w:cs="Arial"/>
        </w:rPr>
        <w:t>odst. 5  Smlouvy</w:t>
      </w:r>
      <w:proofErr w:type="gramEnd"/>
      <w:r w:rsidRPr="00FA1F03">
        <w:rPr>
          <w:rFonts w:cs="Arial"/>
        </w:rPr>
        <w:t xml:space="preserve"> o technické podpoře TP18/16 ze dne 23. 5. 2016 (dále jen "smlouva") dohodly, že se mění takto</w:t>
      </w:r>
      <w:r w:rsidRPr="00FA1F03">
        <w:rPr>
          <w:rFonts w:cs="Arial"/>
        </w:rPr>
        <w:t>:</w:t>
      </w:r>
    </w:p>
    <w:p w:rsidR="00B8492A" w:rsidRPr="00EA338A" w:rsidRDefault="00B8492A" w:rsidP="00B8492A"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jc w:val="both"/>
        <w:rPr>
          <w:rFonts w:cs="Arial"/>
        </w:rPr>
      </w:pPr>
      <w:r w:rsidRPr="00EA338A">
        <w:rPr>
          <w:rFonts w:cs="Arial"/>
        </w:rPr>
        <w:t xml:space="preserve">Příloha smlouvy </w:t>
      </w:r>
      <w:r>
        <w:rPr>
          <w:rFonts w:cs="Arial"/>
        </w:rPr>
        <w:t>„</w:t>
      </w:r>
      <w:r w:rsidRPr="00EA338A">
        <w:rPr>
          <w:rFonts w:cs="Arial"/>
        </w:rPr>
        <w:t>SPECIFIKACE</w:t>
      </w:r>
      <w:r>
        <w:rPr>
          <w:rFonts w:cs="Arial"/>
        </w:rPr>
        <w:t>“</w:t>
      </w:r>
      <w:r w:rsidRPr="00EA338A">
        <w:rPr>
          <w:rFonts w:cs="Arial"/>
        </w:rPr>
        <w:t xml:space="preserve"> se nahrazuje od </w:t>
      </w:r>
      <w:r>
        <w:rPr>
          <w:rFonts w:cs="Arial"/>
        </w:rPr>
        <w:t>3</w:t>
      </w:r>
      <w:r w:rsidRPr="00EA338A">
        <w:rPr>
          <w:rFonts w:cs="Arial"/>
        </w:rPr>
        <w:t xml:space="preserve">. čtvrtletí 2018 </w:t>
      </w:r>
      <w:r>
        <w:rPr>
          <w:rFonts w:cs="Arial"/>
        </w:rPr>
        <w:t xml:space="preserve">novou </w:t>
      </w:r>
      <w:r w:rsidRPr="00EA338A">
        <w:rPr>
          <w:rFonts w:cs="Arial"/>
        </w:rPr>
        <w:t xml:space="preserve">přílohou </w:t>
      </w:r>
      <w:r>
        <w:rPr>
          <w:rFonts w:cs="Arial"/>
        </w:rPr>
        <w:t>„</w:t>
      </w:r>
      <w:r w:rsidRPr="00EA338A">
        <w:rPr>
          <w:rFonts w:cs="Arial"/>
        </w:rPr>
        <w:t>SPECIFIKACE</w:t>
      </w:r>
      <w:r>
        <w:rPr>
          <w:rFonts w:cs="Arial"/>
        </w:rPr>
        <w:t>“, která je nedílnou součástí tohoto dodatku a smlouvy.</w:t>
      </w:r>
    </w:p>
    <w:p w:rsidR="00B8492A" w:rsidRDefault="00B8492A" w:rsidP="00B8492A">
      <w:pPr>
        <w:spacing w:before="60"/>
        <w:ind w:left="284"/>
        <w:jc w:val="both"/>
        <w:rPr>
          <w:rFonts w:cs="Arial"/>
        </w:rPr>
      </w:pPr>
    </w:p>
    <w:p w:rsidR="00B8492A" w:rsidRDefault="00B8492A" w:rsidP="00B8492A">
      <w:pPr>
        <w:pStyle w:val="Zkladntextodsazen21"/>
        <w:ind w:left="0" w:firstLine="0"/>
        <w:jc w:val="center"/>
        <w:rPr>
          <w:rFonts w:cs="Arial"/>
          <w:b/>
        </w:rPr>
      </w:pPr>
      <w:r w:rsidRPr="00EA338A">
        <w:rPr>
          <w:rFonts w:cs="Arial"/>
          <w:b/>
        </w:rPr>
        <w:t>II.</w:t>
      </w:r>
    </w:p>
    <w:p w:rsidR="00B8492A" w:rsidRPr="00EA338A" w:rsidRDefault="00B8492A" w:rsidP="00B8492A">
      <w:pPr>
        <w:pStyle w:val="Zkladntextodsazen21"/>
        <w:ind w:left="0" w:firstLine="0"/>
        <w:jc w:val="center"/>
        <w:rPr>
          <w:rFonts w:cs="Arial"/>
          <w:b/>
        </w:rPr>
      </w:pPr>
      <w:r>
        <w:rPr>
          <w:rFonts w:cs="Arial"/>
          <w:b/>
        </w:rPr>
        <w:t>Záv</w:t>
      </w:r>
      <w:r>
        <w:rPr>
          <w:rFonts w:cs="Arial"/>
          <w:b/>
        </w:rPr>
        <w:t>ě</w:t>
      </w:r>
      <w:r>
        <w:rPr>
          <w:rFonts w:cs="Arial"/>
          <w:b/>
        </w:rPr>
        <w:t>rečná ust</w:t>
      </w:r>
      <w:r>
        <w:rPr>
          <w:rFonts w:cs="Arial"/>
          <w:b/>
        </w:rPr>
        <w:t>a</w:t>
      </w:r>
      <w:r>
        <w:rPr>
          <w:rFonts w:cs="Arial"/>
          <w:b/>
        </w:rPr>
        <w:t>novení</w:t>
      </w:r>
    </w:p>
    <w:p w:rsidR="00B8492A" w:rsidRDefault="00B8492A" w:rsidP="00B8492A">
      <w:pPr>
        <w:pStyle w:val="Zkladntextodsazen21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 w:rsidRPr="00EA338A">
        <w:rPr>
          <w:rFonts w:cs="Arial"/>
        </w:rPr>
        <w:t xml:space="preserve">Dodatek je </w:t>
      </w:r>
      <w:r>
        <w:rPr>
          <w:rFonts w:cs="Arial"/>
        </w:rPr>
        <w:t>vypracován</w:t>
      </w:r>
      <w:r w:rsidRPr="00EA338A">
        <w:rPr>
          <w:rFonts w:cs="Arial"/>
        </w:rPr>
        <w:t xml:space="preserve"> ve čtyřech vyhotoveních, každá smluvní strana obdrží dvě vyhotovení.</w:t>
      </w:r>
    </w:p>
    <w:p w:rsidR="00B8492A" w:rsidRDefault="00B8492A" w:rsidP="00B8492A">
      <w:pPr>
        <w:pStyle w:val="Zkladntextodsazen21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Uživatel zajistí zveřejnění dodatku v registru smluv.</w:t>
      </w:r>
    </w:p>
    <w:p w:rsidR="00B8492A" w:rsidRPr="00EA338A" w:rsidRDefault="00B8492A" w:rsidP="00B8492A">
      <w:pPr>
        <w:pStyle w:val="Zkladntextodsazen21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Tento </w:t>
      </w:r>
      <w:r>
        <w:rPr>
          <w:rFonts w:cs="Arial"/>
        </w:rPr>
        <w:t>dodatek č. 2</w:t>
      </w:r>
      <w:r>
        <w:rPr>
          <w:rFonts w:cs="Arial"/>
        </w:rPr>
        <w:t xml:space="preserve"> nabývá platnosti dnem podpisu smluvních stran a účinnosti dnem zveřejnění v registru smluv.</w:t>
      </w:r>
    </w:p>
    <w:p w:rsidR="00B8492A" w:rsidRPr="00EA338A" w:rsidRDefault="00B8492A" w:rsidP="00B8492A">
      <w:pPr>
        <w:pStyle w:val="Zkladntextodsazen21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cs="Arial"/>
        </w:rPr>
      </w:pPr>
      <w:r w:rsidRPr="00EA338A">
        <w:rPr>
          <w:rFonts w:cs="Arial"/>
        </w:rPr>
        <w:t>Smluvní strany prohlašují, že si dodatek před jeho podpisem přečetly, že byl uzavřen po vzájemném projednání podle jejich pravé a svobodné vůle, určitě, vážně a srozumitelně, nikoli v tísni za nápadně nevýhodných podmínek. Autentičnost dodatku potvrzují svým podpisem.</w:t>
      </w:r>
    </w:p>
    <w:p w:rsidR="00B8492A" w:rsidRPr="00EA338A" w:rsidRDefault="00B8492A" w:rsidP="00B8492A">
      <w:pPr>
        <w:spacing w:line="240" w:lineRule="atLeast"/>
        <w:jc w:val="both"/>
        <w:rPr>
          <w:rFonts w:cs="Arial"/>
        </w:rPr>
      </w:pPr>
    </w:p>
    <w:p w:rsidR="00B8492A" w:rsidRPr="00EA338A" w:rsidRDefault="00B8492A" w:rsidP="00B8492A">
      <w:pPr>
        <w:spacing w:line="240" w:lineRule="atLeast"/>
        <w:jc w:val="both"/>
        <w:rPr>
          <w:rFonts w:cs="Arial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3756"/>
        <w:gridCol w:w="1277"/>
        <w:gridCol w:w="3742"/>
      </w:tblGrid>
      <w:tr w:rsidR="00B8492A" w:rsidRPr="00EA338A" w:rsidTr="002257D0">
        <w:tc>
          <w:tcPr>
            <w:tcW w:w="3756" w:type="dxa"/>
          </w:tcPr>
          <w:p w:rsidR="00B8492A" w:rsidRPr="00EA338A" w:rsidRDefault="00B8492A" w:rsidP="00B8492A">
            <w:pPr>
              <w:spacing w:line="240" w:lineRule="atLeast"/>
              <w:ind w:left="-70"/>
              <w:jc w:val="both"/>
              <w:rPr>
                <w:rFonts w:cs="Arial"/>
              </w:rPr>
            </w:pPr>
            <w:r w:rsidRPr="00EA338A">
              <w:rPr>
                <w:rFonts w:cs="Arial"/>
              </w:rPr>
              <w:t>Dne:</w:t>
            </w:r>
          </w:p>
        </w:tc>
        <w:tc>
          <w:tcPr>
            <w:tcW w:w="1277" w:type="dxa"/>
          </w:tcPr>
          <w:p w:rsidR="00B8492A" w:rsidRPr="00EA338A" w:rsidRDefault="00B8492A" w:rsidP="00B8492A">
            <w:pPr>
              <w:spacing w:line="240" w:lineRule="atLeast"/>
              <w:jc w:val="both"/>
              <w:rPr>
                <w:rFonts w:cs="Arial"/>
              </w:rPr>
            </w:pPr>
          </w:p>
        </w:tc>
        <w:tc>
          <w:tcPr>
            <w:tcW w:w="3742" w:type="dxa"/>
          </w:tcPr>
          <w:p w:rsidR="00B8492A" w:rsidRPr="00EA338A" w:rsidRDefault="00B8492A" w:rsidP="00B8492A">
            <w:pPr>
              <w:spacing w:line="240" w:lineRule="atLeast"/>
              <w:jc w:val="both"/>
              <w:rPr>
                <w:rFonts w:cs="Arial"/>
              </w:rPr>
            </w:pPr>
            <w:r w:rsidRPr="00EA338A">
              <w:rPr>
                <w:rFonts w:cs="Arial"/>
              </w:rPr>
              <w:t>Dne:</w:t>
            </w:r>
          </w:p>
        </w:tc>
      </w:tr>
      <w:tr w:rsidR="00B8492A" w:rsidRPr="00EA338A" w:rsidTr="002257D0">
        <w:trPr>
          <w:trHeight w:val="1461"/>
        </w:trPr>
        <w:tc>
          <w:tcPr>
            <w:tcW w:w="3756" w:type="dxa"/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B8492A" w:rsidRPr="00EA338A" w:rsidTr="002257D0">
        <w:tc>
          <w:tcPr>
            <w:tcW w:w="3756" w:type="dxa"/>
            <w:tcBorders>
              <w:bottom w:val="dotted" w:sz="4" w:space="0" w:color="auto"/>
            </w:tcBorders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bottom w:val="dotted" w:sz="4" w:space="0" w:color="auto"/>
            </w:tcBorders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B8492A" w:rsidRPr="00EA338A" w:rsidTr="002257D0">
        <w:tc>
          <w:tcPr>
            <w:tcW w:w="3756" w:type="dxa"/>
            <w:tcBorders>
              <w:top w:val="dotted" w:sz="4" w:space="0" w:color="auto"/>
            </w:tcBorders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  <w:r w:rsidRPr="00EA338A">
              <w:rPr>
                <w:rFonts w:cs="Arial"/>
              </w:rPr>
              <w:t>poskytovatel</w:t>
            </w:r>
          </w:p>
        </w:tc>
        <w:tc>
          <w:tcPr>
            <w:tcW w:w="1277" w:type="dxa"/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top w:val="dotted" w:sz="4" w:space="0" w:color="auto"/>
            </w:tcBorders>
          </w:tcPr>
          <w:p w:rsidR="00B8492A" w:rsidRPr="00EA338A" w:rsidRDefault="00B8492A" w:rsidP="002257D0">
            <w:pPr>
              <w:spacing w:line="240" w:lineRule="atLeast"/>
              <w:jc w:val="center"/>
              <w:rPr>
                <w:rFonts w:cs="Arial"/>
              </w:rPr>
            </w:pPr>
            <w:r w:rsidRPr="00EA338A">
              <w:rPr>
                <w:rFonts w:cs="Arial"/>
              </w:rPr>
              <w:t>uživatel</w:t>
            </w:r>
          </w:p>
        </w:tc>
      </w:tr>
    </w:tbl>
    <w:p w:rsidR="002248D4" w:rsidRPr="00EA338A" w:rsidRDefault="002248D4" w:rsidP="002248D4">
      <w:pPr>
        <w:pStyle w:val="Nadpis4"/>
        <w:spacing w:before="120" w:after="0"/>
        <w:rPr>
          <w:rFonts w:cs="Arial"/>
        </w:rPr>
        <w:sectPr w:rsidR="002248D4" w:rsidRPr="00EA338A" w:rsidSect="00CE00BC">
          <w:footerReference w:type="default" r:id="rId9"/>
          <w:pgSz w:w="11907" w:h="16840" w:code="9"/>
          <w:pgMar w:top="993" w:right="992" w:bottom="1134" w:left="1418" w:header="708" w:footer="454" w:gutter="0"/>
          <w:cols w:space="708"/>
        </w:sectPr>
      </w:pPr>
    </w:p>
    <w:p w:rsidR="00224C02" w:rsidRPr="00EA338A" w:rsidRDefault="005A3CC4" w:rsidP="00224C02">
      <w:pPr>
        <w:pStyle w:val="Nadpis4"/>
        <w:spacing w:before="120" w:after="0"/>
        <w:rPr>
          <w:rFonts w:cs="Arial"/>
          <w:szCs w:val="22"/>
        </w:rPr>
      </w:pPr>
      <w:fldSimple w:instr=" SUBJECT  \* MERGEFORMAT ">
        <w:r w:rsidR="00224C02" w:rsidRPr="00EA338A">
          <w:rPr>
            <w:rFonts w:cs="Arial"/>
            <w:szCs w:val="22"/>
          </w:rPr>
          <w:t>SPECIFIKACE</w:t>
        </w:r>
      </w:fldSimple>
    </w:p>
    <w:p w:rsidR="00224C02" w:rsidRPr="00EA338A" w:rsidRDefault="00224C02" w:rsidP="00224C02">
      <w:pPr>
        <w:spacing w:after="40"/>
        <w:rPr>
          <w:rFonts w:cs="Arial"/>
          <w:iCs/>
          <w:sz w:val="18"/>
          <w:szCs w:val="18"/>
        </w:rPr>
      </w:pPr>
      <w:r w:rsidRPr="00EA338A">
        <w:rPr>
          <w:rFonts w:cs="Arial"/>
          <w:iCs/>
          <w:sz w:val="18"/>
          <w:szCs w:val="18"/>
        </w:rPr>
        <w:t>PŘÍLOHA SMLOUVY O TECHNICKÉ PODPOŘE Č. TP</w:t>
      </w:r>
      <w:r w:rsidR="002D3311" w:rsidRPr="00EA338A">
        <w:rPr>
          <w:rFonts w:cs="Arial"/>
          <w:iCs/>
          <w:sz w:val="18"/>
          <w:szCs w:val="18"/>
        </w:rPr>
        <w:t>18</w:t>
      </w:r>
      <w:r w:rsidRPr="00EA338A">
        <w:rPr>
          <w:rFonts w:cs="Arial"/>
          <w:iCs/>
          <w:sz w:val="18"/>
          <w:szCs w:val="18"/>
        </w:rPr>
        <w:t>/</w:t>
      </w:r>
      <w:r w:rsidR="0006764C" w:rsidRPr="00EA338A">
        <w:rPr>
          <w:rFonts w:cs="Arial"/>
          <w:iCs/>
          <w:sz w:val="18"/>
          <w:szCs w:val="18"/>
        </w:rPr>
        <w:t>1</w:t>
      </w:r>
      <w:r w:rsidR="002D3311" w:rsidRPr="00EA338A">
        <w:rPr>
          <w:rFonts w:cs="Arial"/>
          <w:iCs/>
          <w:sz w:val="18"/>
          <w:szCs w:val="18"/>
        </w:rPr>
        <w:t>6</w:t>
      </w:r>
    </w:p>
    <w:p w:rsidR="00224C02" w:rsidRPr="00EA338A" w:rsidRDefault="00224C02" w:rsidP="00224C02">
      <w:pPr>
        <w:spacing w:before="60" w:line="240" w:lineRule="atLeast"/>
        <w:rPr>
          <w:rFonts w:cs="Arial"/>
        </w:rPr>
      </w:pPr>
    </w:p>
    <w:p w:rsidR="00A63C6D" w:rsidRPr="00EA338A" w:rsidRDefault="00A63C6D" w:rsidP="0025520D">
      <w:pPr>
        <w:spacing w:before="60" w:after="120"/>
        <w:jc w:val="center"/>
        <w:rPr>
          <w:rFonts w:cs="Arial"/>
        </w:rPr>
      </w:pPr>
      <w:r w:rsidRPr="00EA338A">
        <w:rPr>
          <w:rFonts w:cs="Arial"/>
          <w:b/>
        </w:rPr>
        <w:t>I.</w:t>
      </w:r>
      <w:r w:rsidRPr="00EA338A">
        <w:rPr>
          <w:rFonts w:cs="Arial"/>
          <w:b/>
        </w:rPr>
        <w:br/>
        <w:t xml:space="preserve">Specifikace </w:t>
      </w:r>
      <w:r w:rsidR="0060422B" w:rsidRPr="00EA338A">
        <w:rPr>
          <w:rFonts w:cs="Arial"/>
          <w:b/>
        </w:rPr>
        <w:t xml:space="preserve">a </w:t>
      </w:r>
      <w:r w:rsidRPr="00EA338A">
        <w:rPr>
          <w:rFonts w:cs="Arial"/>
          <w:b/>
        </w:rPr>
        <w:t>cena software</w:t>
      </w:r>
    </w:p>
    <w:p w:rsidR="00A63C6D" w:rsidRPr="00EA338A" w:rsidRDefault="00A63C6D" w:rsidP="00A63C6D">
      <w:pPr>
        <w:numPr>
          <w:ilvl w:val="0"/>
          <w:numId w:val="11"/>
        </w:numPr>
        <w:spacing w:before="60" w:after="120" w:line="240" w:lineRule="atLeast"/>
        <w:rPr>
          <w:rFonts w:cs="Arial"/>
        </w:rPr>
      </w:pPr>
      <w:r w:rsidRPr="00EA338A">
        <w:rPr>
          <w:rFonts w:cs="Arial"/>
        </w:rPr>
        <w:t>Název software</w:t>
      </w:r>
      <w:r w:rsidR="0060422B" w:rsidRPr="00EA338A">
        <w:rPr>
          <w:rFonts w:cs="Arial"/>
        </w:rPr>
        <w:t xml:space="preserve">, počet a </w:t>
      </w:r>
      <w:r w:rsidRPr="00EA338A">
        <w:rPr>
          <w:rFonts w:cs="Arial"/>
        </w:rPr>
        <w:t>cena</w:t>
      </w:r>
      <w:r w:rsidR="00C46863" w:rsidRPr="00EA338A">
        <w:rPr>
          <w:rFonts w:cs="Arial"/>
        </w:rPr>
        <w:t xml:space="preserve"> licencí</w:t>
      </w:r>
      <w:r w:rsidRPr="00EA338A">
        <w:rPr>
          <w:rFonts w:cs="Arial"/>
        </w:rPr>
        <w:t xml:space="preserve"> pro výpočet technické podpory: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708"/>
        <w:gridCol w:w="1418"/>
      </w:tblGrid>
      <w:tr w:rsidR="00A83DE5" w:rsidRPr="00EA338A" w:rsidTr="00394AFE">
        <w:trPr>
          <w:trHeight w:val="5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EA338A">
              <w:rPr>
                <w:rFonts w:cs="Arial"/>
                <w:sz w:val="16"/>
              </w:rPr>
              <w:t>Název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</w:rPr>
            </w:pPr>
            <w:r w:rsidRPr="00EA338A">
              <w:rPr>
                <w:rFonts w:cs="Arial"/>
                <w:sz w:val="16"/>
              </w:rPr>
              <w:t>Počet</w:t>
            </w:r>
            <w:r w:rsidRPr="00EA338A">
              <w:rPr>
                <w:rFonts w:cs="Arial"/>
                <w:sz w:val="16"/>
              </w:rPr>
              <w:br/>
              <w:t>licencí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EA338A">
              <w:rPr>
                <w:rFonts w:cs="Arial"/>
                <w:sz w:val="16"/>
              </w:rPr>
              <w:t>Cena</w:t>
            </w:r>
            <w:r w:rsidRPr="00EA338A">
              <w:rPr>
                <w:rFonts w:cs="Arial"/>
                <w:sz w:val="16"/>
              </w:rPr>
              <w:br/>
              <w:t>Kč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AIS VITA - Správní úřad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20 000,00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Stavební úřad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153 360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Silniční úřad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34 800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Vodoprávní úřad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55 680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Úřad územního plánování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71 400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Přestupky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6178C7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6178C7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117 800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CB2821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2821" w:rsidRPr="00EA338A" w:rsidRDefault="00CB2821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>Životní prostředí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B2821" w:rsidRPr="00EA338A" w:rsidRDefault="00CB2821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2821" w:rsidRPr="00EA338A" w:rsidRDefault="00CB2821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34 800,00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Vyvlastňovací úřad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EA338A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EA338A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48 720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Památky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EA338A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EA338A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54 000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A338A">
              <w:rPr>
                <w:rFonts w:cs="Arial"/>
              </w:rPr>
              <w:t>Koordinované stanovisko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40 000,00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 w:right="-28"/>
              <w:rPr>
                <w:rFonts w:cs="Arial"/>
              </w:rPr>
            </w:pPr>
            <w:r w:rsidRPr="00EA338A">
              <w:rPr>
                <w:rFonts w:cs="Arial"/>
              </w:rPr>
              <w:t xml:space="preserve">Propojení do SSL - </w:t>
            </w:r>
            <w:proofErr w:type="spellStart"/>
            <w:r w:rsidR="002D3311" w:rsidRPr="00EA338A">
              <w:rPr>
                <w:rFonts w:cs="Arial"/>
              </w:rPr>
              <w:t>AthenA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CB2821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EA338A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14</w:t>
            </w:r>
            <w:r w:rsidR="00CB2821">
              <w:rPr>
                <w:rFonts w:cs="Arial"/>
              </w:rPr>
              <w:t>7</w:t>
            </w:r>
            <w:r w:rsidRPr="00EA338A">
              <w:rPr>
                <w:rFonts w:cs="Arial"/>
              </w:rPr>
              <w:t xml:space="preserve"> </w:t>
            </w:r>
            <w:r w:rsidR="00CB2821">
              <w:rPr>
                <w:rFonts w:cs="Arial"/>
              </w:rPr>
              <w:t>5</w:t>
            </w:r>
            <w:r w:rsidRPr="00EA338A">
              <w:rPr>
                <w:rFonts w:cs="Arial"/>
              </w:rPr>
              <w:t>00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A83DE5" w:rsidRPr="00EA338A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ind w:left="114" w:right="-28"/>
              <w:rPr>
                <w:rFonts w:cs="Arial"/>
              </w:rPr>
            </w:pPr>
            <w:r w:rsidRPr="00EA338A">
              <w:rPr>
                <w:rFonts w:cs="Arial"/>
              </w:rPr>
              <w:t xml:space="preserve">Propojení do GIS - </w:t>
            </w:r>
            <w:r w:rsidR="002D3311" w:rsidRPr="00EA338A">
              <w:rPr>
                <w:rFonts w:cs="Arial"/>
              </w:rPr>
              <w:t>MISYS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A338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3DE5" w:rsidRPr="00EA338A" w:rsidRDefault="002D3311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A338A">
              <w:rPr>
                <w:rFonts w:cs="Arial"/>
              </w:rPr>
              <w:t>95 000</w:t>
            </w:r>
            <w:r w:rsidR="00A83DE5" w:rsidRPr="00EA338A">
              <w:rPr>
                <w:rFonts w:cs="Arial"/>
              </w:rPr>
              <w:t>,00</w:t>
            </w:r>
          </w:p>
        </w:tc>
      </w:tr>
      <w:tr w:rsidR="00A83DE5" w:rsidRPr="00EA338A" w:rsidTr="00394AFE">
        <w:trPr>
          <w:trHeight w:val="465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DE5" w:rsidRPr="00EA338A" w:rsidRDefault="00A83DE5" w:rsidP="00394AFE">
            <w:pPr>
              <w:spacing w:before="60" w:after="60" w:line="240" w:lineRule="atLeast"/>
              <w:jc w:val="center"/>
              <w:rPr>
                <w:rFonts w:cs="Arial"/>
              </w:rPr>
            </w:pPr>
            <w:r w:rsidRPr="00EA338A">
              <w:rPr>
                <w:rFonts w:cs="Arial"/>
              </w:rPr>
              <w:t>Celkem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DE5" w:rsidRPr="00EA338A" w:rsidRDefault="00CB2821" w:rsidP="00394AFE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873 060</w:t>
            </w:r>
            <w:r w:rsidR="00A83DE5" w:rsidRPr="00EA338A">
              <w:rPr>
                <w:rFonts w:cs="Arial"/>
              </w:rPr>
              <w:t>,00</w:t>
            </w:r>
          </w:p>
        </w:tc>
      </w:tr>
    </w:tbl>
    <w:p w:rsidR="002A4475" w:rsidRPr="00EA338A" w:rsidRDefault="002A4475" w:rsidP="002A4475">
      <w:pPr>
        <w:pStyle w:val="Zpat"/>
        <w:tabs>
          <w:tab w:val="clear" w:pos="4536"/>
          <w:tab w:val="clear" w:pos="9072"/>
        </w:tabs>
        <w:spacing w:before="120"/>
        <w:ind w:left="284"/>
        <w:rPr>
          <w:rFonts w:cs="Arial"/>
        </w:rPr>
      </w:pPr>
      <w:r w:rsidRPr="00EA338A">
        <w:rPr>
          <w:rFonts w:cs="Arial"/>
        </w:rPr>
        <w:t>Cena technické podpory za 1 čtvrtletí je 5 % z uvedené ceny</w:t>
      </w:r>
      <w:r w:rsidR="00DB7FF9" w:rsidRPr="00EA338A">
        <w:rPr>
          <w:rFonts w:cs="Arial"/>
        </w:rPr>
        <w:t xml:space="preserve">, tj. </w:t>
      </w:r>
      <w:r w:rsidR="00CB2821">
        <w:rPr>
          <w:rFonts w:cs="Arial"/>
        </w:rPr>
        <w:t>43 653,-</w:t>
      </w:r>
      <w:r w:rsidR="00DB7FF9" w:rsidRPr="00EA338A">
        <w:rPr>
          <w:rFonts w:cs="Arial"/>
        </w:rPr>
        <w:t xml:space="preserve"> Kč</w:t>
      </w:r>
      <w:r w:rsidR="00C011A3" w:rsidRPr="00EA338A">
        <w:rPr>
          <w:rFonts w:cs="Arial"/>
        </w:rPr>
        <w:t xml:space="preserve"> bez DPH</w:t>
      </w:r>
      <w:r w:rsidRPr="00EA338A">
        <w:rPr>
          <w:rFonts w:cs="Arial"/>
        </w:rPr>
        <w:t>.</w:t>
      </w:r>
    </w:p>
    <w:p w:rsidR="00A83DE5" w:rsidRPr="00EA338A" w:rsidRDefault="00A83DE5" w:rsidP="00A83DE5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p w:rsidR="00224C02" w:rsidRPr="00EA338A" w:rsidRDefault="00224C02" w:rsidP="0025520D">
      <w:pPr>
        <w:spacing w:before="60" w:after="120"/>
        <w:jc w:val="center"/>
        <w:rPr>
          <w:rFonts w:cs="Arial"/>
        </w:rPr>
      </w:pPr>
      <w:r w:rsidRPr="00EA338A">
        <w:rPr>
          <w:rFonts w:cs="Arial"/>
          <w:b/>
        </w:rPr>
        <w:t>II.</w:t>
      </w:r>
      <w:r w:rsidRPr="00EA338A">
        <w:rPr>
          <w:rFonts w:cs="Arial"/>
          <w:b/>
        </w:rPr>
        <w:br/>
        <w:t>Specifikace a cena dalších služeb</w:t>
      </w:r>
    </w:p>
    <w:p w:rsidR="00224C02" w:rsidRPr="00EA338A" w:rsidRDefault="00224C02" w:rsidP="00224C02">
      <w:pPr>
        <w:numPr>
          <w:ilvl w:val="0"/>
          <w:numId w:val="4"/>
        </w:numPr>
        <w:spacing w:before="60"/>
        <w:rPr>
          <w:rFonts w:cs="Arial"/>
        </w:rPr>
      </w:pPr>
      <w:r w:rsidRPr="00EA338A">
        <w:rPr>
          <w:rFonts w:cs="Arial"/>
        </w:rPr>
        <w:t>Další služby nejsou specifikovány.</w:t>
      </w:r>
    </w:p>
    <w:p w:rsidR="0064000D" w:rsidRPr="00EA338A" w:rsidRDefault="0064000D" w:rsidP="002248D4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sectPr w:rsidR="0064000D" w:rsidRPr="00EA338A" w:rsidSect="001022D2">
      <w:footerReference w:type="default" r:id="rId10"/>
      <w:pgSz w:w="11906" w:h="16838"/>
      <w:pgMar w:top="1417" w:right="991" w:bottom="851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7B" w:rsidRDefault="00F2317B">
      <w:r>
        <w:separator/>
      </w:r>
    </w:p>
  </w:endnote>
  <w:endnote w:type="continuationSeparator" w:id="0">
    <w:p w:rsidR="00F2317B" w:rsidRDefault="00F2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7F" w:rsidRDefault="006D437F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 w:rsidR="005A3CC4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5A3CC4">
      <w:rPr>
        <w:rStyle w:val="slostrnky"/>
        <w:sz w:val="18"/>
      </w:rPr>
      <w:fldChar w:fldCharType="separate"/>
    </w:r>
    <w:r w:rsidR="00FA1F03">
      <w:rPr>
        <w:rStyle w:val="slostrnky"/>
        <w:noProof/>
        <w:sz w:val="18"/>
      </w:rPr>
      <w:t>1</w:t>
    </w:r>
    <w:r w:rsidR="005A3CC4">
      <w:rPr>
        <w:rStyle w:val="slostrnky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A6" w:rsidRDefault="00516EA6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 w:rsidR="005A3CC4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5A3CC4">
      <w:rPr>
        <w:rStyle w:val="slostrnky"/>
        <w:sz w:val="18"/>
      </w:rPr>
      <w:fldChar w:fldCharType="separate"/>
    </w:r>
    <w:r w:rsidR="00FA1F03">
      <w:rPr>
        <w:rStyle w:val="slostrnky"/>
        <w:noProof/>
        <w:sz w:val="18"/>
      </w:rPr>
      <w:t>1</w:t>
    </w:r>
    <w:r w:rsidR="005A3CC4">
      <w:rPr>
        <w:rStyle w:val="slostrnky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7B" w:rsidRDefault="00F2317B">
      <w:r>
        <w:separator/>
      </w:r>
    </w:p>
  </w:footnote>
  <w:footnote w:type="continuationSeparator" w:id="0">
    <w:p w:rsidR="00F2317B" w:rsidRDefault="00F23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C7B"/>
    <w:multiLevelType w:val="singleLevel"/>
    <w:tmpl w:val="D2DA8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4A0D07"/>
    <w:multiLevelType w:val="hybridMultilevel"/>
    <w:tmpl w:val="145C73D4"/>
    <w:lvl w:ilvl="0" w:tplc="6D723FE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2115"/>
    <w:multiLevelType w:val="hybridMultilevel"/>
    <w:tmpl w:val="BAA86356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F65B2"/>
    <w:multiLevelType w:val="singleLevel"/>
    <w:tmpl w:val="69F66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5367CD"/>
    <w:multiLevelType w:val="hybridMultilevel"/>
    <w:tmpl w:val="FFD6799A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26E2E"/>
    <w:multiLevelType w:val="hybridMultilevel"/>
    <w:tmpl w:val="6BEA5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5120E"/>
    <w:multiLevelType w:val="hybridMultilevel"/>
    <w:tmpl w:val="62B649D8"/>
    <w:lvl w:ilvl="0" w:tplc="06CE681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D0143"/>
    <w:multiLevelType w:val="hybridMultilevel"/>
    <w:tmpl w:val="EDDA82D0"/>
    <w:lvl w:ilvl="0" w:tplc="D2DA8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EB8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96248"/>
    <w:multiLevelType w:val="hybridMultilevel"/>
    <w:tmpl w:val="5928CE88"/>
    <w:lvl w:ilvl="0" w:tplc="8A20864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682"/>
    <w:multiLevelType w:val="hybridMultilevel"/>
    <w:tmpl w:val="A43646CC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4783D"/>
    <w:multiLevelType w:val="singleLevel"/>
    <w:tmpl w:val="1BF2652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0044125"/>
    <w:multiLevelType w:val="hybridMultilevel"/>
    <w:tmpl w:val="F66294D0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965E3"/>
    <w:multiLevelType w:val="hybridMultilevel"/>
    <w:tmpl w:val="C7685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A25D0"/>
    <w:multiLevelType w:val="hybridMultilevel"/>
    <w:tmpl w:val="5FE68AD4"/>
    <w:lvl w:ilvl="0" w:tplc="66843BB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113C5"/>
    <w:multiLevelType w:val="hybridMultilevel"/>
    <w:tmpl w:val="3BE07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9F"/>
    <w:rsid w:val="00013AC1"/>
    <w:rsid w:val="0001400C"/>
    <w:rsid w:val="00032419"/>
    <w:rsid w:val="0005725B"/>
    <w:rsid w:val="000610C3"/>
    <w:rsid w:val="00061A5A"/>
    <w:rsid w:val="00063EF8"/>
    <w:rsid w:val="0006764C"/>
    <w:rsid w:val="00080E00"/>
    <w:rsid w:val="000904E9"/>
    <w:rsid w:val="00090A42"/>
    <w:rsid w:val="000A3AC7"/>
    <w:rsid w:val="000B5565"/>
    <w:rsid w:val="000C4FFC"/>
    <w:rsid w:val="000D3FE6"/>
    <w:rsid w:val="001022D2"/>
    <w:rsid w:val="001133F3"/>
    <w:rsid w:val="00113E15"/>
    <w:rsid w:val="0011663F"/>
    <w:rsid w:val="0015474A"/>
    <w:rsid w:val="00157313"/>
    <w:rsid w:val="00166EA8"/>
    <w:rsid w:val="0017381E"/>
    <w:rsid w:val="001B2649"/>
    <w:rsid w:val="001B4FAB"/>
    <w:rsid w:val="001B7186"/>
    <w:rsid w:val="002028FB"/>
    <w:rsid w:val="0021540C"/>
    <w:rsid w:val="002248D4"/>
    <w:rsid w:val="00224C02"/>
    <w:rsid w:val="00233445"/>
    <w:rsid w:val="0025520D"/>
    <w:rsid w:val="0026189D"/>
    <w:rsid w:val="002634B0"/>
    <w:rsid w:val="00273AD2"/>
    <w:rsid w:val="00274F43"/>
    <w:rsid w:val="00283841"/>
    <w:rsid w:val="00285B02"/>
    <w:rsid w:val="00291CC9"/>
    <w:rsid w:val="002A4195"/>
    <w:rsid w:val="002A4475"/>
    <w:rsid w:val="002D3311"/>
    <w:rsid w:val="002D6F23"/>
    <w:rsid w:val="002F4052"/>
    <w:rsid w:val="00326D36"/>
    <w:rsid w:val="0033050E"/>
    <w:rsid w:val="003319B7"/>
    <w:rsid w:val="00336E34"/>
    <w:rsid w:val="00361816"/>
    <w:rsid w:val="003645F8"/>
    <w:rsid w:val="00371E2F"/>
    <w:rsid w:val="003755B4"/>
    <w:rsid w:val="0038630F"/>
    <w:rsid w:val="00386AB7"/>
    <w:rsid w:val="00393613"/>
    <w:rsid w:val="003949DD"/>
    <w:rsid w:val="00394AFE"/>
    <w:rsid w:val="003A6AB1"/>
    <w:rsid w:val="003B6737"/>
    <w:rsid w:val="003B7DDB"/>
    <w:rsid w:val="003E027E"/>
    <w:rsid w:val="003F2DE2"/>
    <w:rsid w:val="003F7070"/>
    <w:rsid w:val="00447F25"/>
    <w:rsid w:val="004626BA"/>
    <w:rsid w:val="0048319F"/>
    <w:rsid w:val="00484522"/>
    <w:rsid w:val="004A6D70"/>
    <w:rsid w:val="004D2B3C"/>
    <w:rsid w:val="004E0717"/>
    <w:rsid w:val="00500EF1"/>
    <w:rsid w:val="00516EA6"/>
    <w:rsid w:val="00533F8A"/>
    <w:rsid w:val="00554B0F"/>
    <w:rsid w:val="00556839"/>
    <w:rsid w:val="005620A6"/>
    <w:rsid w:val="005A3CC4"/>
    <w:rsid w:val="005A4637"/>
    <w:rsid w:val="005B552C"/>
    <w:rsid w:val="005B7D12"/>
    <w:rsid w:val="005C7660"/>
    <w:rsid w:val="005D0F38"/>
    <w:rsid w:val="005E51F9"/>
    <w:rsid w:val="0060422B"/>
    <w:rsid w:val="006046CE"/>
    <w:rsid w:val="006079A9"/>
    <w:rsid w:val="00613758"/>
    <w:rsid w:val="006178C7"/>
    <w:rsid w:val="0064000D"/>
    <w:rsid w:val="00642B96"/>
    <w:rsid w:val="006C16E1"/>
    <w:rsid w:val="006D437F"/>
    <w:rsid w:val="006D5AE1"/>
    <w:rsid w:val="006E4AF8"/>
    <w:rsid w:val="006F2E12"/>
    <w:rsid w:val="006F729E"/>
    <w:rsid w:val="007015B8"/>
    <w:rsid w:val="007214F2"/>
    <w:rsid w:val="0072153C"/>
    <w:rsid w:val="00735969"/>
    <w:rsid w:val="0073696A"/>
    <w:rsid w:val="00755BC4"/>
    <w:rsid w:val="00756396"/>
    <w:rsid w:val="0076493E"/>
    <w:rsid w:val="0077286A"/>
    <w:rsid w:val="00782EC7"/>
    <w:rsid w:val="008008EF"/>
    <w:rsid w:val="0084722B"/>
    <w:rsid w:val="008940F5"/>
    <w:rsid w:val="008C24B4"/>
    <w:rsid w:val="008C2AB1"/>
    <w:rsid w:val="008C5611"/>
    <w:rsid w:val="008E0982"/>
    <w:rsid w:val="008E7173"/>
    <w:rsid w:val="008F752B"/>
    <w:rsid w:val="0091320F"/>
    <w:rsid w:val="009650A1"/>
    <w:rsid w:val="0097508B"/>
    <w:rsid w:val="0098448B"/>
    <w:rsid w:val="009F7064"/>
    <w:rsid w:val="00A0407F"/>
    <w:rsid w:val="00A16031"/>
    <w:rsid w:val="00A23167"/>
    <w:rsid w:val="00A24D30"/>
    <w:rsid w:val="00A26F0C"/>
    <w:rsid w:val="00A32AE1"/>
    <w:rsid w:val="00A34FFC"/>
    <w:rsid w:val="00A57B0B"/>
    <w:rsid w:val="00A63C6D"/>
    <w:rsid w:val="00A71795"/>
    <w:rsid w:val="00A83DE5"/>
    <w:rsid w:val="00A90942"/>
    <w:rsid w:val="00AA0251"/>
    <w:rsid w:val="00AB1ABC"/>
    <w:rsid w:val="00AC0501"/>
    <w:rsid w:val="00AC0573"/>
    <w:rsid w:val="00B1571A"/>
    <w:rsid w:val="00B277EE"/>
    <w:rsid w:val="00B30884"/>
    <w:rsid w:val="00B56737"/>
    <w:rsid w:val="00B831F8"/>
    <w:rsid w:val="00B8492A"/>
    <w:rsid w:val="00B907AB"/>
    <w:rsid w:val="00BC0652"/>
    <w:rsid w:val="00BD30E3"/>
    <w:rsid w:val="00BD7BCB"/>
    <w:rsid w:val="00C011A3"/>
    <w:rsid w:val="00C42BBC"/>
    <w:rsid w:val="00C45950"/>
    <w:rsid w:val="00C46863"/>
    <w:rsid w:val="00C61F9D"/>
    <w:rsid w:val="00CB2821"/>
    <w:rsid w:val="00CC0C82"/>
    <w:rsid w:val="00CD1FF6"/>
    <w:rsid w:val="00CE00BC"/>
    <w:rsid w:val="00CE6B70"/>
    <w:rsid w:val="00D17B6B"/>
    <w:rsid w:val="00D25A27"/>
    <w:rsid w:val="00D36A08"/>
    <w:rsid w:val="00D4229E"/>
    <w:rsid w:val="00D70FD3"/>
    <w:rsid w:val="00D819F9"/>
    <w:rsid w:val="00D94FDA"/>
    <w:rsid w:val="00DB4CA4"/>
    <w:rsid w:val="00DB7FF9"/>
    <w:rsid w:val="00DD3E35"/>
    <w:rsid w:val="00DE6171"/>
    <w:rsid w:val="00E028A8"/>
    <w:rsid w:val="00E21431"/>
    <w:rsid w:val="00E21C69"/>
    <w:rsid w:val="00E366BC"/>
    <w:rsid w:val="00E63D6A"/>
    <w:rsid w:val="00E74EE9"/>
    <w:rsid w:val="00E77D38"/>
    <w:rsid w:val="00EA338A"/>
    <w:rsid w:val="00EC4B38"/>
    <w:rsid w:val="00EC63F3"/>
    <w:rsid w:val="00EE1A90"/>
    <w:rsid w:val="00EE5177"/>
    <w:rsid w:val="00EF5E51"/>
    <w:rsid w:val="00F22D88"/>
    <w:rsid w:val="00F2317B"/>
    <w:rsid w:val="00F401D5"/>
    <w:rsid w:val="00F525E7"/>
    <w:rsid w:val="00F7451E"/>
    <w:rsid w:val="00FA1F03"/>
    <w:rsid w:val="00FA7DCD"/>
    <w:rsid w:val="00FB567E"/>
    <w:rsid w:val="00FC3EF1"/>
    <w:rsid w:val="00FD0E4E"/>
    <w:rsid w:val="00FE7DC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CA4"/>
    <w:rPr>
      <w:rFonts w:ascii="Arial" w:hAnsi="Arial"/>
    </w:rPr>
  </w:style>
  <w:style w:type="paragraph" w:styleId="Nadpis1">
    <w:name w:val="heading 1"/>
    <w:basedOn w:val="Normln"/>
    <w:next w:val="Normln"/>
    <w:qFormat/>
    <w:rsid w:val="005A3CC4"/>
    <w:pPr>
      <w:keepNext/>
      <w:jc w:val="center"/>
      <w:outlineLvl w:val="0"/>
    </w:pPr>
    <w:rPr>
      <w:rFonts w:ascii="Ottawa" w:hAnsi="Ottawa"/>
      <w:b/>
      <w:sz w:val="52"/>
    </w:rPr>
  </w:style>
  <w:style w:type="paragraph" w:styleId="Nadpis2">
    <w:name w:val="heading 2"/>
    <w:basedOn w:val="Normln"/>
    <w:next w:val="Normln"/>
    <w:qFormat/>
    <w:rsid w:val="005A3CC4"/>
    <w:pPr>
      <w:keepNext/>
      <w:spacing w:line="240" w:lineRule="atLeast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248D4"/>
    <w:pPr>
      <w:keepNext/>
      <w:spacing w:after="40"/>
      <w:outlineLvl w:val="3"/>
    </w:pPr>
    <w:rPr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A3C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A3CC4"/>
  </w:style>
  <w:style w:type="paragraph" w:styleId="Zkladntext">
    <w:name w:val="Body Text"/>
    <w:basedOn w:val="Normln"/>
    <w:rsid w:val="005A3CC4"/>
    <w:pPr>
      <w:jc w:val="center"/>
    </w:pPr>
    <w:rPr>
      <w:rFonts w:ascii="Ottawa" w:hAnsi="Ottawa"/>
      <w:b/>
      <w:sz w:val="28"/>
    </w:rPr>
  </w:style>
  <w:style w:type="paragraph" w:customStyle="1" w:styleId="Zkladntext21">
    <w:name w:val="Základní text 21"/>
    <w:basedOn w:val="Normln"/>
    <w:rsid w:val="005A3CC4"/>
    <w:pPr>
      <w:tabs>
        <w:tab w:val="left" w:pos="426"/>
      </w:tabs>
      <w:spacing w:line="240" w:lineRule="atLeast"/>
      <w:ind w:left="425" w:hanging="425"/>
    </w:pPr>
  </w:style>
  <w:style w:type="paragraph" w:customStyle="1" w:styleId="Zkladntextodsazen21">
    <w:name w:val="Základní text odsazený 21"/>
    <w:basedOn w:val="Normln"/>
    <w:rsid w:val="005A3CC4"/>
    <w:pPr>
      <w:tabs>
        <w:tab w:val="left" w:pos="284"/>
      </w:tabs>
      <w:spacing w:before="120" w:line="240" w:lineRule="atLeast"/>
      <w:ind w:left="284" w:hanging="284"/>
    </w:pPr>
  </w:style>
  <w:style w:type="paragraph" w:styleId="Textbubliny">
    <w:name w:val="Balloon Text"/>
    <w:basedOn w:val="Normln"/>
    <w:semiHidden/>
    <w:rsid w:val="002028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2248D4"/>
  </w:style>
  <w:style w:type="character" w:styleId="Znakapoznpodarou">
    <w:name w:val="footnote reference"/>
    <w:semiHidden/>
    <w:rsid w:val="002248D4"/>
    <w:rPr>
      <w:vertAlign w:val="superscript"/>
    </w:rPr>
  </w:style>
  <w:style w:type="paragraph" w:styleId="Zhlav">
    <w:name w:val="header"/>
    <w:basedOn w:val="Normln"/>
    <w:rsid w:val="001022D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C459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5950"/>
  </w:style>
  <w:style w:type="character" w:customStyle="1" w:styleId="TextkomenteChar">
    <w:name w:val="Text komentáře Char"/>
    <w:basedOn w:val="Standardnpsmoodstavce"/>
    <w:link w:val="Textkomente"/>
    <w:rsid w:val="00C4595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45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5950"/>
    <w:rPr>
      <w:b/>
      <w:bCs/>
    </w:rPr>
  </w:style>
  <w:style w:type="paragraph" w:styleId="Odstavecseseznamem">
    <w:name w:val="List Paragraph"/>
    <w:basedOn w:val="Normln"/>
    <w:uiPriority w:val="34"/>
    <w:qFormat/>
    <w:rsid w:val="00B8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okrizek\Pictures\logo_VIT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A VYUŽITÍ PRÁV A KUPNÍ SMLOUVA</vt:lpstr>
    </vt:vector>
  </TitlesOfParts>
  <Company>VITA</Company>
  <LinksUpToDate>false</LinksUpToDate>
  <CharactersWithSpaces>2089</CharactersWithSpaces>
  <SharedDoc>false</SharedDoc>
  <HLinks>
    <vt:vector size="6" baseType="variant">
      <vt:variant>
        <vt:i4>4718697</vt:i4>
      </vt:variant>
      <vt:variant>
        <vt:i4>-1</vt:i4>
      </vt:variant>
      <vt:variant>
        <vt:i4>1028</vt:i4>
      </vt:variant>
      <vt:variant>
        <vt:i4>1</vt:i4>
      </vt:variant>
      <vt:variant>
        <vt:lpwstr>C:\Users\okrizek\Pictures\logo_VITA.png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A VYUŽITÍ PRÁV A KUPNÍ SMLOUVA</dc:title>
  <dc:creator>Ivana Havlíková</dc:creator>
  <cp:lastModifiedBy>prucha</cp:lastModifiedBy>
  <cp:revision>4</cp:revision>
  <cp:lastPrinted>2009-12-08T13:55:00Z</cp:lastPrinted>
  <dcterms:created xsi:type="dcterms:W3CDTF">2018-02-27T10:39:00Z</dcterms:created>
  <dcterms:modified xsi:type="dcterms:W3CDTF">2018-02-27T11:47:00Z</dcterms:modified>
</cp:coreProperties>
</file>