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6E0BE2D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7347E5">
        <w:rPr>
          <w:rFonts w:ascii="Garamond" w:hAnsi="Garamond"/>
          <w:sz w:val="28"/>
          <w:szCs w:val="28"/>
        </w:rPr>
        <w:t xml:space="preserve"> č. 13/2018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3153DB">
        <w:rPr>
          <w:b/>
          <w:bCs/>
        </w:rPr>
        <w:t>prodávajícím, jímž je:</w:t>
      </w:r>
    </w:p>
    <w:p w14:paraId="597D07B0" w14:textId="7488F2CF" w:rsidR="005335F3" w:rsidRPr="003153DB" w:rsidRDefault="007960A3">
      <w:r w:rsidRPr="003153DB">
        <w:t>obchodní firma</w:t>
      </w:r>
      <w:r w:rsidR="00E72AED" w:rsidRPr="003153DB">
        <w:t>:</w:t>
      </w:r>
      <w:r w:rsidR="004F2D6C" w:rsidRPr="003153DB">
        <w:t xml:space="preserve"> </w:t>
      </w:r>
      <w:proofErr w:type="spellStart"/>
      <w:r w:rsidR="001C068E" w:rsidRPr="003153DB">
        <w:t>Alcon</w:t>
      </w:r>
      <w:proofErr w:type="spellEnd"/>
      <w:r w:rsidR="001C068E" w:rsidRPr="003153DB">
        <w:t xml:space="preserve"> </w:t>
      </w:r>
      <w:proofErr w:type="spellStart"/>
      <w:r w:rsidR="001C068E" w:rsidRPr="003153DB">
        <w:t>Pharmaceuticals</w:t>
      </w:r>
      <w:proofErr w:type="spellEnd"/>
      <w:r w:rsidR="001C068E" w:rsidRPr="003153DB">
        <w:t xml:space="preserve"> (Czech Republic) s.r.o.</w:t>
      </w:r>
    </w:p>
    <w:p w14:paraId="2C9CDF9A" w14:textId="13FDEED4" w:rsidR="005335F3" w:rsidRPr="003153DB" w:rsidRDefault="00573F0E">
      <w:r w:rsidRPr="003153DB">
        <w:t>se sídlem:</w:t>
      </w:r>
      <w:r w:rsidR="001C068E" w:rsidRPr="003153DB">
        <w:t xml:space="preserve"> Na Pankráci 1724/129</w:t>
      </w:r>
      <w:r w:rsidRPr="003153DB">
        <w:tab/>
      </w:r>
      <w:r w:rsidR="004155DF" w:rsidRPr="003153DB">
        <w:t xml:space="preserve">   </w:t>
      </w:r>
    </w:p>
    <w:p w14:paraId="193AE9AB" w14:textId="757EE65D" w:rsidR="005335F3" w:rsidRPr="003153DB" w:rsidRDefault="00573F0E">
      <w:r w:rsidRPr="003153DB">
        <w:t>IČ :</w:t>
      </w:r>
      <w:r w:rsidR="001C068E" w:rsidRPr="003153DB">
        <w:t xml:space="preserve"> 26427389</w:t>
      </w:r>
    </w:p>
    <w:p w14:paraId="04230CFB" w14:textId="712892D4" w:rsidR="005335F3" w:rsidRDefault="00573F0E">
      <w:r w:rsidRPr="003153DB">
        <w:t xml:space="preserve">DIČ: </w:t>
      </w:r>
      <w:r w:rsidR="001C068E" w:rsidRPr="003153DB">
        <w:t>CZ26427389</w:t>
      </w:r>
    </w:p>
    <w:p w14:paraId="4FB5B414" w14:textId="72FD7415" w:rsidR="003346D8" w:rsidRPr="004D4D93" w:rsidRDefault="001C068E">
      <w:r>
        <w:t xml:space="preserve">jehož jménem jedná: </w:t>
      </w:r>
      <w:r w:rsidR="00E16123">
        <w:t xml:space="preserve">Veronika </w:t>
      </w:r>
      <w:proofErr w:type="spellStart"/>
      <w:r w:rsidR="00E16123">
        <w:t>Techlová</w:t>
      </w:r>
      <w:proofErr w:type="spellEnd"/>
      <w:r w:rsidR="00E16123">
        <w:t xml:space="preserve">, MVDr. Jiří </w:t>
      </w:r>
      <w:proofErr w:type="spellStart"/>
      <w:r w:rsidR="00E16123">
        <w:t>Broža</w:t>
      </w:r>
      <w:proofErr w:type="spellEnd"/>
      <w:r w:rsidR="00E16123">
        <w:t>, prokuristi</w:t>
      </w:r>
    </w:p>
    <w:p w14:paraId="08CA3444" w14:textId="509CCED0" w:rsidR="00281BA5" w:rsidRPr="003153DB" w:rsidRDefault="00573F0E">
      <w:r w:rsidRPr="003153DB">
        <w:t>tel.:</w:t>
      </w:r>
      <w:r w:rsidR="001C068E" w:rsidRPr="003153DB">
        <w:t xml:space="preserve"> +420 </w:t>
      </w:r>
      <w:proofErr w:type="spellStart"/>
      <w:r w:rsidR="007347E5">
        <w:t>xxxxxxxxxxxxxxxxx</w:t>
      </w:r>
      <w:proofErr w:type="spellEnd"/>
    </w:p>
    <w:p w14:paraId="5043D5BD" w14:textId="42D11D61" w:rsidR="003346D8" w:rsidRPr="004D4D93" w:rsidRDefault="00281BA5">
      <w:r w:rsidRPr="003153DB">
        <w:t>e-mail:</w:t>
      </w:r>
      <w:r w:rsidR="00573F0E" w:rsidRPr="003153DB">
        <w:tab/>
      </w:r>
      <w:proofErr w:type="spellStart"/>
      <w:r w:rsidR="007347E5">
        <w:t>xxxxxxxxxxxxxxxxxxxxxx</w:t>
      </w:r>
      <w:proofErr w:type="spellEnd"/>
      <w:r w:rsidR="00573F0E" w:rsidRPr="004D4D93">
        <w:tab/>
      </w:r>
    </w:p>
    <w:p w14:paraId="556BA6F9" w14:textId="4543370B" w:rsidR="006F7B38" w:rsidRDefault="007960A3" w:rsidP="006F7B38">
      <w:r w:rsidRPr="003153DB">
        <w:t>bankovní spojení / číslo účtu</w:t>
      </w:r>
      <w:r w:rsidR="00573F0E" w:rsidRPr="003153DB">
        <w:t>:</w:t>
      </w:r>
      <w:r w:rsidR="001C068E" w:rsidRPr="003153DB">
        <w:t xml:space="preserve"> </w:t>
      </w:r>
      <w:proofErr w:type="spellStart"/>
      <w:r w:rsidR="007347E5">
        <w:t>xxxxxxxxxxxxxxxxx</w:t>
      </w:r>
      <w:proofErr w:type="spellEnd"/>
    </w:p>
    <w:p w14:paraId="1DF18D34" w14:textId="12285A32" w:rsidR="00281BA5" w:rsidRPr="004D4D93" w:rsidRDefault="00281BA5" w:rsidP="006F7B38">
      <w:r w:rsidRPr="003153DB">
        <w:t xml:space="preserve">zapsaná v obchodním </w:t>
      </w:r>
      <w:r w:rsidR="001C068E" w:rsidRPr="003153DB">
        <w:t>rejstříku vedeném Městským soudem v Praze</w:t>
      </w:r>
      <w:r w:rsidRPr="003153DB">
        <w:t xml:space="preserve">, oddíl  </w:t>
      </w:r>
      <w:r w:rsidR="001C068E" w:rsidRPr="003153DB">
        <w:t>C</w:t>
      </w:r>
      <w:r w:rsidRPr="003153DB">
        <w:t>, vložka</w:t>
      </w:r>
      <w:r w:rsidR="001C068E" w:rsidRPr="003153DB">
        <w:t xml:space="preserve"> 81433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3C4647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347E5">
        <w:t>xxxxxxxxxxxxxxxxxx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BF2207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347E5">
        <w:t>xxxxxxxxxxxxxxxxxxx</w:t>
      </w:r>
      <w:proofErr w:type="spellEnd"/>
    </w:p>
    <w:p w14:paraId="4C462011" w14:textId="04F2425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347E5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F57B15D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3153DB">
        <w:rPr>
          <w:szCs w:val="24"/>
        </w:rPr>
        <w:t xml:space="preserve">a to : </w:t>
      </w:r>
      <w:proofErr w:type="spellStart"/>
      <w:r w:rsidR="001C068E" w:rsidRPr="003153DB">
        <w:rPr>
          <w:szCs w:val="24"/>
        </w:rPr>
        <w:t>Alcon</w:t>
      </w:r>
      <w:proofErr w:type="spellEnd"/>
      <w:r w:rsidR="001C068E" w:rsidRPr="003153DB">
        <w:rPr>
          <w:szCs w:val="24"/>
        </w:rPr>
        <w:t xml:space="preserve"> </w:t>
      </w:r>
      <w:proofErr w:type="spellStart"/>
      <w:r w:rsidR="001C068E" w:rsidRPr="003153DB">
        <w:rPr>
          <w:szCs w:val="24"/>
        </w:rPr>
        <w:t>Phaco-emulzifikační</w:t>
      </w:r>
      <w:proofErr w:type="spellEnd"/>
      <w:r w:rsidR="001C068E" w:rsidRPr="003153DB">
        <w:rPr>
          <w:szCs w:val="24"/>
        </w:rPr>
        <w:t xml:space="preserve"> nástavec</w:t>
      </w:r>
    </w:p>
    <w:p w14:paraId="2ADB43A4" w14:textId="77777777" w:rsidR="0043645E" w:rsidRDefault="0043645E" w:rsidP="00AA38DE"/>
    <w:p w14:paraId="54319EB8" w14:textId="1E8CF4CD" w:rsidR="004D4D93" w:rsidRDefault="004155DF" w:rsidP="00AA38DE">
      <w:r>
        <w:t>Dle cenové nabídky</w:t>
      </w:r>
      <w:r w:rsidR="005335F3">
        <w:t xml:space="preserve">: </w:t>
      </w:r>
      <w:r w:rsidR="001C068E" w:rsidRPr="003153DB">
        <w:t>P4_SMN_NPR_2018001_PHACO-souhrn_prehled_CN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3153DB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AB4CD95" w:rsidR="00573F0E" w:rsidRPr="003153DB" w:rsidRDefault="001C068E" w:rsidP="009D23C9">
            <w:pPr>
              <w:spacing w:before="120" w:line="240" w:lineRule="atLeast"/>
              <w:jc w:val="right"/>
              <w:rPr>
                <w:b/>
              </w:rPr>
            </w:pPr>
            <w:r w:rsidRPr="003153DB">
              <w:rPr>
                <w:b/>
              </w:rPr>
              <w:t>120 000,- Kč</w:t>
            </w:r>
          </w:p>
        </w:tc>
      </w:tr>
      <w:tr w:rsidR="00573F0E" w:rsidRPr="003153DB" w14:paraId="65C7273B" w14:textId="77777777">
        <w:tc>
          <w:tcPr>
            <w:tcW w:w="4223" w:type="dxa"/>
          </w:tcPr>
          <w:p w14:paraId="18251D1A" w14:textId="3E15D3D2" w:rsidR="00573F0E" w:rsidRPr="004D4D93" w:rsidRDefault="00573F0E" w:rsidP="001C068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C068E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A554956" w:rsidR="00573F0E" w:rsidRPr="003153DB" w:rsidRDefault="001C068E" w:rsidP="009D23C9">
            <w:pPr>
              <w:spacing w:before="120" w:line="240" w:lineRule="atLeast"/>
              <w:jc w:val="right"/>
              <w:rPr>
                <w:b/>
              </w:rPr>
            </w:pPr>
            <w:r w:rsidRPr="003153DB">
              <w:rPr>
                <w:b/>
              </w:rPr>
              <w:t>25 200,- Kč</w:t>
            </w:r>
          </w:p>
        </w:tc>
      </w:tr>
      <w:tr w:rsidR="00573F0E" w:rsidRPr="003153DB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7D521FC" w:rsidR="00573F0E" w:rsidRPr="003153DB" w:rsidRDefault="001C068E" w:rsidP="0045018F">
            <w:pPr>
              <w:spacing w:before="120" w:line="240" w:lineRule="atLeast"/>
              <w:jc w:val="right"/>
              <w:rPr>
                <w:b/>
              </w:rPr>
            </w:pPr>
            <w:r w:rsidRPr="003153DB">
              <w:rPr>
                <w:b/>
              </w:rPr>
              <w:t>145 200,- K</w:t>
            </w:r>
            <w:r w:rsidR="004155DF" w:rsidRPr="003153DB">
              <w:rPr>
                <w:b/>
              </w:rPr>
              <w:t xml:space="preserve">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38BF9359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A029DB">
        <w:rPr>
          <w:rFonts w:ascii="Garamond" w:hAnsi="Garamond"/>
          <w:sz w:val="24"/>
          <w:szCs w:val="24"/>
        </w:rPr>
        <w:t xml:space="preserve">Nemocnice </w:t>
      </w:r>
      <w:r w:rsidR="003153DB">
        <w:rPr>
          <w:rFonts w:ascii="Garamond" w:hAnsi="Garamond"/>
          <w:sz w:val="24"/>
          <w:szCs w:val="24"/>
        </w:rPr>
        <w:t>Přerov</w:t>
      </w:r>
      <w:r w:rsidR="00A029DB">
        <w:rPr>
          <w:rFonts w:ascii="Garamond" w:hAnsi="Garamond"/>
          <w:sz w:val="24"/>
          <w:szCs w:val="24"/>
        </w:rPr>
        <w:t xml:space="preserve"> </w:t>
      </w:r>
      <w:r w:rsidR="003153DB">
        <w:rPr>
          <w:rFonts w:ascii="Garamond" w:hAnsi="Garamond"/>
          <w:sz w:val="24"/>
          <w:szCs w:val="24"/>
        </w:rPr>
        <w:t>–</w:t>
      </w:r>
      <w:r w:rsidR="00423BCD" w:rsidRPr="00D60199">
        <w:rPr>
          <w:rFonts w:ascii="Garamond" w:hAnsi="Garamond"/>
          <w:sz w:val="24"/>
          <w:szCs w:val="24"/>
        </w:rPr>
        <w:t xml:space="preserve"> </w:t>
      </w:r>
      <w:r w:rsidR="003153DB">
        <w:rPr>
          <w:rFonts w:ascii="Garamond" w:hAnsi="Garamond"/>
          <w:sz w:val="24"/>
          <w:szCs w:val="24"/>
        </w:rPr>
        <w:t xml:space="preserve">Dvořákova </w:t>
      </w:r>
      <w:r w:rsidR="00423BCD" w:rsidRPr="00D60199">
        <w:rPr>
          <w:rFonts w:ascii="Garamond" w:hAnsi="Garamond"/>
          <w:sz w:val="24"/>
          <w:szCs w:val="24"/>
        </w:rPr>
        <w:t xml:space="preserve"> ul. </w:t>
      </w:r>
      <w:r w:rsidR="003153DB">
        <w:rPr>
          <w:rFonts w:ascii="Garamond" w:hAnsi="Garamond"/>
          <w:sz w:val="24"/>
          <w:szCs w:val="24"/>
        </w:rPr>
        <w:t>75</w:t>
      </w:r>
      <w:r w:rsidR="00423BCD" w:rsidRPr="00D60199">
        <w:rPr>
          <w:rFonts w:ascii="Garamond" w:hAnsi="Garamond"/>
          <w:sz w:val="24"/>
          <w:szCs w:val="24"/>
        </w:rPr>
        <w:t xml:space="preserve">, </w:t>
      </w:r>
      <w:r w:rsidR="003153DB">
        <w:rPr>
          <w:rFonts w:ascii="Garamond" w:hAnsi="Garamond"/>
          <w:sz w:val="24"/>
          <w:szCs w:val="24"/>
        </w:rPr>
        <w:t>751</w:t>
      </w:r>
      <w:r w:rsidR="0008140A" w:rsidRPr="00D60199">
        <w:rPr>
          <w:rFonts w:ascii="Garamond" w:hAnsi="Garamond"/>
          <w:sz w:val="24"/>
          <w:szCs w:val="24"/>
        </w:rPr>
        <w:t xml:space="preserve"> </w:t>
      </w:r>
      <w:r w:rsidR="003153DB">
        <w:rPr>
          <w:rFonts w:ascii="Garamond" w:hAnsi="Garamond"/>
          <w:sz w:val="24"/>
          <w:szCs w:val="24"/>
        </w:rPr>
        <w:t>52</w:t>
      </w:r>
      <w:r w:rsidR="0008140A" w:rsidRPr="00D60199">
        <w:rPr>
          <w:rFonts w:ascii="Garamond" w:hAnsi="Garamond"/>
          <w:sz w:val="24"/>
          <w:szCs w:val="24"/>
        </w:rPr>
        <w:t xml:space="preserve"> </w:t>
      </w:r>
      <w:r w:rsidR="003153DB">
        <w:rPr>
          <w:rFonts w:ascii="Garamond" w:hAnsi="Garamond"/>
          <w:sz w:val="24"/>
          <w:szCs w:val="24"/>
        </w:rPr>
        <w:t>Přerov</w:t>
      </w:r>
      <w:r w:rsidR="00423BCD" w:rsidRPr="00D60199">
        <w:rPr>
          <w:rFonts w:ascii="Garamond" w:hAnsi="Garamond"/>
          <w:sz w:val="24"/>
          <w:szCs w:val="24"/>
        </w:rPr>
        <w:t>.</w:t>
      </w:r>
    </w:p>
    <w:p w14:paraId="729D6EC2" w14:textId="0B0BD426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</w:t>
      </w:r>
      <w:r w:rsidR="003153DB">
        <w:rPr>
          <w:rFonts w:ascii="Garamond" w:hAnsi="Garamond"/>
          <w:sz w:val="24"/>
          <w:szCs w:val="24"/>
        </w:rPr>
        <w:t xml:space="preserve"> kupujícímu zboží nejpozději do </w:t>
      </w:r>
      <w:r w:rsidR="004D355E" w:rsidRPr="003153DB">
        <w:rPr>
          <w:rFonts w:ascii="Garamond" w:hAnsi="Garamond"/>
          <w:sz w:val="24"/>
          <w:szCs w:val="24"/>
        </w:rPr>
        <w:t>1 týdne</w:t>
      </w:r>
      <w:r w:rsidR="002549C3">
        <w:rPr>
          <w:rFonts w:ascii="Garamond" w:hAnsi="Garamond"/>
          <w:sz w:val="24"/>
          <w:szCs w:val="24"/>
        </w:rPr>
        <w:t xml:space="preserve"> od </w:t>
      </w:r>
      <w:r w:rsidR="00A73CC5">
        <w:rPr>
          <w:rFonts w:ascii="Garamond" w:hAnsi="Garamond"/>
          <w:sz w:val="24"/>
          <w:szCs w:val="24"/>
        </w:rPr>
        <w:t>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CD4EDF8" w14:textId="77777777" w:rsidR="00A029DB" w:rsidRDefault="00A029DB" w:rsidP="00174F30">
      <w:pPr>
        <w:pStyle w:val="Zkladntext"/>
        <w:spacing w:before="120" w:line="240" w:lineRule="atLeast"/>
      </w:pPr>
    </w:p>
    <w:p w14:paraId="3FBA350F" w14:textId="77777777" w:rsidR="00A029DB" w:rsidRDefault="00A029DB" w:rsidP="00174F30">
      <w:pPr>
        <w:pStyle w:val="Zkladntext"/>
        <w:spacing w:before="120" w:line="240" w:lineRule="atLeast"/>
      </w:pPr>
    </w:p>
    <w:p w14:paraId="659264ED" w14:textId="77777777" w:rsidR="00A029DB" w:rsidRDefault="00A029DB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4A79A2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0" w:name="OLE_LINK1"/>
      <w:bookmarkStart w:id="1" w:name="OLE_LINK2"/>
      <w:r w:rsidR="003153DB">
        <w:t xml:space="preserve"> 6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A34CD17" w:rsidR="00174F30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4372A4">
        <w:t xml:space="preserve"> </w:t>
      </w:r>
      <w:hyperlink r:id="rId8" w:history="1">
        <w:proofErr w:type="spellStart"/>
        <w:r w:rsidR="007347E5">
          <w:rPr>
            <w:rStyle w:val="Hypertextovodkaz"/>
          </w:rPr>
          <w:t>xxxxxxxxxxxxxxxxxx</w:t>
        </w:r>
        <w:proofErr w:type="spellEnd"/>
      </w:hyperlink>
    </w:p>
    <w:p w14:paraId="05987259" w14:textId="283D6759" w:rsidR="00FD3C13" w:rsidRPr="00FD3C13" w:rsidRDefault="00FD3C13" w:rsidP="00FD3C13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D3C13">
        <w:t>V případě uplatnění reklamace zboží je reklamace řešena výměnou bez zbytečného odkladu. Pokud nedojde k vyřízení reklamace nejpozději do 3 kalendářních dnů od uplatnění reklamace, prodávající poskytne kupujícímu na dobu vyřízení reklamace náhradní zboží odpovídající specifikaci dle smlouvy a to bezplatně.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1FE7BBDA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>Smluvní pokuta nebude z důvodu efektivity vymáhána, nedosáhne-li částky minimálně 1</w:t>
      </w:r>
      <w:r w:rsidR="007347E5">
        <w:rPr>
          <w:sz w:val="24"/>
          <w:szCs w:val="24"/>
        </w:rPr>
        <w:t>.</w:t>
      </w:r>
      <w:r w:rsidR="00423BCD">
        <w:rPr>
          <w:sz w:val="24"/>
          <w:szCs w:val="24"/>
        </w:rPr>
        <w:t xml:space="preserve">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0189D61D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</w:t>
      </w:r>
      <w:r w:rsidR="007347E5">
        <w:rPr>
          <w:sz w:val="24"/>
          <w:szCs w:val="24"/>
        </w:rPr>
        <w:t>.</w:t>
      </w:r>
      <w:r w:rsidR="00174F30">
        <w:rPr>
          <w:sz w:val="24"/>
          <w:szCs w:val="24"/>
        </w:rPr>
        <w:t>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2798319" w:rsidR="00C90296" w:rsidRPr="003153DB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372A4" w:rsidRPr="003153DB">
        <w:rPr>
          <w:rFonts w:ascii="Garamond" w:hAnsi="Garamond"/>
          <w:sz w:val="24"/>
          <w:szCs w:val="24"/>
        </w:rPr>
        <w:t xml:space="preserve">Ing. </w:t>
      </w:r>
      <w:proofErr w:type="spellStart"/>
      <w:r w:rsidR="007347E5">
        <w:rPr>
          <w:rFonts w:ascii="Garamond" w:hAnsi="Garamond"/>
          <w:sz w:val="24"/>
          <w:szCs w:val="24"/>
        </w:rPr>
        <w:t>xxxxxxxxxxxxxxxxxxxxxxxxxxxx</w:t>
      </w:r>
      <w:proofErr w:type="spellEnd"/>
    </w:p>
    <w:p w14:paraId="5A83BF8B" w14:textId="1EDD14F3" w:rsidR="00C90296" w:rsidRPr="003153DB" w:rsidRDefault="003153DB" w:rsidP="003153DB">
      <w:pPr>
        <w:pStyle w:val="Zkladntext"/>
        <w:ind w:firstLine="360"/>
        <w:rPr>
          <w:sz w:val="22"/>
          <w:szCs w:val="22"/>
        </w:rPr>
      </w:pPr>
      <w:r w:rsidRPr="003153DB">
        <w:rPr>
          <w:sz w:val="22"/>
          <w:szCs w:val="22"/>
        </w:rPr>
        <w:t>tel.</w:t>
      </w:r>
      <w:r>
        <w:rPr>
          <w:sz w:val="22"/>
          <w:szCs w:val="22"/>
        </w:rPr>
        <w:t xml:space="preserve"> </w:t>
      </w:r>
      <w:proofErr w:type="spellStart"/>
      <w:r w:rsidR="007347E5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sz w:val="22"/>
          <w:szCs w:val="22"/>
        </w:rPr>
        <w:t>; email :</w:t>
      </w:r>
      <w:proofErr w:type="spellStart"/>
      <w:r w:rsidR="007347E5">
        <w:rPr>
          <w:rFonts w:ascii="Garamond" w:hAnsi="Garamond"/>
          <w:sz w:val="24"/>
          <w:szCs w:val="24"/>
        </w:rPr>
        <w:t>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0A5569A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</w:t>
      </w:r>
      <w:proofErr w:type="spellStart"/>
      <w:r w:rsidR="007347E5">
        <w:rPr>
          <w:rFonts w:ascii="Garamond" w:hAnsi="Garamond"/>
          <w:sz w:val="24"/>
          <w:szCs w:val="24"/>
        </w:rPr>
        <w:t>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E104DBA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347E5">
        <w:rPr>
          <w:rFonts w:ascii="Garamond" w:hAnsi="Garamond"/>
          <w:sz w:val="24"/>
          <w:szCs w:val="24"/>
        </w:rPr>
        <w:t>xxxxxxxxxxxxxxxxx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7347E5">
        <w:t>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B60650C"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7347E5">
        <w:t>xxxxxxxxxxxxxxxxxxxxxx</w:t>
      </w:r>
      <w:proofErr w:type="spellEnd"/>
      <w:r>
        <w:t xml:space="preserve"> Středomoravská nemocniční a.s.,</w:t>
      </w:r>
    </w:p>
    <w:p w14:paraId="5CFC3F0D" w14:textId="15EEB45B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7347E5">
        <w:t>xxxxxxxxxxxxxxxxxxx</w:t>
      </w:r>
      <w:proofErr w:type="spellEnd"/>
      <w:r>
        <w:t xml:space="preserve">, fax </w:t>
      </w:r>
      <w:proofErr w:type="spellStart"/>
      <w:r w:rsidR="007347E5">
        <w:t>xxxxxxxxxxxx</w:t>
      </w:r>
      <w:proofErr w:type="spellEnd"/>
      <w:r>
        <w:t xml:space="preserve"> email: </w:t>
      </w:r>
      <w:hyperlink r:id="rId9" w:history="1">
        <w:proofErr w:type="spellStart"/>
        <w:r w:rsidR="007347E5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lastRenderedPageBreak/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267F2F83" w:rsidR="00A21C3B" w:rsidRPr="007347E5" w:rsidRDefault="00F46576" w:rsidP="00F4657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3153DB" w:rsidRPr="003153DB">
        <w:t>P4_SMN_NPR_2018001_PHACO-souhrn_prehled_CN</w:t>
      </w:r>
    </w:p>
    <w:p w14:paraId="4769AD6F" w14:textId="77777777" w:rsidR="007347E5" w:rsidRPr="003153DB" w:rsidRDefault="007347E5" w:rsidP="007347E5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F13F351" w14:textId="784E6EA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2549C3">
        <w:rPr>
          <w:bCs/>
        </w:rPr>
        <w:t> </w:t>
      </w:r>
      <w:r w:rsidR="002549C3" w:rsidRPr="003153DB">
        <w:rPr>
          <w:bCs/>
        </w:rPr>
        <w:t xml:space="preserve">Praze </w:t>
      </w:r>
      <w:r w:rsidRPr="003153DB">
        <w:rPr>
          <w:bCs/>
        </w:rPr>
        <w:t xml:space="preserve"> dne: </w:t>
      </w:r>
      <w:r w:rsidR="00C7209A">
        <w:rPr>
          <w:bCs/>
        </w:rPr>
        <w:t>14</w:t>
      </w:r>
      <w:r w:rsidR="002549C3" w:rsidRPr="003153DB">
        <w:rPr>
          <w:bCs/>
        </w:rPr>
        <w:t>.03. 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6DD5EC37" w14:textId="42618B7C" w:rsidR="00C7209A" w:rsidRDefault="00F46576" w:rsidP="00F46576">
      <w:pPr>
        <w:spacing w:before="120"/>
        <w:jc w:val="both"/>
        <w:rPr>
          <w:bCs/>
        </w:rPr>
      </w:pPr>
      <w:r w:rsidRPr="00C7209A">
        <w:rPr>
          <w:bCs/>
        </w:rPr>
        <w:t>jménem prodávajícího:</w:t>
      </w:r>
      <w:r w:rsidR="007347E5">
        <w:rPr>
          <w:bCs/>
        </w:rPr>
        <w:t xml:space="preserve">    </w:t>
      </w:r>
      <w:r w:rsidR="00C7209A">
        <w:rPr>
          <w:bCs/>
        </w:rPr>
        <w:t xml:space="preserve">Veronika </w:t>
      </w:r>
      <w:proofErr w:type="spellStart"/>
      <w:r w:rsidR="00C7209A">
        <w:rPr>
          <w:bCs/>
        </w:rPr>
        <w:t>Techlová</w:t>
      </w:r>
      <w:proofErr w:type="spellEnd"/>
      <w:r w:rsidR="00C7209A">
        <w:rPr>
          <w:bCs/>
        </w:rPr>
        <w:t xml:space="preserve">                                    MVDr. Jiří </w:t>
      </w:r>
      <w:proofErr w:type="spellStart"/>
      <w:r w:rsidR="00C7209A">
        <w:rPr>
          <w:bCs/>
        </w:rPr>
        <w:t>Broža</w:t>
      </w:r>
      <w:proofErr w:type="spellEnd"/>
      <w:r w:rsidRPr="00C7209A">
        <w:rPr>
          <w:bCs/>
        </w:rPr>
        <w:t xml:space="preserve"> </w:t>
      </w:r>
    </w:p>
    <w:p w14:paraId="3932F885" w14:textId="60373E65" w:rsidR="004372A4" w:rsidRPr="00C7209A" w:rsidRDefault="00C7209A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</w:t>
      </w:r>
      <w:r w:rsidR="007347E5">
        <w:rPr>
          <w:bCs/>
        </w:rPr>
        <w:t xml:space="preserve">     </w:t>
      </w:r>
      <w:r>
        <w:rPr>
          <w:bCs/>
        </w:rPr>
        <w:t>prokuristka společnosti                             prokurista společnosti</w:t>
      </w:r>
    </w:p>
    <w:p w14:paraId="7DE57B6F" w14:textId="7E75EFF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3C2F4893" w14:textId="77777777" w:rsidR="007347E5" w:rsidRDefault="007347E5" w:rsidP="00F46576">
      <w:pPr>
        <w:spacing w:before="120"/>
        <w:jc w:val="both"/>
        <w:rPr>
          <w:bCs/>
        </w:rPr>
      </w:pPr>
    </w:p>
    <w:p w14:paraId="7D0013A7" w14:textId="77777777" w:rsidR="007347E5" w:rsidRPr="00BD277B" w:rsidRDefault="007347E5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67BD4396" w14:textId="771A4F8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7347E5">
        <w:rPr>
          <w:bCs/>
        </w:rPr>
        <w:t>19. 3. 2018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AC9F6" w14:textId="77777777" w:rsidR="00237870" w:rsidRDefault="00237870">
      <w:r>
        <w:separator/>
      </w:r>
    </w:p>
  </w:endnote>
  <w:endnote w:type="continuationSeparator" w:id="0">
    <w:p w14:paraId="0C63F502" w14:textId="77777777" w:rsidR="00237870" w:rsidRDefault="0023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23B37A6E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47E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438C9" w14:textId="77777777" w:rsidR="00237870" w:rsidRDefault="00237870">
      <w:r>
        <w:separator/>
      </w:r>
    </w:p>
  </w:footnote>
  <w:footnote w:type="continuationSeparator" w:id="0">
    <w:p w14:paraId="107AA4B8" w14:textId="77777777" w:rsidR="00237870" w:rsidRDefault="0023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140A"/>
    <w:rsid w:val="000905B7"/>
    <w:rsid w:val="000A070B"/>
    <w:rsid w:val="000A6BAE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63230"/>
    <w:rsid w:val="00174F30"/>
    <w:rsid w:val="001A4F8A"/>
    <w:rsid w:val="001C068E"/>
    <w:rsid w:val="001C4225"/>
    <w:rsid w:val="001E42F5"/>
    <w:rsid w:val="002025E9"/>
    <w:rsid w:val="00203595"/>
    <w:rsid w:val="00211ED4"/>
    <w:rsid w:val="00221BF8"/>
    <w:rsid w:val="00223D4E"/>
    <w:rsid w:val="002309C0"/>
    <w:rsid w:val="00237870"/>
    <w:rsid w:val="002465FC"/>
    <w:rsid w:val="00247269"/>
    <w:rsid w:val="002549C3"/>
    <w:rsid w:val="00257188"/>
    <w:rsid w:val="00261D53"/>
    <w:rsid w:val="00267951"/>
    <w:rsid w:val="00281BA5"/>
    <w:rsid w:val="00297108"/>
    <w:rsid w:val="002A494F"/>
    <w:rsid w:val="002B0563"/>
    <w:rsid w:val="002B5321"/>
    <w:rsid w:val="002C266E"/>
    <w:rsid w:val="00311218"/>
    <w:rsid w:val="00314C5B"/>
    <w:rsid w:val="003153DB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23BCD"/>
    <w:rsid w:val="0042562B"/>
    <w:rsid w:val="0043176A"/>
    <w:rsid w:val="00433A00"/>
    <w:rsid w:val="0043645E"/>
    <w:rsid w:val="004372A4"/>
    <w:rsid w:val="0045018F"/>
    <w:rsid w:val="00465FF7"/>
    <w:rsid w:val="004764A3"/>
    <w:rsid w:val="00477661"/>
    <w:rsid w:val="00485BBB"/>
    <w:rsid w:val="004909F6"/>
    <w:rsid w:val="004926A3"/>
    <w:rsid w:val="004A1E9B"/>
    <w:rsid w:val="004A2F1B"/>
    <w:rsid w:val="004A61B4"/>
    <w:rsid w:val="004B0A56"/>
    <w:rsid w:val="004B5BD5"/>
    <w:rsid w:val="004C5FEA"/>
    <w:rsid w:val="004D355E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347E5"/>
    <w:rsid w:val="007409FA"/>
    <w:rsid w:val="00763A6A"/>
    <w:rsid w:val="00770DB4"/>
    <w:rsid w:val="007742FB"/>
    <w:rsid w:val="00774C27"/>
    <w:rsid w:val="00775C14"/>
    <w:rsid w:val="007820B1"/>
    <w:rsid w:val="0078659B"/>
    <w:rsid w:val="00792335"/>
    <w:rsid w:val="007960A3"/>
    <w:rsid w:val="007B7714"/>
    <w:rsid w:val="007C33E9"/>
    <w:rsid w:val="007D118F"/>
    <w:rsid w:val="007D4920"/>
    <w:rsid w:val="007D7A40"/>
    <w:rsid w:val="007E303C"/>
    <w:rsid w:val="0081654F"/>
    <w:rsid w:val="0082460C"/>
    <w:rsid w:val="008351FE"/>
    <w:rsid w:val="00844669"/>
    <w:rsid w:val="00845613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2D6E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029DB"/>
    <w:rsid w:val="00A21C3B"/>
    <w:rsid w:val="00A44ACC"/>
    <w:rsid w:val="00A6062D"/>
    <w:rsid w:val="00A73CC5"/>
    <w:rsid w:val="00A75303"/>
    <w:rsid w:val="00A76DCC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7209A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60199"/>
    <w:rsid w:val="00DB4CEE"/>
    <w:rsid w:val="00DC06B4"/>
    <w:rsid w:val="00DD58DA"/>
    <w:rsid w:val="00DF7BAB"/>
    <w:rsid w:val="00E10682"/>
    <w:rsid w:val="00E16123"/>
    <w:rsid w:val="00E34C94"/>
    <w:rsid w:val="00E5283D"/>
    <w:rsid w:val="00E57736"/>
    <w:rsid w:val="00E620EF"/>
    <w:rsid w:val="00E72AED"/>
    <w:rsid w:val="00E76629"/>
    <w:rsid w:val="00EA5719"/>
    <w:rsid w:val="00EA64D7"/>
    <w:rsid w:val="00EB6471"/>
    <w:rsid w:val="00ED5083"/>
    <w:rsid w:val="00F00DA3"/>
    <w:rsid w:val="00F01BDF"/>
    <w:rsid w:val="00F0404F"/>
    <w:rsid w:val="00F12C6F"/>
    <w:rsid w:val="00F2248D"/>
    <w:rsid w:val="00F378C6"/>
    <w:rsid w:val="00F46576"/>
    <w:rsid w:val="00F70DDA"/>
    <w:rsid w:val="00F80998"/>
    <w:rsid w:val="00FB7DCC"/>
    <w:rsid w:val="00FC0681"/>
    <w:rsid w:val="00FD3C13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kovigilance.cz@novarti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98F3-F6C4-4EE4-A735-E793F33E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1219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8401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2018-03-19T10:21:00Z</dcterms:created>
  <dcterms:modified xsi:type="dcterms:W3CDTF">2018-03-22T09:45:00Z</dcterms:modified>
</cp:coreProperties>
</file>