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Jíchová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jana.jichova@czechtrade.cz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INOB201800554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BrauBeviale 2018/085N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BrauBeviale 2018/085N.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BrauBeviale 2018/085N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13.11.2018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