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86" w:rsidRPr="00797AD5" w:rsidRDefault="005D4B86" w:rsidP="005D4B86">
      <w:pPr>
        <w:spacing w:after="0" w:line="240" w:lineRule="auto"/>
        <w:rPr>
          <w:rFonts w:eastAsia="Times New Roman" w:cs="Arial"/>
          <w:b/>
          <w:caps/>
          <w:sz w:val="28"/>
          <w:szCs w:val="28"/>
          <w:u w:val="single"/>
          <w:lang w:eastAsia="cs-CZ"/>
        </w:rPr>
      </w:pPr>
      <w:bookmarkStart w:id="0" w:name="_GoBack"/>
      <w:bookmarkEnd w:id="0"/>
      <w:r w:rsidRPr="00797AD5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TECHNICKÁ </w:t>
      </w:r>
      <w:proofErr w:type="gramStart"/>
      <w:r w:rsidRPr="00797AD5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SPECIFIKACE  </w:t>
      </w:r>
      <w:r w:rsidR="00797AD5" w:rsidRPr="00797AD5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>nákladního</w:t>
      </w:r>
      <w:proofErr w:type="gramEnd"/>
      <w:r w:rsidR="00797AD5" w:rsidRPr="00797AD5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 automobilu</w:t>
      </w:r>
      <w:r w:rsidRPr="00797AD5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 </w:t>
      </w:r>
    </w:p>
    <w:p w:rsidR="005D4B86" w:rsidRPr="00F7318D" w:rsidRDefault="005D4B86" w:rsidP="005D4B86">
      <w:pPr>
        <w:spacing w:after="0" w:line="240" w:lineRule="auto"/>
        <w:rPr>
          <w:rFonts w:eastAsia="Times New Roman" w:cs="Arial"/>
          <w:b/>
          <w:smallCaps/>
          <w:sz w:val="24"/>
          <w:szCs w:val="24"/>
          <w:u w:val="single"/>
          <w:lang w:eastAsia="cs-CZ"/>
        </w:rPr>
      </w:pPr>
    </w:p>
    <w:p w:rsidR="005F7EB8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>Vozidl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o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musí splňovat následující minimální technické parametry, požadavky na výbavu a být způsobilé k provozu na veřejných komunikacích v souladu vyhláškou č. 341/20</w:t>
      </w:r>
      <w:r w:rsidR="009738CE" w:rsidRPr="00774817">
        <w:rPr>
          <w:rFonts w:eastAsia="Times New Roman" w:cs="Times New Roman"/>
          <w:bCs/>
          <w:sz w:val="24"/>
          <w:szCs w:val="24"/>
          <w:lang w:eastAsia="cs-CZ"/>
        </w:rPr>
        <w:t>14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Sb. Ministerstva dopravy a spojů ze dne </w:t>
      </w:r>
      <w:r w:rsidR="009738CE" w:rsidRPr="00774817">
        <w:rPr>
          <w:rFonts w:eastAsia="Times New Roman" w:cs="Times New Roman"/>
          <w:bCs/>
          <w:sz w:val="24"/>
          <w:szCs w:val="24"/>
          <w:lang w:eastAsia="cs-CZ"/>
        </w:rPr>
        <w:t>19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. </w:t>
      </w:r>
      <w:r w:rsidR="009738CE" w:rsidRPr="00774817">
        <w:rPr>
          <w:rFonts w:eastAsia="Times New Roman" w:cs="Times New Roman"/>
          <w:bCs/>
          <w:sz w:val="24"/>
          <w:szCs w:val="24"/>
          <w:lang w:eastAsia="cs-CZ"/>
        </w:rPr>
        <w:t>prosince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20</w:t>
      </w:r>
      <w:r w:rsidR="009738CE" w:rsidRPr="00774817">
        <w:rPr>
          <w:rFonts w:eastAsia="Times New Roman" w:cs="Times New Roman"/>
          <w:bCs/>
          <w:sz w:val="24"/>
          <w:szCs w:val="24"/>
          <w:lang w:eastAsia="cs-CZ"/>
        </w:rPr>
        <w:t>14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o schvalování technické způsobilosti a o technických podmínkách provozu vozidel na pozemních komunikacích. Požadovan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é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vozid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lo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musí být schválen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o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pro provoz na pozemních komunikacích v souladu se zákonem č. 56/2001 Sb., o podmínkách provozu vozidel na pozemních komunikacích a o změně zákona č. 168/1999 Sb., o pojištění odpovědnosti za škodu způsobenou provozem vozidla a o změně některých souvisejících zákonů, ve znění zákona č. 307/1999 Sb. </w:t>
      </w:r>
      <w:r w:rsidR="005F7EB8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Požadované vozidlo musí </w:t>
      </w:r>
      <w:r w:rsidR="003117D4" w:rsidRPr="00774817">
        <w:rPr>
          <w:rFonts w:eastAsia="Times New Roman" w:cs="Times New Roman"/>
          <w:bCs/>
          <w:sz w:val="24"/>
          <w:szCs w:val="24"/>
          <w:lang w:eastAsia="cs-CZ"/>
        </w:rPr>
        <w:t>plnit požadavky</w:t>
      </w:r>
      <w:r w:rsidR="005F7EB8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pro výuku</w:t>
      </w:r>
      <w:r w:rsidR="003117D4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a výcvik</w:t>
      </w:r>
      <w:r w:rsidR="005F7EB8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autoškoly dle zákona č. 247/2000 Sb.</w:t>
      </w:r>
      <w:r w:rsidR="00DA13F7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767400" w:rsidRPr="00774817">
        <w:rPr>
          <w:rFonts w:eastAsia="Times New Roman" w:cs="Times New Roman"/>
          <w:bCs/>
          <w:sz w:val="24"/>
          <w:szCs w:val="24"/>
          <w:lang w:eastAsia="cs-CZ"/>
        </w:rPr>
        <w:t>ve znění pozdějších změn a doplňků</w:t>
      </w:r>
      <w:r w:rsidR="005F7EB8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o získávání a zdokonalování odborné způsobilosti k řízení motorových vozidel a o změnách některých zákonů. Požadované vozidlo musí být označeno „AUTOŠKOLA“. 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>Barevné provedení vozidl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a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musí splňovat podmínky stanovené zákonem č. 361/2000 Sb., ve znění pozdějších předpisů, § 10 odst. 2, o provozu na pozemních komunikacích a o změnách některých zákonů.</w:t>
      </w:r>
    </w:p>
    <w:p w:rsidR="005D4B86" w:rsidRPr="00AF26C1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color w:val="FF0000"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Vozidlo musí být nové z produkce aktuálního nebo předchozího roku. Zadavatel musí být prvním uživatelem požadovaného vozidla. Zadavatel požaduje přihlášení vozidla do registru silničních vozidel. Zadavatel je povinen poskytnout uchazeči potřebnou součinnost při registraci vozidla. 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Na vozidle musí být proveden kompletní předprodejní servis. 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>Vozidlo bude dodáno včetně požadované dokumentace, manuálu, 2 klíčů</w:t>
      </w:r>
      <w:r w:rsidR="002537BB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, </w:t>
      </w:r>
      <w:r w:rsidR="009738CE" w:rsidRPr="00774817">
        <w:rPr>
          <w:rFonts w:eastAsia="Times New Roman" w:cs="Times New Roman"/>
          <w:bCs/>
          <w:sz w:val="24"/>
          <w:szCs w:val="24"/>
          <w:lang w:eastAsia="cs-CZ"/>
        </w:rPr>
        <w:t>2</w:t>
      </w:r>
      <w:r w:rsidR="002537BB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0 l </w:t>
      </w:r>
      <w:r w:rsidR="009738CE" w:rsidRPr="00774817">
        <w:rPr>
          <w:rFonts w:eastAsia="Times New Roman" w:cs="Times New Roman"/>
          <w:bCs/>
          <w:sz w:val="24"/>
          <w:szCs w:val="24"/>
          <w:lang w:eastAsia="cs-CZ"/>
        </w:rPr>
        <w:t>pohonných hmot</w:t>
      </w:r>
      <w:r w:rsidR="002537BB"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365FCA" w:rsidRPr="00774817">
        <w:rPr>
          <w:rFonts w:eastAsia="Times New Roman" w:cs="Times New Roman"/>
          <w:bCs/>
          <w:sz w:val="24"/>
          <w:szCs w:val="24"/>
          <w:lang w:eastAsia="cs-CZ"/>
        </w:rPr>
        <w:t>v nádrži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a povinné výbavy.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>Dodané letní pneumatiky nesmí být v době předání vozidla starší než 18 měsíců.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Zadavatel dále požaduje poskytování servisních služeb autorizovaným servisním střediskem pokrývajících veškerou údržbu a opotřebení, které může provozováním vozidla nastat vč. veškerého spotřebovaného materiálu a originálních náhradních dílů. Doba poskytování servisních služeb je stanovena dobou či nájezdem uvedeným v tabulce minimálních technických parametrů, a to </w:t>
      </w:r>
      <w:r w:rsidRPr="00DE4F93">
        <w:rPr>
          <w:rFonts w:eastAsia="Times New Roman" w:cs="Times New Roman"/>
          <w:bCs/>
          <w:sz w:val="24"/>
          <w:szCs w:val="24"/>
          <w:lang w:eastAsia="cs-CZ"/>
        </w:rPr>
        <w:t xml:space="preserve">podle toho, co nastane dříve. Servisní služby musí být zajišťovány autorizovaným servisním střediskem dostupným do </w:t>
      </w:r>
      <w:r w:rsidR="006122C5" w:rsidRPr="00DE4F93">
        <w:rPr>
          <w:rFonts w:eastAsia="Times New Roman" w:cs="Times New Roman"/>
          <w:bCs/>
          <w:sz w:val="24"/>
          <w:szCs w:val="24"/>
          <w:lang w:eastAsia="cs-CZ"/>
        </w:rPr>
        <w:t>60</w:t>
      </w:r>
      <w:r w:rsidRPr="00DE4F93">
        <w:rPr>
          <w:rFonts w:eastAsia="Times New Roman" w:cs="Times New Roman"/>
          <w:bCs/>
          <w:sz w:val="24"/>
          <w:szCs w:val="24"/>
          <w:lang w:eastAsia="cs-CZ"/>
        </w:rPr>
        <w:t xml:space="preserve"> km od místa stanoviště vozidla, v případě dostupnosti servisního střediska delší než </w:t>
      </w:r>
      <w:r w:rsidR="0048403C" w:rsidRPr="00DE4F93">
        <w:rPr>
          <w:rFonts w:eastAsia="Times New Roman" w:cs="Times New Roman"/>
          <w:bCs/>
          <w:sz w:val="24"/>
          <w:szCs w:val="24"/>
          <w:lang w:eastAsia="cs-CZ"/>
        </w:rPr>
        <w:t>60</w:t>
      </w:r>
      <w:r w:rsidRPr="00DE4F93">
        <w:rPr>
          <w:rFonts w:eastAsia="Times New Roman" w:cs="Times New Roman"/>
          <w:bCs/>
          <w:sz w:val="24"/>
          <w:szCs w:val="24"/>
          <w:lang w:eastAsia="cs-CZ"/>
        </w:rPr>
        <w:t xml:space="preserve"> km je </w:t>
      </w:r>
      <w:r w:rsidR="00A5405C" w:rsidRPr="00DE4F93">
        <w:rPr>
          <w:rFonts w:eastAsia="Times New Roman" w:cs="Times New Roman"/>
          <w:bCs/>
          <w:sz w:val="24"/>
          <w:szCs w:val="24"/>
          <w:lang w:eastAsia="cs-CZ"/>
        </w:rPr>
        <w:t>dodavatel</w:t>
      </w:r>
      <w:r w:rsidRPr="00DE4F93">
        <w:rPr>
          <w:rFonts w:eastAsia="Times New Roman" w:cs="Times New Roman"/>
          <w:bCs/>
          <w:sz w:val="24"/>
          <w:szCs w:val="24"/>
          <w:lang w:eastAsia="cs-CZ"/>
        </w:rPr>
        <w:t xml:space="preserve"> povinen zajistit dovoz vozidla do servisu nad uvedenou hranici na vlastní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náklady. 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Zadavatel požaduje splnění veškerých níže uvedeným technických parametrů vozidla. 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Parametry mohou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být 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dodavatelem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překročeny, a to pouze ve prospěch zadavatele. Technické parametry, zejména pak vybavení </w:t>
      </w:r>
      <w:r w:rsidR="000E0695">
        <w:rPr>
          <w:rFonts w:eastAsia="Times New Roman" w:cs="Times New Roman"/>
          <w:bCs/>
          <w:sz w:val="24"/>
          <w:szCs w:val="24"/>
          <w:lang w:eastAsia="cs-CZ"/>
        </w:rPr>
        <w:t>vozidla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, mohou být doplněny o další vhodné vybavení či parametry. Veškeré další nabízené vybavení či parametry však musí být zahrnuty do nabídkové ceny příslušného vozidla, stejně jako požadované vybavení. Další nabízené vybavení (nad rámec požadovaného) 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dodavatel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uvede zřetelně ve své nabídce.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lastRenderedPageBreak/>
        <w:t xml:space="preserve">Splnění technických parametrů a požadavků na provedení a výbavu </w:t>
      </w:r>
      <w:r w:rsidR="007825BC">
        <w:rPr>
          <w:rFonts w:eastAsia="Times New Roman" w:cs="Times New Roman"/>
          <w:bCs/>
          <w:sz w:val="24"/>
          <w:szCs w:val="24"/>
          <w:lang w:eastAsia="cs-CZ"/>
        </w:rPr>
        <w:t>vozidla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z této přílohy je 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dodavatel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povinen prokázat relevantním způsobem, konkrétně doložením následujícího: </w:t>
      </w:r>
    </w:p>
    <w:p w:rsidR="005D4B86" w:rsidRPr="00774817" w:rsidRDefault="005D4B86" w:rsidP="005D4B8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Technická dokumentace nabízeného vozidla v rozsahu umožňujícím zadavateli ověření splnění minimálně požadovaných technických parametrů a výbavy vozidla uvedeného v technické specifikaci. Zadavatel tedy požaduje, aby </w:t>
      </w:r>
      <w:r w:rsidR="00A93663" w:rsidRPr="00774817">
        <w:rPr>
          <w:rFonts w:eastAsia="Times New Roman" w:cs="Times New Roman"/>
          <w:bCs/>
          <w:sz w:val="24"/>
          <w:szCs w:val="24"/>
          <w:lang w:eastAsia="cs-CZ"/>
        </w:rPr>
        <w:t>dodavatelem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dodaná technická dokumentace obsahovala všechny požadované parametry. </w:t>
      </w:r>
    </w:p>
    <w:p w:rsidR="005D4B86" w:rsidRPr="00774817" w:rsidRDefault="005D4B86" w:rsidP="005D4B8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Vyplněnou tabulku, kde 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dodavatel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doplní veškeré požadované parametry, ze kterých bude zřejmé splnění technických parametrů vozidel. Další nabízené vybavení či parametry nad rámec požadavků zadavatele </w:t>
      </w:r>
      <w:r w:rsidR="00721878" w:rsidRPr="00774817">
        <w:rPr>
          <w:rFonts w:eastAsia="Times New Roman" w:cs="Times New Roman"/>
          <w:bCs/>
          <w:sz w:val="24"/>
          <w:szCs w:val="24"/>
          <w:lang w:eastAsia="cs-CZ"/>
        </w:rPr>
        <w:t>dodavatel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uvede do samostatné kolonky.</w:t>
      </w:r>
    </w:p>
    <w:p w:rsidR="005D4B86" w:rsidRPr="00F7318D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>Zadavatel dále upozorňuje, že nepřipouští jakékoliv odkazy na požadované provedení či výbavu v jiných dokumentech nepřiložených v nabídce.</w:t>
      </w:r>
    </w:p>
    <w:p w:rsidR="00E04C5C" w:rsidRDefault="00E04C5C" w:rsidP="00E04C5C">
      <w:pPr>
        <w:spacing w:before="120" w:after="120" w:line="240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3"/>
        <w:gridCol w:w="1276"/>
        <w:gridCol w:w="1757"/>
        <w:gridCol w:w="4422"/>
      </w:tblGrid>
      <w:tr w:rsidR="00384BF4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4" w:rsidRPr="00384BF4" w:rsidRDefault="00384BF4" w:rsidP="00766D6F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84BF4">
              <w:rPr>
                <w:rFonts w:cs="Tahoma"/>
                <w:b/>
                <w:sz w:val="24"/>
                <w:szCs w:val="24"/>
              </w:rPr>
              <w:t>Provedení vozidla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4" w:rsidRPr="00384BF4" w:rsidRDefault="00384BF4" w:rsidP="00766D6F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84BF4">
              <w:rPr>
                <w:rFonts w:cs="Tahoma"/>
                <w:b/>
                <w:sz w:val="24"/>
                <w:szCs w:val="24"/>
              </w:rPr>
              <w:t>Max./min.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4" w:rsidRPr="00384BF4" w:rsidRDefault="00384BF4" w:rsidP="00766D6F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84BF4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384BF4" w:rsidRPr="00384BF4" w:rsidRDefault="00384BF4" w:rsidP="00766D6F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84BF4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4" w:rsidRPr="00384BF4" w:rsidRDefault="00384BF4" w:rsidP="00766D6F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84BF4">
              <w:rPr>
                <w:rFonts w:cs="Tahoma"/>
                <w:b/>
                <w:sz w:val="24"/>
                <w:szCs w:val="24"/>
              </w:rPr>
              <w:t>Hodnota</w:t>
            </w:r>
          </w:p>
          <w:p w:rsidR="00384BF4" w:rsidRPr="00384BF4" w:rsidRDefault="00766D6F" w:rsidP="00766D6F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dodavatele</w:t>
            </w:r>
          </w:p>
        </w:tc>
      </w:tr>
      <w:tr w:rsidR="00384BF4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4BF4" w:rsidRPr="00384BF4" w:rsidRDefault="00384BF4" w:rsidP="00384BF4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384BF4">
              <w:rPr>
                <w:rFonts w:cs="Tahoma"/>
                <w:b/>
                <w:sz w:val="24"/>
                <w:szCs w:val="24"/>
              </w:rPr>
              <w:t>Technické parametry požadovaného plnění: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4BF4" w:rsidRPr="00384BF4" w:rsidRDefault="00384BF4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4BF4" w:rsidRPr="00384BF4" w:rsidRDefault="00384BF4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4BF4" w:rsidRPr="00384BF4" w:rsidRDefault="00384BF4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32739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Tovární značka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35E63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35E63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629DF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DAF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Obchodní označení modelu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35E63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35E63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629DF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LF </w:t>
            </w:r>
            <w:r w:rsidR="00E5793D">
              <w:rPr>
                <w:rFonts w:cs="Tahoma"/>
                <w:sz w:val="24"/>
                <w:szCs w:val="24"/>
              </w:rPr>
              <w:t>230 FA G12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Motor: druh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vznětový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vznětový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 xml:space="preserve">          zdvihový </w:t>
            </w:r>
            <w:proofErr w:type="gramStart"/>
            <w:r w:rsidRPr="00384BF4">
              <w:rPr>
                <w:rFonts w:cs="Tahoma"/>
                <w:sz w:val="24"/>
                <w:szCs w:val="24"/>
              </w:rPr>
              <w:t>objem  (cm3</w:t>
            </w:r>
            <w:proofErr w:type="gramEnd"/>
            <w:r w:rsidRPr="00384BF4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6800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6700 cm3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 xml:space="preserve">          výkon (kW)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173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172 kW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ind w:firstLine="708"/>
              <w:rPr>
                <w:rFonts w:cs="Tahoma"/>
                <w:sz w:val="24"/>
                <w:szCs w:val="24"/>
              </w:rPr>
            </w:pPr>
            <w:proofErr w:type="gramStart"/>
            <w:r w:rsidRPr="00384BF4">
              <w:rPr>
                <w:rFonts w:cs="Tahoma"/>
                <w:sz w:val="24"/>
                <w:szCs w:val="24"/>
              </w:rPr>
              <w:t>Kroutící</w:t>
            </w:r>
            <w:proofErr w:type="gramEnd"/>
            <w:r w:rsidRPr="00384BF4">
              <w:rPr>
                <w:rFonts w:cs="Tahoma"/>
                <w:sz w:val="24"/>
                <w:szCs w:val="24"/>
              </w:rPr>
              <w:t xml:space="preserve"> moment Nm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min-</w:t>
            </w:r>
            <w:proofErr w:type="spellStart"/>
            <w:r w:rsidRPr="00384BF4">
              <w:rPr>
                <w:rFonts w:cs="Tahoma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800-900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900 Nm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 xml:space="preserve">Převodovka mechanická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šestistupňová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 převodových stupňů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Rozvor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min-</w:t>
            </w:r>
            <w:proofErr w:type="spellStart"/>
            <w:r w:rsidRPr="00384BF4">
              <w:rPr>
                <w:rFonts w:cs="Tahoma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4500-5000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4650 mm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17,5 x 6,75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17,5 x 6,75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Pneumatiky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245/70R17,5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245/70R17,5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Celková hmotnost jízdní soupravy (kg)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C7" w:rsidRPr="00384BF4" w:rsidRDefault="000A33C7" w:rsidP="00F054A4">
            <w:pPr>
              <w:spacing w:after="0" w:line="240" w:lineRule="auto"/>
              <w:outlineLvl w:val="1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22000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22 000 Kg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384BF4">
              <w:rPr>
                <w:rFonts w:cs="Tahoma"/>
                <w:b/>
                <w:sz w:val="24"/>
                <w:szCs w:val="24"/>
              </w:rPr>
              <w:t>Mimořádná výbava: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Tažné zařízení (kg)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minimální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10000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E5793D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10 000 Kg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Klimatizace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 xml:space="preserve">Jednodílný ocelový nárazník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Klíček s dálkovým ovládáním zamykání vozu – centrál 3ks klíč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lastRenderedPageBreak/>
              <w:t>Přední mlhové světlomety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 xml:space="preserve">Palubní počítač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Voltmetr pro zjištění stavu nabytí akumulátorů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LCD display přístrojové desky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El. ovládání oken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Autorádio s Bluetooth HF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Záruka na celé vozidlo bez omezení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ind w:left="-105" w:right="-111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2roky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B5401E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Adaptivní tempomat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Sluneční clona nad předním oknem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Rezervní kolo ocelové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Vnější zpětná zrcátka el. nastavitelná, vyhřívaná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Modrá barva kabiny a střešního spoileru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Mechanická uzávěrka diferenciálu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Ochranná mřížka před chladičem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84BF4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6B366D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6B366D">
              <w:rPr>
                <w:rFonts w:cs="Tahoma"/>
                <w:sz w:val="24"/>
                <w:szCs w:val="24"/>
              </w:rPr>
              <w:t>Plnohodnotné sedadlo spolujezdce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6B366D" w:rsidRDefault="00913F25" w:rsidP="00384BF4">
            <w:pPr>
              <w:spacing w:after="0" w:line="240" w:lineRule="auto"/>
              <w:rPr>
                <w:rFonts w:cs="Tahoma"/>
                <w:color w:val="FF0000"/>
                <w:sz w:val="24"/>
                <w:szCs w:val="24"/>
              </w:rPr>
            </w:pPr>
            <w:r w:rsidRPr="006B366D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913F25" w:rsidRDefault="00913F25" w:rsidP="00384BF4">
            <w:pPr>
              <w:spacing w:after="0" w:line="240" w:lineRule="auto"/>
              <w:rPr>
                <w:rFonts w:cs="Tahoma"/>
                <w:color w:val="FF0000"/>
                <w:sz w:val="24"/>
                <w:szCs w:val="24"/>
              </w:rPr>
            </w:pPr>
            <w:r w:rsidRPr="006B366D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F06C35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  <w:r w:rsidR="00345CD0">
              <w:rPr>
                <w:rFonts w:cs="Tahoma"/>
                <w:sz w:val="24"/>
                <w:szCs w:val="24"/>
              </w:rPr>
              <w:t>-</w:t>
            </w:r>
            <w:r w:rsidR="000917BB">
              <w:rPr>
                <w:rFonts w:cs="Tahoma"/>
                <w:sz w:val="24"/>
                <w:szCs w:val="24"/>
              </w:rPr>
              <w:t>vzduchově odpružené</w:t>
            </w:r>
          </w:p>
        </w:tc>
      </w:tr>
      <w:tr w:rsidR="000A33C7" w:rsidRPr="00384BF4" w:rsidTr="006E41B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9943C8">
              <w:rPr>
                <w:rFonts w:cs="Tahoma"/>
                <w:sz w:val="24"/>
                <w:szCs w:val="24"/>
              </w:rPr>
              <w:t>Další vhodné vybavení či parametry nabízené dodavatelem zahrnuté v nabídkové cen</w:t>
            </w:r>
            <w:r>
              <w:rPr>
                <w:rFonts w:cs="Tahoma"/>
                <w:sz w:val="24"/>
                <w:szCs w:val="24"/>
              </w:rPr>
              <w:t>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C7" w:rsidRPr="00384BF4" w:rsidRDefault="000A33C7" w:rsidP="00384BF4">
            <w:pPr>
              <w:spacing w:after="0" w:line="240" w:lineRule="auto"/>
              <w:outlineLvl w:val="1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  <w:sz w:val="24"/>
                <w:szCs w:val="24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3C7" w:rsidRPr="00384BF4" w:rsidRDefault="00A530E3" w:rsidP="00384B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Pevné sedadlo 2. spolujezdce, vybavení vozu „druhými“ pedály, označení vozidla jako „autoškola“  </w:t>
            </w:r>
          </w:p>
        </w:tc>
      </w:tr>
    </w:tbl>
    <w:p w:rsidR="00384BF4" w:rsidRDefault="00384BF4" w:rsidP="00E04C5C">
      <w:pPr>
        <w:spacing w:before="120" w:after="120" w:line="240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</w:p>
    <w:p w:rsidR="00384BF4" w:rsidRDefault="00384BF4" w:rsidP="00E04C5C">
      <w:pPr>
        <w:spacing w:before="120" w:after="120" w:line="240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</w:p>
    <w:p w:rsidR="00C65744" w:rsidRPr="00C65744" w:rsidRDefault="00C65744" w:rsidP="00E04C5C">
      <w:pPr>
        <w:spacing w:before="120" w:after="120" w:line="240" w:lineRule="auto"/>
        <w:jc w:val="both"/>
        <w:rPr>
          <w:rFonts w:eastAsia="Times New Roman" w:cs="Times New Roman"/>
          <w:bCs/>
          <w:lang w:eastAsia="cs-CZ"/>
        </w:rPr>
      </w:pPr>
    </w:p>
    <w:sectPr w:rsidR="00C65744" w:rsidRPr="00C65744" w:rsidSect="00C510CC">
      <w:headerReference w:type="default" r:id="rId8"/>
      <w:pgSz w:w="16838" w:h="11906" w:orient="landscape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A5" w:rsidRDefault="00ED79A5">
      <w:pPr>
        <w:spacing w:after="0" w:line="240" w:lineRule="auto"/>
      </w:pPr>
      <w:r>
        <w:separator/>
      </w:r>
    </w:p>
  </w:endnote>
  <w:endnote w:type="continuationSeparator" w:id="0">
    <w:p w:rsidR="00ED79A5" w:rsidRDefault="00ED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A5" w:rsidRDefault="00ED79A5">
      <w:pPr>
        <w:spacing w:after="0" w:line="240" w:lineRule="auto"/>
      </w:pPr>
      <w:r>
        <w:separator/>
      </w:r>
    </w:p>
  </w:footnote>
  <w:footnote w:type="continuationSeparator" w:id="0">
    <w:p w:rsidR="00ED79A5" w:rsidRDefault="00ED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48" w:rsidRPr="00F7318D" w:rsidRDefault="00C65744" w:rsidP="00AA3448">
    <w:pPr>
      <w:rPr>
        <w:rFonts w:cs="Arial"/>
        <w:b/>
        <w:smallCaps/>
        <w:sz w:val="24"/>
        <w:szCs w:val="24"/>
      </w:rPr>
    </w:pPr>
    <w:r w:rsidRPr="00F7318D">
      <w:rPr>
        <w:sz w:val="24"/>
        <w:szCs w:val="24"/>
      </w:rPr>
      <w:t xml:space="preserve">Příloha č. </w:t>
    </w:r>
    <w:r w:rsidR="00D25A66">
      <w:rPr>
        <w:sz w:val="24"/>
        <w:szCs w:val="24"/>
      </w:rPr>
      <w:t>1</w:t>
    </w:r>
    <w:r w:rsidRPr="00F7318D">
      <w:rPr>
        <w:sz w:val="24"/>
        <w:szCs w:val="24"/>
      </w:rPr>
      <w:t xml:space="preserve"> : </w:t>
    </w:r>
    <w:r w:rsidRPr="00F7318D">
      <w:rPr>
        <w:rFonts w:cs="Arial"/>
        <w:b/>
        <w:caps/>
        <w:sz w:val="24"/>
        <w:szCs w:val="24"/>
      </w:rPr>
      <w:t xml:space="preserve">TECHNICKÁ </w:t>
    </w:r>
    <w:r w:rsidR="00F7318D" w:rsidRPr="00F7318D">
      <w:rPr>
        <w:rFonts w:cs="Arial"/>
        <w:b/>
        <w:caps/>
        <w:sz w:val="24"/>
        <w:szCs w:val="24"/>
      </w:rPr>
      <w:t xml:space="preserve">SPECIFIKACE </w:t>
    </w:r>
    <w:r w:rsidR="00A37F6E">
      <w:rPr>
        <w:rFonts w:cs="Arial"/>
        <w:b/>
        <w:caps/>
        <w:sz w:val="24"/>
        <w:szCs w:val="24"/>
      </w:rPr>
      <w:t>nákladního automobilu</w:t>
    </w:r>
  </w:p>
  <w:p w:rsidR="00AA3448" w:rsidRDefault="00ED79A5" w:rsidP="00AA34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7856"/>
    <w:multiLevelType w:val="hybridMultilevel"/>
    <w:tmpl w:val="AD9CA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44"/>
    <w:rsid w:val="00016C68"/>
    <w:rsid w:val="00035E63"/>
    <w:rsid w:val="000917BB"/>
    <w:rsid w:val="000A33C7"/>
    <w:rsid w:val="000C38FA"/>
    <w:rsid w:val="000E0695"/>
    <w:rsid w:val="000E691B"/>
    <w:rsid w:val="00113594"/>
    <w:rsid w:val="001207EC"/>
    <w:rsid w:val="00144DB5"/>
    <w:rsid w:val="001B7124"/>
    <w:rsid w:val="00206330"/>
    <w:rsid w:val="002537BB"/>
    <w:rsid w:val="00257D4C"/>
    <w:rsid w:val="002650CE"/>
    <w:rsid w:val="00265722"/>
    <w:rsid w:val="00273D54"/>
    <w:rsid w:val="00282AF1"/>
    <w:rsid w:val="0028370A"/>
    <w:rsid w:val="002E7D5D"/>
    <w:rsid w:val="002F2334"/>
    <w:rsid w:val="003117D4"/>
    <w:rsid w:val="003202F3"/>
    <w:rsid w:val="00332739"/>
    <w:rsid w:val="00345CD0"/>
    <w:rsid w:val="00365FCA"/>
    <w:rsid w:val="00384BF4"/>
    <w:rsid w:val="003E2F73"/>
    <w:rsid w:val="003F0F8D"/>
    <w:rsid w:val="003F312F"/>
    <w:rsid w:val="004418AC"/>
    <w:rsid w:val="0048403C"/>
    <w:rsid w:val="004D7A34"/>
    <w:rsid w:val="00506E68"/>
    <w:rsid w:val="005B7473"/>
    <w:rsid w:val="005C2520"/>
    <w:rsid w:val="005D4B86"/>
    <w:rsid w:val="005F7EB8"/>
    <w:rsid w:val="00601C05"/>
    <w:rsid w:val="006122C5"/>
    <w:rsid w:val="0063499D"/>
    <w:rsid w:val="00662A0F"/>
    <w:rsid w:val="00665C4F"/>
    <w:rsid w:val="00684656"/>
    <w:rsid w:val="006B366D"/>
    <w:rsid w:val="006C1C74"/>
    <w:rsid w:val="006E41BC"/>
    <w:rsid w:val="006F6077"/>
    <w:rsid w:val="00721878"/>
    <w:rsid w:val="00734D73"/>
    <w:rsid w:val="007525C8"/>
    <w:rsid w:val="00766D6F"/>
    <w:rsid w:val="00767400"/>
    <w:rsid w:val="00774817"/>
    <w:rsid w:val="007825BC"/>
    <w:rsid w:val="00797AD5"/>
    <w:rsid w:val="007C29BB"/>
    <w:rsid w:val="008379D9"/>
    <w:rsid w:val="00852636"/>
    <w:rsid w:val="008D326F"/>
    <w:rsid w:val="0090048B"/>
    <w:rsid w:val="00913F25"/>
    <w:rsid w:val="009223AD"/>
    <w:rsid w:val="00947824"/>
    <w:rsid w:val="009738CE"/>
    <w:rsid w:val="009943C8"/>
    <w:rsid w:val="009F1CD3"/>
    <w:rsid w:val="00A35A66"/>
    <w:rsid w:val="00A36C96"/>
    <w:rsid w:val="00A37F6E"/>
    <w:rsid w:val="00A44C9C"/>
    <w:rsid w:val="00A530E3"/>
    <w:rsid w:val="00A5405C"/>
    <w:rsid w:val="00A62706"/>
    <w:rsid w:val="00A707CF"/>
    <w:rsid w:val="00A869CB"/>
    <w:rsid w:val="00A914FA"/>
    <w:rsid w:val="00A93663"/>
    <w:rsid w:val="00AF26C1"/>
    <w:rsid w:val="00AF51CD"/>
    <w:rsid w:val="00B04082"/>
    <w:rsid w:val="00B10ECB"/>
    <w:rsid w:val="00B35433"/>
    <w:rsid w:val="00B40BB4"/>
    <w:rsid w:val="00B42F89"/>
    <w:rsid w:val="00B5401E"/>
    <w:rsid w:val="00B57FAF"/>
    <w:rsid w:val="00B75C89"/>
    <w:rsid w:val="00B979B8"/>
    <w:rsid w:val="00BB338B"/>
    <w:rsid w:val="00BE61E5"/>
    <w:rsid w:val="00BF4108"/>
    <w:rsid w:val="00C1333A"/>
    <w:rsid w:val="00C24757"/>
    <w:rsid w:val="00C25F3B"/>
    <w:rsid w:val="00C41750"/>
    <w:rsid w:val="00C46DDF"/>
    <w:rsid w:val="00C65744"/>
    <w:rsid w:val="00C6588E"/>
    <w:rsid w:val="00D16232"/>
    <w:rsid w:val="00D25A66"/>
    <w:rsid w:val="00D6116E"/>
    <w:rsid w:val="00D61792"/>
    <w:rsid w:val="00D80EEB"/>
    <w:rsid w:val="00DA13F7"/>
    <w:rsid w:val="00DB7C82"/>
    <w:rsid w:val="00DE38D1"/>
    <w:rsid w:val="00DE4F93"/>
    <w:rsid w:val="00E04C5C"/>
    <w:rsid w:val="00E41201"/>
    <w:rsid w:val="00E5793D"/>
    <w:rsid w:val="00E629DF"/>
    <w:rsid w:val="00E66D3E"/>
    <w:rsid w:val="00EB5A5B"/>
    <w:rsid w:val="00ED3523"/>
    <w:rsid w:val="00ED3F03"/>
    <w:rsid w:val="00ED79A5"/>
    <w:rsid w:val="00F06C35"/>
    <w:rsid w:val="00F3204C"/>
    <w:rsid w:val="00F46377"/>
    <w:rsid w:val="00F512D7"/>
    <w:rsid w:val="00F524AC"/>
    <w:rsid w:val="00F7318D"/>
    <w:rsid w:val="00F809D6"/>
    <w:rsid w:val="00F85F91"/>
    <w:rsid w:val="00FE3D84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5B9356-55D3-4DB7-B46B-F94360A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57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65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082"/>
  </w:style>
  <w:style w:type="paragraph" w:styleId="Textbubliny">
    <w:name w:val="Balloon Text"/>
    <w:basedOn w:val="Normln"/>
    <w:link w:val="TextbublinyChar"/>
    <w:uiPriority w:val="99"/>
    <w:semiHidden/>
    <w:unhideWhenUsed/>
    <w:rsid w:val="005D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B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7EB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8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8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8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3197-2F23-44E9-BF98-80A99FE8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SMertova</dc:creator>
  <cp:lastModifiedBy>žáci</cp:lastModifiedBy>
  <cp:revision>2</cp:revision>
  <cp:lastPrinted>2017-12-29T12:15:00Z</cp:lastPrinted>
  <dcterms:created xsi:type="dcterms:W3CDTF">2018-03-21T11:31:00Z</dcterms:created>
  <dcterms:modified xsi:type="dcterms:W3CDTF">2018-03-21T11:31:00Z</dcterms:modified>
</cp:coreProperties>
</file>