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1AF8CAB6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72A495A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EB2B32">
        <w:rPr>
          <w:rFonts w:asciiTheme="minorHAnsi" w:hAnsiTheme="minorHAnsi"/>
          <w:b/>
          <w:sz w:val="28"/>
          <w:szCs w:val="28"/>
        </w:rPr>
        <w:t>00074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212940E" w14:textId="77777777" w:rsidR="00834681" w:rsidRPr="00634164" w:rsidRDefault="00834681" w:rsidP="0083468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DC6DBF0" w14:textId="77777777" w:rsidR="00834681" w:rsidRPr="004405E5" w:rsidRDefault="00834681" w:rsidP="00834681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Národní rada osob se zdravotním postižením České </w:t>
      </w:r>
      <w:proofErr w:type="gram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republiky, </w:t>
      </w:r>
      <w:proofErr w:type="spell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z.s</w:t>
      </w:r>
      <w:proofErr w:type="spellEnd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.</w:t>
      </w:r>
      <w:proofErr w:type="gramEnd"/>
    </w:p>
    <w:p w14:paraId="60F073F5" w14:textId="77777777" w:rsidR="00834681" w:rsidRPr="009C36FB" w:rsidRDefault="00834681" w:rsidP="00834681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4E24B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Partyzánská 1/7, Holešovice (Praha 7), 170 00 Praha</w:t>
      </w:r>
    </w:p>
    <w:p w14:paraId="039D5BD1" w14:textId="77777777" w:rsidR="00834681" w:rsidRPr="004405E5" w:rsidRDefault="00834681" w:rsidP="0083468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70856478</w:t>
      </w:r>
    </w:p>
    <w:p w14:paraId="46D82449" w14:textId="77777777" w:rsidR="00834681" w:rsidRPr="004405E5" w:rsidRDefault="00834681" w:rsidP="0083468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291778399/0800</w:t>
      </w:r>
    </w:p>
    <w:p w14:paraId="6CF4E9AC" w14:textId="77777777" w:rsidR="00834681" w:rsidRPr="004405E5" w:rsidRDefault="00834681" w:rsidP="0083468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>
        <w:rPr>
          <w:rFonts w:ascii="Calibri" w:hAnsi="Calibri"/>
          <w:sz w:val="22"/>
          <w:szCs w:val="22"/>
        </w:rPr>
        <w:t>Mgr. Václavem Krásou</w:t>
      </w:r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0AB54D92" w:rsidR="00EB5E74" w:rsidRPr="00BE0522" w:rsidRDefault="00834681" w:rsidP="00834681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717E2A17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4D30FC">
        <w:rPr>
          <w:rFonts w:asciiTheme="minorHAnsi" w:hAnsiTheme="minorHAnsi"/>
          <w:b/>
          <w:sz w:val="22"/>
          <w:szCs w:val="22"/>
        </w:rPr>
        <w:t>201</w:t>
      </w:r>
      <w:r w:rsidR="00D25B77">
        <w:rPr>
          <w:rFonts w:asciiTheme="minorHAnsi" w:hAnsiTheme="minorHAnsi"/>
          <w:b/>
          <w:sz w:val="22"/>
          <w:szCs w:val="22"/>
        </w:rPr>
        <w:t xml:space="preserve"> </w:t>
      </w:r>
      <w:r w:rsidR="004D30FC">
        <w:rPr>
          <w:rFonts w:asciiTheme="minorHAnsi" w:hAnsiTheme="minorHAnsi"/>
          <w:b/>
          <w:sz w:val="22"/>
          <w:szCs w:val="22"/>
        </w:rPr>
        <w:t>0</w:t>
      </w:r>
      <w:r w:rsidR="00D25B77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D30FC">
        <w:rPr>
          <w:rFonts w:asciiTheme="minorHAnsi" w:hAnsiTheme="minorHAnsi"/>
          <w:b/>
          <w:sz w:val="22"/>
          <w:szCs w:val="22"/>
        </w:rPr>
        <w:t>Dvěstějedentisíc</w:t>
      </w:r>
      <w:r w:rsidR="004D190A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4D30FC">
        <w:rPr>
          <w:rFonts w:asciiTheme="minorHAnsi" w:hAnsiTheme="minorHAnsi"/>
          <w:b/>
          <w:sz w:val="22"/>
          <w:szCs w:val="22"/>
        </w:rPr>
        <w:t>Odborné sociálně-právní poradenství Poradny NRZP ČR v Pardubicích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1713B026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076BF6">
        <w:rPr>
          <w:rFonts w:asciiTheme="minorHAnsi" w:hAnsiTheme="minorHAnsi"/>
          <w:sz w:val="22"/>
          <w:szCs w:val="22"/>
        </w:rPr>
        <w:t>1</w:t>
      </w:r>
      <w:r w:rsidR="00970BD6">
        <w:rPr>
          <w:rFonts w:asciiTheme="minorHAnsi" w:hAnsiTheme="minorHAnsi"/>
          <w:sz w:val="22"/>
          <w:szCs w:val="22"/>
        </w:rPr>
        <w:t>6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970BD6">
        <w:rPr>
          <w:rFonts w:asciiTheme="minorHAnsi" w:hAnsiTheme="minorHAnsi"/>
          <w:sz w:val="22"/>
          <w:szCs w:val="22"/>
        </w:rPr>
        <w:t>3827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48DD14EF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EB2B32">
        <w:rPr>
          <w:rFonts w:asciiTheme="minorHAnsi" w:hAnsiTheme="minorHAnsi"/>
          <w:sz w:val="22"/>
          <w:szCs w:val="22"/>
        </w:rPr>
        <w:t>21.03.2018</w:t>
      </w:r>
      <w:bookmarkStart w:id="0" w:name="_GoBack"/>
      <w:bookmarkEnd w:id="0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9C5148A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B623F2">
        <w:rPr>
          <w:rFonts w:asciiTheme="minorHAnsi" w:hAnsiTheme="minorHAnsi"/>
          <w:sz w:val="22"/>
          <w:szCs w:val="22"/>
        </w:rPr>
        <w:t xml:space="preserve">Mgr. </w:t>
      </w:r>
      <w:r w:rsidR="005E7E69">
        <w:rPr>
          <w:rFonts w:asciiTheme="minorHAnsi" w:hAnsiTheme="minorHAnsi"/>
          <w:sz w:val="22"/>
          <w:szCs w:val="22"/>
        </w:rPr>
        <w:t>Václav Krása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3F61D5D6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EB2B32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D8C1D34" w14:textId="16B9D46F" w:rsidR="00A63787" w:rsidRDefault="00A63787" w:rsidP="005629B3">
      <w:pPr>
        <w:jc w:val="both"/>
        <w:rPr>
          <w:noProof/>
        </w:rPr>
      </w:pPr>
    </w:p>
    <w:p w14:paraId="7217705A" w14:textId="4F7E5182" w:rsidR="00C01C5D" w:rsidRDefault="00C01C5D" w:rsidP="005629B3">
      <w:pPr>
        <w:jc w:val="both"/>
        <w:rPr>
          <w:noProof/>
        </w:rPr>
      </w:pPr>
    </w:p>
    <w:p w14:paraId="3C09BE05" w14:textId="36935FE7" w:rsidR="00C01C5D" w:rsidRPr="00A92F80" w:rsidRDefault="00970BD6" w:rsidP="005629B3">
      <w:pPr>
        <w:jc w:val="both"/>
        <w:rPr>
          <w:rFonts w:asciiTheme="minorHAnsi" w:hAnsiTheme="minorHAnsi"/>
          <w:sz w:val="20"/>
          <w:szCs w:val="20"/>
        </w:rPr>
      </w:pPr>
      <w:r w:rsidRPr="00970BD6">
        <w:rPr>
          <w:noProof/>
        </w:rPr>
        <w:lastRenderedPageBreak/>
        <w:drawing>
          <wp:inline distT="0" distB="0" distL="0" distR="0" wp14:anchorId="6774B8D2" wp14:editId="4E24679A">
            <wp:extent cx="5904865" cy="9781123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7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5D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EB2B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EB2B3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41F6"/>
    <w:rsid w:val="00040C90"/>
    <w:rsid w:val="00043842"/>
    <w:rsid w:val="00050899"/>
    <w:rsid w:val="000540E3"/>
    <w:rsid w:val="00071EF8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0260B"/>
    <w:rsid w:val="00124A15"/>
    <w:rsid w:val="0013560F"/>
    <w:rsid w:val="00156F3F"/>
    <w:rsid w:val="00177B9D"/>
    <w:rsid w:val="00191BDE"/>
    <w:rsid w:val="00196C43"/>
    <w:rsid w:val="001A4DBC"/>
    <w:rsid w:val="001A7479"/>
    <w:rsid w:val="0021302C"/>
    <w:rsid w:val="002164F4"/>
    <w:rsid w:val="00223123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2F4157"/>
    <w:rsid w:val="0031042F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82E1D"/>
    <w:rsid w:val="00487513"/>
    <w:rsid w:val="004966B5"/>
    <w:rsid w:val="004D190A"/>
    <w:rsid w:val="004D30FC"/>
    <w:rsid w:val="004E1677"/>
    <w:rsid w:val="004F064E"/>
    <w:rsid w:val="004F46AF"/>
    <w:rsid w:val="005040D2"/>
    <w:rsid w:val="005126AB"/>
    <w:rsid w:val="00530C4C"/>
    <w:rsid w:val="00537483"/>
    <w:rsid w:val="00555AAC"/>
    <w:rsid w:val="00560E90"/>
    <w:rsid w:val="005629B3"/>
    <w:rsid w:val="00567AFD"/>
    <w:rsid w:val="00571C32"/>
    <w:rsid w:val="005758E8"/>
    <w:rsid w:val="005840C8"/>
    <w:rsid w:val="005E7E69"/>
    <w:rsid w:val="00601CD7"/>
    <w:rsid w:val="006052AF"/>
    <w:rsid w:val="00621543"/>
    <w:rsid w:val="006268AF"/>
    <w:rsid w:val="00636196"/>
    <w:rsid w:val="00696A0E"/>
    <w:rsid w:val="006E5239"/>
    <w:rsid w:val="00705789"/>
    <w:rsid w:val="00710C9C"/>
    <w:rsid w:val="0073131B"/>
    <w:rsid w:val="00733480"/>
    <w:rsid w:val="00736525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4893"/>
    <w:rsid w:val="00822EBE"/>
    <w:rsid w:val="008262AD"/>
    <w:rsid w:val="00834681"/>
    <w:rsid w:val="008347F0"/>
    <w:rsid w:val="00837958"/>
    <w:rsid w:val="00844BB2"/>
    <w:rsid w:val="0085556E"/>
    <w:rsid w:val="008764D9"/>
    <w:rsid w:val="00877910"/>
    <w:rsid w:val="00892F58"/>
    <w:rsid w:val="008C00F6"/>
    <w:rsid w:val="008C22A2"/>
    <w:rsid w:val="008D53F1"/>
    <w:rsid w:val="008D7FF1"/>
    <w:rsid w:val="008E14F7"/>
    <w:rsid w:val="008E7E19"/>
    <w:rsid w:val="009030F2"/>
    <w:rsid w:val="0091761C"/>
    <w:rsid w:val="00923B67"/>
    <w:rsid w:val="00932B78"/>
    <w:rsid w:val="009363E3"/>
    <w:rsid w:val="00946C53"/>
    <w:rsid w:val="0096665B"/>
    <w:rsid w:val="00970BD6"/>
    <w:rsid w:val="009810E7"/>
    <w:rsid w:val="00981B10"/>
    <w:rsid w:val="00990FF5"/>
    <w:rsid w:val="00994D3D"/>
    <w:rsid w:val="009B69B9"/>
    <w:rsid w:val="009D60BC"/>
    <w:rsid w:val="00A06864"/>
    <w:rsid w:val="00A16A67"/>
    <w:rsid w:val="00A16F26"/>
    <w:rsid w:val="00A2236F"/>
    <w:rsid w:val="00A24FD7"/>
    <w:rsid w:val="00A2597B"/>
    <w:rsid w:val="00A35BA9"/>
    <w:rsid w:val="00A505FC"/>
    <w:rsid w:val="00A60F23"/>
    <w:rsid w:val="00A63787"/>
    <w:rsid w:val="00A85899"/>
    <w:rsid w:val="00A92F80"/>
    <w:rsid w:val="00AB446A"/>
    <w:rsid w:val="00AB7B44"/>
    <w:rsid w:val="00AC05DE"/>
    <w:rsid w:val="00AD4D17"/>
    <w:rsid w:val="00AE5813"/>
    <w:rsid w:val="00B04A8A"/>
    <w:rsid w:val="00B17FC0"/>
    <w:rsid w:val="00B25A6A"/>
    <w:rsid w:val="00B46E3A"/>
    <w:rsid w:val="00B60BC4"/>
    <w:rsid w:val="00B623F2"/>
    <w:rsid w:val="00B62444"/>
    <w:rsid w:val="00B72A1F"/>
    <w:rsid w:val="00B85E06"/>
    <w:rsid w:val="00B9295E"/>
    <w:rsid w:val="00BB297F"/>
    <w:rsid w:val="00BC00B1"/>
    <w:rsid w:val="00BC3DF4"/>
    <w:rsid w:val="00BC41E3"/>
    <w:rsid w:val="00BC5983"/>
    <w:rsid w:val="00C00D1C"/>
    <w:rsid w:val="00C01C5D"/>
    <w:rsid w:val="00C0252D"/>
    <w:rsid w:val="00C27A88"/>
    <w:rsid w:val="00C31C9A"/>
    <w:rsid w:val="00C55F9D"/>
    <w:rsid w:val="00C8265D"/>
    <w:rsid w:val="00C94C43"/>
    <w:rsid w:val="00CB46D9"/>
    <w:rsid w:val="00CC6039"/>
    <w:rsid w:val="00CD2330"/>
    <w:rsid w:val="00CE67B1"/>
    <w:rsid w:val="00CF2BB9"/>
    <w:rsid w:val="00CF5B98"/>
    <w:rsid w:val="00D06A91"/>
    <w:rsid w:val="00D1495C"/>
    <w:rsid w:val="00D25B77"/>
    <w:rsid w:val="00D33593"/>
    <w:rsid w:val="00D34DBE"/>
    <w:rsid w:val="00D527C2"/>
    <w:rsid w:val="00D728EE"/>
    <w:rsid w:val="00D7397F"/>
    <w:rsid w:val="00D76A00"/>
    <w:rsid w:val="00D76D8F"/>
    <w:rsid w:val="00D8658F"/>
    <w:rsid w:val="00D92282"/>
    <w:rsid w:val="00DA3B85"/>
    <w:rsid w:val="00DB16DF"/>
    <w:rsid w:val="00DE410E"/>
    <w:rsid w:val="00DE74F5"/>
    <w:rsid w:val="00E01234"/>
    <w:rsid w:val="00E01C1D"/>
    <w:rsid w:val="00E10816"/>
    <w:rsid w:val="00E205A8"/>
    <w:rsid w:val="00E21A6E"/>
    <w:rsid w:val="00E51775"/>
    <w:rsid w:val="00E54AC0"/>
    <w:rsid w:val="00E602BF"/>
    <w:rsid w:val="00E66715"/>
    <w:rsid w:val="00E77A44"/>
    <w:rsid w:val="00E814BE"/>
    <w:rsid w:val="00E85EBF"/>
    <w:rsid w:val="00E919C9"/>
    <w:rsid w:val="00EB2B32"/>
    <w:rsid w:val="00EB381F"/>
    <w:rsid w:val="00EB5E74"/>
    <w:rsid w:val="00EC07EE"/>
    <w:rsid w:val="00EC2129"/>
    <w:rsid w:val="00EC7C13"/>
    <w:rsid w:val="00ED2D4B"/>
    <w:rsid w:val="00ED619F"/>
    <w:rsid w:val="00F21AF3"/>
    <w:rsid w:val="00F30D8B"/>
    <w:rsid w:val="00F412C9"/>
    <w:rsid w:val="00F41CE8"/>
    <w:rsid w:val="00F516C2"/>
    <w:rsid w:val="00F63730"/>
    <w:rsid w:val="00F71E58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96B4E0-C3DF-4BDE-B26B-B2CFEF18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2077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161</cp:revision>
  <cp:lastPrinted>2018-01-17T12:28:00Z</cp:lastPrinted>
  <dcterms:created xsi:type="dcterms:W3CDTF">2018-01-22T10:05:00Z</dcterms:created>
  <dcterms:modified xsi:type="dcterms:W3CDTF">2018-03-21T11:11:00Z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