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58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NING WORLD CENTRAL ASIA 2018/08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INING WORLD CENTRAL ASIA 2018/089N. Cena bez DPH 189 7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INING WORLD CENTRAL ASIA 2018/08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537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9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"Korme" Еxhibition Center ,  Astana, KZ - Kazachst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