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OB78 - 39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OB7818-039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Jan Kuneš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Na hvězdárně 393/8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159 00  Praha 59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10259554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CZ470207068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2286562018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20.03.2018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0pt;height:2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3pt;margin-top:18pt;width:0pt;height:28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rect id="_x0000_s62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Na základě nabídky ze dne 22.1.2018 u Vás objednáváme opravu fontány na zahradě Černínského paláce v celkové ceně 325 640,- Kč včetně DPH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4pt;margin-top:21pt;width:0pt;height:23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3pt;margin-top:21pt;width:0pt;height:23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Oprava fontány v zahradě Černínského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269 124.00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56 516.04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325 640.04</w:t>
      </w:r>
    </w:p>
    <w:p>
      <w:pPr>
        <w:pStyle w:val="Row18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4pt;margin-top:12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4pt;margin-top:11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paláce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3pt;margin-top:11pt;width:0pt;height:98pt;z-index:-251658208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291pt;margin-top:19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325 640.04</w: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3"/>
      </w:pPr>
      <w:r>
        <w:tab/>
      </w:r>
      <w:r>
        <w:rPr>
          <w:rStyle w:val="Text3"/>
        </w:rPr>
        <w:t>Telefon: 2734</w:t>
      </w:r>
    </w:p>
    <w:p>
      <w:pPr>
        <w:pStyle w:val="Row23"/>
      </w:pPr>
      <w:r>
        <w:tab/>
      </w:r>
      <w:r>
        <w:rPr>
          <w:rStyle w:val="Text3"/>
        </w:rPr>
        <w:t>E-mail: oldrich_hanton@mzv.cz</w:t>
      </w:r>
    </w:p>
    <w:p>
      <w:pPr>
        <w:pStyle w:val="Row24"/>
      </w:pPr>
    </w:p>
    <w:p>
      <w:pPr>
        <w:pStyle w:val="Row24"/>
      </w:pPr>
    </w:p>
    <w:p>
      <w:pPr>
        <w:pStyle w:val="Row25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0pt;width:0pt;height:17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2pt;width:549pt;height:0pt;z-index:-25165820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98pt;margin-top:19pt;width:458pt;height:0pt;z-index:-25165820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563pt;margin-top:21pt;width:0pt;height:17pt;z-index:-251658202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14pt;margin-top:2pt;width:550pt;height:0pt;z-index:-251658201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2" o:connectortype="straight" strokeweight="1pt" strokecolor="#000000" style="position:absolute;margin-left:14pt;margin-top:-5pt;width:550pt;height:0pt;z-index:-251658200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OB7818-039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4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2018-03-20T14:49:47Z</dcterms:created>
  <dcterms:modified xsi:type="dcterms:W3CDTF">2018-03-20T14:49:47Z</dcterms:modified>
  <cp:category/>
</cp:coreProperties>
</file>