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B1" w:rsidRPr="004317B1" w:rsidRDefault="004317B1" w:rsidP="004317B1">
      <w:pPr>
        <w:pStyle w:val="Standard"/>
        <w:spacing w:after="240" w:line="276" w:lineRule="exact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line="276" w:lineRule="exact"/>
        <w:jc w:val="center"/>
        <w:rPr>
          <w:rFonts w:ascii="Arial" w:eastAsia="Calibri" w:hAnsi="Arial"/>
          <w:b/>
          <w:color w:val="00000A"/>
          <w:sz w:val="26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6"/>
          <w:vertAlign w:val="subscript"/>
        </w:rPr>
        <w:t>Rámcová smlouva</w:t>
      </w:r>
    </w:p>
    <w:p w:rsidR="004317B1" w:rsidRPr="004317B1" w:rsidRDefault="004317B1" w:rsidP="004317B1">
      <w:pPr>
        <w:pStyle w:val="Standard"/>
        <w:spacing w:after="240" w:line="276" w:lineRule="exact"/>
        <w:jc w:val="center"/>
        <w:rPr>
          <w:rFonts w:ascii="Arial" w:eastAsia="Calibri" w:hAnsi="Arial"/>
          <w:color w:val="00000A"/>
          <w:sz w:val="26"/>
          <w:vertAlign w:val="subscript"/>
        </w:rPr>
      </w:pPr>
      <w:r w:rsidRPr="004317B1">
        <w:rPr>
          <w:rFonts w:ascii="Arial" w:eastAsia="Calibri" w:hAnsi="Arial"/>
          <w:color w:val="00000A"/>
          <w:sz w:val="26"/>
          <w:vertAlign w:val="subscript"/>
        </w:rPr>
        <w:t xml:space="preserve"> na dodávku OOPP</w:t>
      </w:r>
    </w:p>
    <w:p w:rsidR="004317B1" w:rsidRPr="004317B1" w:rsidRDefault="004317B1" w:rsidP="004317B1">
      <w:pPr>
        <w:pStyle w:val="Standard"/>
        <w:spacing w:after="240" w:line="276" w:lineRule="exact"/>
        <w:jc w:val="center"/>
        <w:rPr>
          <w:rFonts w:ascii="Arial" w:eastAsia="Calibri" w:hAnsi="Arial"/>
          <w:b/>
          <w:color w:val="00000A"/>
          <w:sz w:val="26"/>
          <w:vertAlign w:val="subscript"/>
        </w:rPr>
      </w:pPr>
    </w:p>
    <w:p w:rsidR="004317B1" w:rsidRPr="004317B1" w:rsidRDefault="004317B1" w:rsidP="004317B1">
      <w:pPr>
        <w:pStyle w:val="Standard"/>
        <w:tabs>
          <w:tab w:val="center" w:pos="4536"/>
          <w:tab w:val="right" w:pos="9072"/>
        </w:tabs>
        <w:spacing w:after="200" w:line="276" w:lineRule="exact"/>
        <w:rPr>
          <w:rFonts w:ascii="Arial" w:hAnsi="Arial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</w:t>
      </w:r>
      <w:r w:rsidRPr="004317B1">
        <w:rPr>
          <w:rFonts w:ascii="Arial" w:eastAsia="Calibri" w:hAnsi="Arial"/>
          <w:i/>
          <w:color w:val="00000A"/>
          <w:sz w:val="22"/>
          <w:vertAlign w:val="subscript"/>
        </w:rPr>
        <w:t>smluvní strany</w:t>
      </w:r>
    </w:p>
    <w:p w:rsidR="004317B1" w:rsidRPr="004317B1" w:rsidRDefault="004317B1" w:rsidP="004317B1">
      <w:pPr>
        <w:pStyle w:val="Standard"/>
        <w:spacing w:line="240" w:lineRule="exact"/>
        <w:rPr>
          <w:rFonts w:ascii="Arial" w:eastAsia="Times New Roman" w:hAnsi="Arial"/>
          <w:color w:val="00000A"/>
          <w:vertAlign w:val="subscript"/>
        </w:rPr>
      </w:pPr>
      <w:r w:rsidRPr="004317B1">
        <w:rPr>
          <w:rFonts w:ascii="Arial" w:eastAsia="Times New Roman" w:hAnsi="Arial"/>
          <w:color w:val="00000A"/>
          <w:vertAlign w:val="subscript"/>
        </w:rPr>
        <w:t>Domov pod Kuňkou</w:t>
      </w:r>
    </w:p>
    <w:p w:rsidR="004317B1" w:rsidRPr="004317B1" w:rsidRDefault="004317B1" w:rsidP="004317B1">
      <w:pPr>
        <w:pStyle w:val="Standard"/>
        <w:spacing w:line="240" w:lineRule="exact"/>
        <w:rPr>
          <w:rFonts w:ascii="Arial" w:hAnsi="Arial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se sídlem: Ráby 162</w:t>
      </w:r>
      <w:r w:rsidRPr="004317B1">
        <w:rPr>
          <w:rFonts w:ascii="Arial" w:eastAsia="Times New Roman" w:hAnsi="Arial"/>
          <w:color w:val="00000A"/>
          <w:vertAlign w:val="subscript"/>
        </w:rPr>
        <w:t>, Ráby</w:t>
      </w:r>
    </w:p>
    <w:p w:rsidR="004317B1" w:rsidRPr="004317B1" w:rsidRDefault="004317B1" w:rsidP="004317B1">
      <w:pPr>
        <w:pStyle w:val="Standard"/>
        <w:spacing w:line="240" w:lineRule="exact"/>
        <w:rPr>
          <w:rFonts w:ascii="Arial" w:eastAsia="Times New Roman" w:hAnsi="Arial"/>
          <w:color w:val="00000A"/>
          <w:vertAlign w:val="subscript"/>
        </w:rPr>
      </w:pPr>
      <w:r w:rsidRPr="004317B1">
        <w:rPr>
          <w:rFonts w:ascii="Arial" w:eastAsia="Times New Roman" w:hAnsi="Arial"/>
          <w:color w:val="00000A"/>
          <w:vertAlign w:val="subscript"/>
        </w:rPr>
        <w:t>IČ: 711 762 17</w:t>
      </w:r>
    </w:p>
    <w:p w:rsidR="004317B1" w:rsidRPr="004317B1" w:rsidRDefault="004317B1" w:rsidP="004317B1">
      <w:pPr>
        <w:pStyle w:val="Standard"/>
        <w:spacing w:line="240" w:lineRule="exact"/>
        <w:rPr>
          <w:rFonts w:ascii="Arial" w:eastAsia="Times New Roman" w:hAnsi="Arial"/>
          <w:color w:val="00000A"/>
          <w:vertAlign w:val="subscript"/>
        </w:rPr>
      </w:pPr>
      <w:r w:rsidRPr="004317B1">
        <w:rPr>
          <w:rFonts w:ascii="Arial" w:eastAsia="Times New Roman" w:hAnsi="Arial"/>
          <w:color w:val="00000A"/>
          <w:vertAlign w:val="subscript"/>
        </w:rPr>
        <w:t>zastoupená Bc. Tomášem Černíkem – ředitelem společnosti</w:t>
      </w:r>
    </w:p>
    <w:p w:rsidR="004317B1" w:rsidRPr="004317B1" w:rsidRDefault="004317B1" w:rsidP="004317B1">
      <w:pPr>
        <w:pStyle w:val="Standard"/>
        <w:spacing w:line="240" w:lineRule="exact"/>
        <w:rPr>
          <w:rFonts w:ascii="Arial" w:eastAsia="Times New Roman" w:hAnsi="Arial"/>
          <w:color w:val="00000A"/>
          <w:vertAlign w:val="subscript"/>
        </w:rPr>
      </w:pPr>
      <w:r w:rsidRPr="004317B1">
        <w:rPr>
          <w:rFonts w:ascii="Arial" w:eastAsia="Times New Roman" w:hAnsi="Arial"/>
          <w:color w:val="00000A"/>
          <w:vertAlign w:val="subscript"/>
        </w:rPr>
        <w:br/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hAnsi="Arial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(dále jen „</w:t>
      </w: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objednatel</w:t>
      </w:r>
      <w:r w:rsidRPr="004317B1">
        <w:rPr>
          <w:rFonts w:ascii="Arial" w:eastAsia="Calibri" w:hAnsi="Arial"/>
          <w:color w:val="00000A"/>
          <w:sz w:val="22"/>
          <w:vertAlign w:val="subscript"/>
        </w:rPr>
        <w:t>“)</w:t>
      </w:r>
    </w:p>
    <w:p w:rsidR="004317B1" w:rsidRPr="004317B1" w:rsidRDefault="004317B1" w:rsidP="004317B1">
      <w:pPr>
        <w:pStyle w:val="Standard"/>
        <w:spacing w:before="120" w:line="240" w:lineRule="exact"/>
        <w:jc w:val="both"/>
        <w:rPr>
          <w:rFonts w:ascii="Arial" w:eastAsia="Calibri" w:hAnsi="Arial"/>
          <w:b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before="120" w:line="240" w:lineRule="exact"/>
        <w:ind w:left="1416" w:firstLine="708"/>
        <w:jc w:val="both"/>
        <w:rPr>
          <w:rFonts w:ascii="Arial" w:eastAsia="Calibri" w:hAnsi="Arial"/>
          <w:i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i/>
          <w:color w:val="00000A"/>
          <w:sz w:val="22"/>
          <w:vertAlign w:val="subscript"/>
        </w:rPr>
        <w:t>a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b/>
          <w:color w:val="00000A"/>
          <w:sz w:val="22"/>
          <w:vertAlign w:val="subscript"/>
        </w:rPr>
      </w:pPr>
      <w:proofErr w:type="spellStart"/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Total</w:t>
      </w:r>
      <w:proofErr w:type="spellEnd"/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 xml:space="preserve"> </w:t>
      </w:r>
      <w:proofErr w:type="spellStart"/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Protect</w:t>
      </w:r>
      <w:proofErr w:type="spellEnd"/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 xml:space="preserve"> s.r.o.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se sídlem:  Jiřího Potůčka 247, Pardubice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IČO:  274 88 861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DIČ: CZ27488861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>
        <w:rPr>
          <w:rFonts w:ascii="Arial" w:eastAsia="Calibri" w:hAnsi="Arial"/>
          <w:color w:val="00000A"/>
          <w:sz w:val="22"/>
          <w:vertAlign w:val="subscript"/>
        </w:rPr>
        <w:t xml:space="preserve">bankovní spojení: 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proofErr w:type="gramStart"/>
      <w:r w:rsidRPr="004317B1">
        <w:rPr>
          <w:rFonts w:ascii="Arial" w:eastAsia="Calibri" w:hAnsi="Arial"/>
          <w:color w:val="00000A"/>
          <w:sz w:val="22"/>
          <w:vertAlign w:val="subscript"/>
        </w:rPr>
        <w:t>zastoupená  Petrem</w:t>
      </w:r>
      <w:proofErr w:type="gramEnd"/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</w:t>
      </w:r>
      <w:proofErr w:type="spellStart"/>
      <w:r w:rsidRPr="004317B1">
        <w:rPr>
          <w:rFonts w:ascii="Arial" w:eastAsia="Calibri" w:hAnsi="Arial"/>
          <w:color w:val="00000A"/>
          <w:sz w:val="22"/>
          <w:vertAlign w:val="subscript"/>
        </w:rPr>
        <w:t>Macelou</w:t>
      </w:r>
      <w:proofErr w:type="spellEnd"/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- jednatelem společnosti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hAnsi="Arial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(dále jen „</w:t>
      </w: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dodavatel</w:t>
      </w:r>
      <w:r w:rsidRPr="004317B1">
        <w:rPr>
          <w:rFonts w:ascii="Arial" w:eastAsia="Calibri" w:hAnsi="Arial"/>
          <w:color w:val="00000A"/>
          <w:sz w:val="22"/>
          <w:vertAlign w:val="subscript"/>
        </w:rPr>
        <w:t>“)</w:t>
      </w:r>
    </w:p>
    <w:p w:rsidR="004317B1" w:rsidRPr="004317B1" w:rsidRDefault="004317B1" w:rsidP="004317B1">
      <w:pPr>
        <w:pStyle w:val="Standard"/>
        <w:spacing w:after="200" w:line="276" w:lineRule="exact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after="200" w:line="276" w:lineRule="exact"/>
        <w:rPr>
          <w:rFonts w:ascii="Arial" w:eastAsia="Calibri" w:hAnsi="Arial"/>
          <w:i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i/>
          <w:color w:val="00000A"/>
          <w:sz w:val="22"/>
          <w:vertAlign w:val="subscript"/>
        </w:rPr>
        <w:t>uzavřely níže uvedeného dne, měsíce a roku následující smlouvu:</w:t>
      </w:r>
    </w:p>
    <w:p w:rsidR="004317B1" w:rsidRPr="004317B1" w:rsidRDefault="004317B1" w:rsidP="004317B1">
      <w:pPr>
        <w:pStyle w:val="Standard"/>
        <w:spacing w:after="200" w:line="276" w:lineRule="exact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I.</w:t>
      </w:r>
    </w:p>
    <w:p w:rsidR="004317B1" w:rsidRPr="004317B1" w:rsidRDefault="004317B1" w:rsidP="004317B1">
      <w:pPr>
        <w:pStyle w:val="Standard"/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Předmět smlouvy</w:t>
      </w:r>
    </w:p>
    <w:p w:rsidR="004317B1" w:rsidRPr="004317B1" w:rsidRDefault="004317B1" w:rsidP="004317B1">
      <w:pPr>
        <w:pStyle w:val="Standard"/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line="240" w:lineRule="exact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1. Předmětem této smlouvy je závazek dodavatele dodávat objednateli osobní ochranné    </w:t>
      </w:r>
    </w:p>
    <w:p w:rsidR="004317B1" w:rsidRPr="004317B1" w:rsidRDefault="004317B1" w:rsidP="004317B1">
      <w:pPr>
        <w:pStyle w:val="Standard"/>
        <w:spacing w:line="240" w:lineRule="exact"/>
        <w:rPr>
          <w:rFonts w:ascii="Arial" w:hAnsi="Arial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    pracovní prostředky </w:t>
      </w:r>
      <w:r w:rsidRPr="004317B1">
        <w:rPr>
          <w:rFonts w:ascii="Arial" w:eastAsia="Calibri" w:hAnsi="Arial"/>
          <w:color w:val="00000A"/>
          <w:vertAlign w:val="subscript"/>
        </w:rPr>
        <w:t>dle specifikace konkrétních objednávek.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      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2. Množství jednotlivých dodávek bude uvedeno v jednotlivých závazných objednávkách.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     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 3. Objednatel bude objednávat zboží e-mailem nebo přes e-</w:t>
      </w:r>
      <w:proofErr w:type="spellStart"/>
      <w:r w:rsidRPr="004317B1">
        <w:rPr>
          <w:rFonts w:ascii="Arial" w:eastAsia="Calibri" w:hAnsi="Arial"/>
          <w:color w:val="00000A"/>
          <w:sz w:val="22"/>
          <w:vertAlign w:val="subscript"/>
        </w:rPr>
        <w:t>shop</w:t>
      </w:r>
      <w:proofErr w:type="spellEnd"/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dodavatele. Smluvní strany  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     považují e-mail či objednávku za doručený </w:t>
      </w:r>
      <w:proofErr w:type="gramStart"/>
      <w:r w:rsidRPr="004317B1">
        <w:rPr>
          <w:rFonts w:ascii="Arial" w:eastAsia="Calibri" w:hAnsi="Arial"/>
          <w:color w:val="00000A"/>
          <w:sz w:val="22"/>
          <w:vertAlign w:val="subscript"/>
        </w:rPr>
        <w:t>dnem  jeho</w:t>
      </w:r>
      <w:proofErr w:type="gramEnd"/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odeslání.</w:t>
      </w:r>
    </w:p>
    <w:p w:rsidR="004317B1" w:rsidRPr="004317B1" w:rsidRDefault="004317B1" w:rsidP="004317B1">
      <w:pPr>
        <w:pStyle w:val="Standard"/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II.</w:t>
      </w:r>
    </w:p>
    <w:p w:rsidR="004317B1" w:rsidRPr="004317B1" w:rsidRDefault="004317B1" w:rsidP="004317B1">
      <w:pPr>
        <w:pStyle w:val="Standard"/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Čas a místo plnění</w:t>
      </w:r>
    </w:p>
    <w:p w:rsidR="004317B1" w:rsidRPr="004317B1" w:rsidRDefault="004317B1" w:rsidP="004317B1">
      <w:pPr>
        <w:pStyle w:val="Standard"/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1"/>
        </w:numPr>
        <w:spacing w:after="24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Dodavatel se zavazuje splnit závazek z objednávky v požadovaném rozsahu do 14 pracovních dnů od jejího obdržení, ledaže by objednatel souhlasil s pozdějším plněním.</w:t>
      </w:r>
    </w:p>
    <w:p w:rsidR="004317B1" w:rsidRPr="004317B1" w:rsidRDefault="004317B1" w:rsidP="004317B1">
      <w:pPr>
        <w:pStyle w:val="Standard"/>
        <w:numPr>
          <w:ilvl w:val="0"/>
          <w:numId w:val="1"/>
        </w:numPr>
        <w:spacing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Dodá-li dodavatel zboží ve lhůtě delší než je uvedena v předchozím odstavci, bude se jednat o vážné porušení této smlouvy.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2"/>
        </w:numPr>
        <w:spacing w:after="24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Místem plnění je sídlo objednatele.</w:t>
      </w:r>
    </w:p>
    <w:p w:rsidR="004317B1" w:rsidRPr="004317B1" w:rsidRDefault="004317B1" w:rsidP="004317B1">
      <w:pPr>
        <w:pStyle w:val="Standard"/>
        <w:numPr>
          <w:ilvl w:val="0"/>
          <w:numId w:val="2"/>
        </w:numPr>
        <w:spacing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lastRenderedPageBreak/>
        <w:t>Smlouva se uzavírá na dobu neurčitou.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3"/>
        </w:numPr>
        <w:spacing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Převzetí dodávky bude potvrzeno objednavatelem na dodacím listě, který bude obsahovat: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a) přesnou specifikaci dodávky,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b) datum vystavení dodacího listu,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c) datum převzetí ze strany objednatele,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d) číslo objednávky objednatele.</w:t>
      </w:r>
    </w:p>
    <w:p w:rsidR="004317B1" w:rsidRPr="004317B1" w:rsidRDefault="004317B1" w:rsidP="004317B1">
      <w:pPr>
        <w:pStyle w:val="Standard"/>
        <w:spacing w:line="240" w:lineRule="exact"/>
        <w:ind w:left="360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tabs>
          <w:tab w:val="left" w:pos="0"/>
        </w:tabs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</w:t>
      </w:r>
    </w:p>
    <w:p w:rsidR="004317B1" w:rsidRPr="004317B1" w:rsidRDefault="004317B1" w:rsidP="004317B1">
      <w:pPr>
        <w:pStyle w:val="Standard"/>
        <w:tabs>
          <w:tab w:val="left" w:pos="0"/>
        </w:tabs>
        <w:spacing w:line="240" w:lineRule="exact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tabs>
          <w:tab w:val="left" w:pos="0"/>
        </w:tabs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III.</w:t>
      </w:r>
    </w:p>
    <w:p w:rsidR="004317B1" w:rsidRPr="004317B1" w:rsidRDefault="004317B1" w:rsidP="004317B1">
      <w:pPr>
        <w:pStyle w:val="Standard"/>
        <w:spacing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Cena předmětu dodávky a platební podmínky</w:t>
      </w:r>
    </w:p>
    <w:p w:rsidR="004317B1" w:rsidRPr="004317B1" w:rsidRDefault="004317B1" w:rsidP="004317B1">
      <w:pPr>
        <w:pStyle w:val="Standard"/>
        <w:spacing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4"/>
        </w:numPr>
        <w:spacing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Cena předmětu dodávky bude vždy upřesněna po obdržení jednotlivých objednávek.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5"/>
        </w:numPr>
        <w:spacing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Dodavatel vystaví fakturu v den odeslání jednotlivých objednávek a faktura bude vložena do balíku spolu s objednaným zbožím.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6"/>
        </w:numPr>
        <w:spacing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Splatnost faktur je stanovena na 14 kalendářních dnů od doručení faktury objednateli.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7"/>
        </w:numPr>
        <w:spacing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Kromě náležitostí stanovených platnými právními předpisy pro daňový doklad je dodavatel povinen ve faktuře uvést i tyto údaje: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a) číslo a datum vystavení faktury,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b) předmět plnění,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c) označení banky a číslo účtu,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d) lhůta splatnosti faktury,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e) jméno a podpis osoby, která fakturu vyhotovila, včetně jejího podpisu,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f) IČ a DIČ objednatele a dodavatele, jejich přesné názvy a sídlo,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g) číslo objednávky objednatele.</w:t>
      </w:r>
    </w:p>
    <w:p w:rsidR="004317B1" w:rsidRPr="004317B1" w:rsidRDefault="004317B1" w:rsidP="004317B1">
      <w:pPr>
        <w:pStyle w:val="Standard"/>
        <w:spacing w:line="240" w:lineRule="exact"/>
        <w:ind w:left="426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8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V případě, že dodavatel vyúčtuje chybně cenu nebo faktura nebude obsahovat některou z podstatných náležitostí, je objednatel oprávněn vadnou fakturu před uplynutím splatnosti vrátit dodavateli k provedení opravy a vyznačit na faktuře důvod jejího vrácení. V takovém případě přestává běžet původní lhůta splatnosti. Nová lhůta splatnosti začíná běžet dnem doručení opravené, řádně vystavené faktury objednateli.</w:t>
      </w:r>
    </w:p>
    <w:p w:rsidR="004317B1" w:rsidRPr="004317B1" w:rsidRDefault="004317B1" w:rsidP="004317B1">
      <w:pPr>
        <w:pStyle w:val="Standard"/>
        <w:numPr>
          <w:ilvl w:val="0"/>
          <w:numId w:val="8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V případě prodlení se zaplacením faktury je objednatel povinen zaplatit dodavateli smluvní pokutu ve výši 0,01% z její ceny za každý den prodlení. V případě prodlení delšího než 14 dní je dodavatel oprávněn od smlouvy odstoupit.</w:t>
      </w:r>
    </w:p>
    <w:p w:rsidR="004317B1" w:rsidRPr="004317B1" w:rsidRDefault="004317B1" w:rsidP="004317B1">
      <w:pPr>
        <w:pStyle w:val="Standard"/>
        <w:numPr>
          <w:ilvl w:val="0"/>
          <w:numId w:val="8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V případě čerpání náhradního plnění bude </w:t>
      </w:r>
      <w:proofErr w:type="spellStart"/>
      <w:r w:rsidRPr="004317B1">
        <w:rPr>
          <w:rFonts w:ascii="Arial" w:eastAsia="Calibri" w:hAnsi="Arial"/>
          <w:color w:val="00000A"/>
          <w:sz w:val="22"/>
          <w:vertAlign w:val="subscript"/>
        </w:rPr>
        <w:t>připočítano</w:t>
      </w:r>
      <w:proofErr w:type="spellEnd"/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k ceně jednotlivých objednávek 9 %.</w:t>
      </w:r>
    </w:p>
    <w:p w:rsidR="004317B1" w:rsidRPr="004317B1" w:rsidRDefault="004317B1" w:rsidP="004317B1">
      <w:pPr>
        <w:pStyle w:val="Standard"/>
        <w:numPr>
          <w:ilvl w:val="0"/>
          <w:numId w:val="8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Jednotlivé objednávky budou doručovány přepravní společností PPL a doprava se nebude účtovat při objednávkách nad 5000 Kč bez DPH.</w:t>
      </w:r>
    </w:p>
    <w:p w:rsidR="004317B1" w:rsidRPr="004317B1" w:rsidRDefault="004317B1" w:rsidP="004317B1">
      <w:pPr>
        <w:pStyle w:val="Standard"/>
        <w:spacing w:after="120"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after="120"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IV.</w:t>
      </w:r>
    </w:p>
    <w:p w:rsidR="004317B1" w:rsidRPr="004317B1" w:rsidRDefault="004317B1" w:rsidP="004317B1">
      <w:pPr>
        <w:pStyle w:val="Standard"/>
        <w:spacing w:after="120"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Záruční doba a odpovědnost za vady</w:t>
      </w:r>
    </w:p>
    <w:p w:rsidR="004317B1" w:rsidRPr="004317B1" w:rsidRDefault="004317B1" w:rsidP="004317B1">
      <w:pPr>
        <w:pStyle w:val="Standard"/>
        <w:spacing w:after="120"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19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Na dodané zboží se vztahuje záruka za jakost dle občanského zákoníku.</w:t>
      </w:r>
    </w:p>
    <w:p w:rsidR="004317B1" w:rsidRPr="004317B1" w:rsidRDefault="004317B1" w:rsidP="004317B1">
      <w:pPr>
        <w:pStyle w:val="Standard"/>
        <w:numPr>
          <w:ilvl w:val="0"/>
          <w:numId w:val="9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Záruční doba začíná běžet dnem převzetí dodávky objednatelem. Záruční doba se staví po dobu, po kterou nemůže objednatel zboží řádně užívat pro vady, za které nese odpovědnost dodavatel.</w:t>
      </w:r>
    </w:p>
    <w:p w:rsidR="004317B1" w:rsidRPr="004317B1" w:rsidRDefault="004317B1" w:rsidP="004317B1">
      <w:pPr>
        <w:pStyle w:val="Standard"/>
        <w:numPr>
          <w:ilvl w:val="0"/>
          <w:numId w:val="9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V případě, že se na zboží, jenž je předmětem dodávky, vyskytne vada, je objednatel povinen uplatnit ji u dodavatele bez zbytečného odkladu. Pokud je uplatnění vady oprávněné, má objednatel právo na výměnu vadného zboží.</w:t>
      </w:r>
    </w:p>
    <w:p w:rsidR="004317B1" w:rsidRPr="004317B1" w:rsidRDefault="004317B1" w:rsidP="004317B1">
      <w:pPr>
        <w:pStyle w:val="Standard"/>
        <w:spacing w:after="120" w:line="240" w:lineRule="exact"/>
        <w:jc w:val="both"/>
        <w:rPr>
          <w:rFonts w:ascii="Arial" w:eastAsia="Calibri" w:hAnsi="Arial"/>
          <w:b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spacing w:after="120"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>V.</w:t>
      </w:r>
    </w:p>
    <w:p w:rsidR="004317B1" w:rsidRPr="004317B1" w:rsidRDefault="004317B1" w:rsidP="004317B1">
      <w:pPr>
        <w:pStyle w:val="Standard"/>
        <w:spacing w:after="120" w:line="240" w:lineRule="exact"/>
        <w:jc w:val="center"/>
        <w:rPr>
          <w:rFonts w:ascii="Arial" w:eastAsia="Calibri" w:hAnsi="Arial"/>
          <w:b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b/>
          <w:color w:val="00000A"/>
          <w:sz w:val="22"/>
          <w:vertAlign w:val="subscript"/>
        </w:rPr>
        <w:t xml:space="preserve"> Závěrečná ujednání</w:t>
      </w:r>
    </w:p>
    <w:p w:rsidR="004317B1" w:rsidRPr="004317B1" w:rsidRDefault="004317B1" w:rsidP="004317B1">
      <w:pPr>
        <w:pStyle w:val="Standard"/>
        <w:spacing w:after="120"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4317B1" w:rsidP="004317B1">
      <w:pPr>
        <w:pStyle w:val="Standard"/>
        <w:numPr>
          <w:ilvl w:val="0"/>
          <w:numId w:val="20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Právní vztahy touto smlouvou výslovně neupravené se řídí příslušnými ustanoveními zákona č. 513/91 Sb., Obchodní zákoník, ve znění pozdějších předpisů.</w:t>
      </w:r>
    </w:p>
    <w:p w:rsidR="004317B1" w:rsidRPr="004317B1" w:rsidRDefault="004317B1" w:rsidP="004317B1">
      <w:pPr>
        <w:pStyle w:val="Standard"/>
        <w:numPr>
          <w:ilvl w:val="0"/>
          <w:numId w:val="10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4317B1">
        <w:rPr>
          <w:rFonts w:ascii="Arial" w:eastAsia="Calibri" w:hAnsi="Arial"/>
          <w:color w:val="00000A"/>
          <w:sz w:val="22"/>
          <w:vertAlign w:val="subscript"/>
        </w:rPr>
        <w:t>doručené</w:t>
      </w:r>
      <w:proofErr w:type="gramEnd"/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druhý den po předání k odeslání poštovním službám.</w:t>
      </w:r>
    </w:p>
    <w:p w:rsidR="004317B1" w:rsidRPr="004317B1" w:rsidRDefault="004317B1" w:rsidP="004317B1">
      <w:pPr>
        <w:pStyle w:val="Standard"/>
        <w:numPr>
          <w:ilvl w:val="0"/>
          <w:numId w:val="10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Tato smlouva nabývá platnosti a účinnosti podpisem smluvních stran.</w:t>
      </w:r>
    </w:p>
    <w:p w:rsidR="004317B1" w:rsidRPr="004317B1" w:rsidRDefault="004317B1" w:rsidP="004317B1">
      <w:pPr>
        <w:pStyle w:val="Standard"/>
        <w:numPr>
          <w:ilvl w:val="0"/>
          <w:numId w:val="10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Tato smlouva se sjednává na dobu neurčitou.</w:t>
      </w:r>
    </w:p>
    <w:p w:rsidR="004317B1" w:rsidRPr="004317B1" w:rsidRDefault="004317B1" w:rsidP="004317B1">
      <w:pPr>
        <w:pStyle w:val="Standard"/>
        <w:numPr>
          <w:ilvl w:val="0"/>
          <w:numId w:val="10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Tuto smlouvu lze měnit pouze po vzájemném odsouhlasení smluvních stran a to písemně formou očíslovaných dodatků ke smlouvě.</w:t>
      </w:r>
    </w:p>
    <w:p w:rsidR="004317B1" w:rsidRPr="004317B1" w:rsidRDefault="004317B1" w:rsidP="004317B1">
      <w:pPr>
        <w:pStyle w:val="Standard"/>
        <w:numPr>
          <w:ilvl w:val="0"/>
          <w:numId w:val="10"/>
        </w:numPr>
        <w:spacing w:after="120" w:line="240" w:lineRule="exact"/>
        <w:ind w:left="360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Každá ze smluvních stran je oprávněna tuto smlouvu vypovědět a to ve lhůtě dvou měsíců ode dne doručení druhé straně. V případě vážného porušení smlouvy je smluvní strana oprávněna smlouvu vypovědět okamžitě.</w:t>
      </w:r>
    </w:p>
    <w:p w:rsidR="004317B1" w:rsidRPr="004317B1" w:rsidRDefault="004317B1" w:rsidP="004317B1">
      <w:pPr>
        <w:pStyle w:val="Standard"/>
        <w:numPr>
          <w:ilvl w:val="0"/>
          <w:numId w:val="10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>Tato smlouva je vyhotovena ve 2 stejnopisech, z nichž každá smluvní strana obdrží 1 vyhotovení, které má platnost originálu. </w:t>
      </w:r>
    </w:p>
    <w:p w:rsidR="004317B1" w:rsidRPr="004317B1" w:rsidRDefault="004317B1" w:rsidP="004317B1">
      <w:pPr>
        <w:pStyle w:val="Standard"/>
        <w:numPr>
          <w:ilvl w:val="0"/>
          <w:numId w:val="10"/>
        </w:numPr>
        <w:spacing w:after="120" w:line="240" w:lineRule="exact"/>
        <w:ind w:left="426" w:hanging="360"/>
        <w:jc w:val="both"/>
        <w:rPr>
          <w:rFonts w:ascii="Arial" w:eastAsia="Calibri" w:hAnsi="Arial"/>
          <w:color w:val="00000A"/>
          <w:sz w:val="22"/>
          <w:vertAlign w:val="subscript"/>
        </w:rPr>
      </w:pPr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Smluvní strany prohlašují, že tato smlouva je sepsána podle jejich pravé a svobodné </w:t>
      </w:r>
      <w:proofErr w:type="gramStart"/>
      <w:r w:rsidRPr="004317B1">
        <w:rPr>
          <w:rFonts w:ascii="Arial" w:eastAsia="Calibri" w:hAnsi="Arial"/>
          <w:color w:val="00000A"/>
          <w:sz w:val="22"/>
          <w:vertAlign w:val="subscript"/>
        </w:rPr>
        <w:t>vůle  a na</w:t>
      </w:r>
      <w:proofErr w:type="gramEnd"/>
      <w:r w:rsidRPr="004317B1">
        <w:rPr>
          <w:rFonts w:ascii="Arial" w:eastAsia="Calibri" w:hAnsi="Arial"/>
          <w:color w:val="00000A"/>
          <w:sz w:val="22"/>
          <w:vertAlign w:val="subscript"/>
        </w:rPr>
        <w:t xml:space="preserve"> důkaz toho připojují své podpisy.</w:t>
      </w:r>
    </w:p>
    <w:p w:rsidR="004317B1" w:rsidRPr="004317B1" w:rsidRDefault="004317B1" w:rsidP="004317B1">
      <w:pPr>
        <w:pStyle w:val="Standard"/>
        <w:spacing w:after="240"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</w:p>
    <w:p w:rsidR="004317B1" w:rsidRPr="004317B1" w:rsidRDefault="00F74A88" w:rsidP="004317B1">
      <w:pPr>
        <w:pStyle w:val="Standard"/>
        <w:spacing w:after="240" w:line="240" w:lineRule="exact"/>
        <w:jc w:val="both"/>
        <w:rPr>
          <w:rFonts w:ascii="Arial" w:eastAsia="Calibri" w:hAnsi="Arial"/>
          <w:color w:val="00000A"/>
          <w:sz w:val="22"/>
          <w:vertAlign w:val="subscript"/>
        </w:rPr>
      </w:pPr>
      <w:r>
        <w:rPr>
          <w:rFonts w:ascii="Arial" w:eastAsia="Calibri" w:hAnsi="Arial"/>
          <w:color w:val="00000A"/>
          <w:sz w:val="22"/>
          <w:vertAlign w:val="subscript"/>
        </w:rPr>
        <w:t xml:space="preserve">V Pardubicích dne </w:t>
      </w:r>
      <w:proofErr w:type="gramStart"/>
      <w:r>
        <w:rPr>
          <w:rFonts w:ascii="Arial" w:eastAsia="Calibri" w:hAnsi="Arial"/>
          <w:color w:val="00000A"/>
          <w:sz w:val="22"/>
          <w:vertAlign w:val="subscript"/>
        </w:rPr>
        <w:t>15</w:t>
      </w:r>
      <w:r w:rsidR="004317B1" w:rsidRPr="004317B1">
        <w:rPr>
          <w:rFonts w:ascii="Arial" w:eastAsia="Calibri" w:hAnsi="Arial"/>
          <w:color w:val="00000A"/>
          <w:sz w:val="22"/>
          <w:vertAlign w:val="subscript"/>
        </w:rPr>
        <w:t>.3.2018</w:t>
      </w:r>
      <w:proofErr w:type="gramEnd"/>
    </w:p>
    <w:p w:rsidR="004317B1" w:rsidRPr="004317B1" w:rsidRDefault="004317B1" w:rsidP="004317B1">
      <w:pPr>
        <w:pStyle w:val="Standard"/>
        <w:spacing w:after="200" w:line="276" w:lineRule="exact"/>
        <w:jc w:val="both"/>
        <w:rPr>
          <w:rFonts w:ascii="Arial" w:eastAsia="Calibri" w:hAnsi="Arial"/>
          <w:color w:val="00000A"/>
          <w:sz w:val="21"/>
          <w:vertAlign w:val="subscript"/>
        </w:rPr>
      </w:pPr>
    </w:p>
    <w:p w:rsidR="004317B1" w:rsidRPr="004317B1" w:rsidRDefault="004317B1" w:rsidP="004317B1">
      <w:pPr>
        <w:pStyle w:val="Standard"/>
        <w:spacing w:after="200" w:line="276" w:lineRule="exact"/>
        <w:jc w:val="both"/>
        <w:rPr>
          <w:rFonts w:ascii="Arial" w:eastAsia="Calibri" w:hAnsi="Arial"/>
          <w:color w:val="00000A"/>
          <w:sz w:val="21"/>
          <w:vertAlign w:val="subscript"/>
        </w:rPr>
      </w:pPr>
    </w:p>
    <w:p w:rsidR="004317B1" w:rsidRPr="004317B1" w:rsidRDefault="004317B1" w:rsidP="004317B1">
      <w:pPr>
        <w:pStyle w:val="Standard"/>
        <w:spacing w:after="200" w:line="276" w:lineRule="exact"/>
        <w:jc w:val="both"/>
        <w:rPr>
          <w:rFonts w:ascii="Arial" w:eastAsia="Calibri" w:hAnsi="Arial"/>
          <w:color w:val="00000A"/>
          <w:sz w:val="21"/>
          <w:vertAlign w:val="subscript"/>
        </w:rPr>
      </w:pPr>
    </w:p>
    <w:p w:rsidR="004317B1" w:rsidRPr="004317B1" w:rsidRDefault="004317B1" w:rsidP="004317B1">
      <w:pPr>
        <w:pStyle w:val="Standard"/>
        <w:spacing w:after="200" w:line="276" w:lineRule="exact"/>
        <w:jc w:val="both"/>
        <w:rPr>
          <w:rFonts w:ascii="Arial" w:eastAsia="Calibri" w:hAnsi="Arial"/>
          <w:color w:val="00000A"/>
          <w:sz w:val="21"/>
          <w:vertAlign w:val="subscript"/>
        </w:rPr>
      </w:pPr>
      <w:r w:rsidRPr="004317B1">
        <w:rPr>
          <w:rFonts w:ascii="Arial" w:eastAsia="Calibri" w:hAnsi="Arial"/>
          <w:color w:val="00000A"/>
          <w:sz w:val="21"/>
          <w:vertAlign w:val="subscript"/>
        </w:rPr>
        <w:t xml:space="preserve">za objednatele                                                                      </w:t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  <w:t xml:space="preserve">   za dodavatele</w:t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  <w:r w:rsidRPr="004317B1">
        <w:rPr>
          <w:rFonts w:ascii="Arial" w:eastAsia="Calibri" w:hAnsi="Arial"/>
          <w:color w:val="00000A"/>
          <w:sz w:val="21"/>
          <w:vertAlign w:val="subscript"/>
        </w:rPr>
        <w:tab/>
      </w:r>
    </w:p>
    <w:p w:rsidR="0091560F" w:rsidRPr="004317B1" w:rsidRDefault="0091560F">
      <w:pPr>
        <w:rPr>
          <w:rFonts w:ascii="Arial" w:hAnsi="Arial" w:cs="Arial"/>
        </w:rPr>
      </w:pPr>
      <w:bookmarkStart w:id="0" w:name="_GoBack"/>
      <w:bookmarkEnd w:id="0"/>
    </w:p>
    <w:sectPr w:rsidR="0091560F" w:rsidRPr="004317B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83A"/>
    <w:multiLevelType w:val="multilevel"/>
    <w:tmpl w:val="A3904056"/>
    <w:styleLink w:val="WWNum2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EC7707D"/>
    <w:multiLevelType w:val="multilevel"/>
    <w:tmpl w:val="7A069ECC"/>
    <w:styleLink w:val="WWNum4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81E47B1"/>
    <w:multiLevelType w:val="multilevel"/>
    <w:tmpl w:val="40904A72"/>
    <w:styleLink w:val="WWNum3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6127C41"/>
    <w:multiLevelType w:val="multilevel"/>
    <w:tmpl w:val="4B069C6E"/>
    <w:styleLink w:val="WWNum3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AA050DA"/>
    <w:multiLevelType w:val="multilevel"/>
    <w:tmpl w:val="F1BA221E"/>
    <w:styleLink w:val="WWNum37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EAC1E8E"/>
    <w:multiLevelType w:val="multilevel"/>
    <w:tmpl w:val="D7A4323A"/>
    <w:styleLink w:val="WWNum42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C715CC5"/>
    <w:multiLevelType w:val="multilevel"/>
    <w:tmpl w:val="5A1A0EB0"/>
    <w:styleLink w:val="WWNum18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D7C43EE"/>
    <w:multiLevelType w:val="multilevel"/>
    <w:tmpl w:val="7B608228"/>
    <w:styleLink w:val="WWNum15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FB21C1E"/>
    <w:multiLevelType w:val="multilevel"/>
    <w:tmpl w:val="AF422666"/>
    <w:styleLink w:val="WWNum3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5FB75AE"/>
    <w:multiLevelType w:val="multilevel"/>
    <w:tmpl w:val="B8A2A450"/>
    <w:styleLink w:val="WWNum2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  <w:num w:numId="15">
    <w:abstractNumId w:val="8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B1"/>
    <w:rsid w:val="004317B1"/>
    <w:rsid w:val="008A1ED0"/>
    <w:rsid w:val="0091560F"/>
    <w:rsid w:val="00ED519C"/>
    <w:rsid w:val="00F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317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5">
    <w:name w:val="WWNum15"/>
    <w:basedOn w:val="Bezseznamu"/>
    <w:rsid w:val="004317B1"/>
    <w:pPr>
      <w:numPr>
        <w:numId w:val="1"/>
      </w:numPr>
    </w:pPr>
  </w:style>
  <w:style w:type="numbering" w:customStyle="1" w:styleId="WWNum18">
    <w:name w:val="WWNum18"/>
    <w:basedOn w:val="Bezseznamu"/>
    <w:rsid w:val="004317B1"/>
    <w:pPr>
      <w:numPr>
        <w:numId w:val="2"/>
      </w:numPr>
    </w:pPr>
  </w:style>
  <w:style w:type="numbering" w:customStyle="1" w:styleId="WWNum21">
    <w:name w:val="WWNum21"/>
    <w:basedOn w:val="Bezseznamu"/>
    <w:rsid w:val="004317B1"/>
    <w:pPr>
      <w:numPr>
        <w:numId w:val="3"/>
      </w:numPr>
    </w:pPr>
  </w:style>
  <w:style w:type="numbering" w:customStyle="1" w:styleId="WWNum29">
    <w:name w:val="WWNum29"/>
    <w:basedOn w:val="Bezseznamu"/>
    <w:rsid w:val="004317B1"/>
    <w:pPr>
      <w:numPr>
        <w:numId w:val="4"/>
      </w:numPr>
    </w:pPr>
  </w:style>
  <w:style w:type="numbering" w:customStyle="1" w:styleId="WWNum31">
    <w:name w:val="WWNum31"/>
    <w:basedOn w:val="Bezseznamu"/>
    <w:rsid w:val="004317B1"/>
    <w:pPr>
      <w:numPr>
        <w:numId w:val="5"/>
      </w:numPr>
    </w:pPr>
  </w:style>
  <w:style w:type="numbering" w:customStyle="1" w:styleId="WWNum33">
    <w:name w:val="WWNum33"/>
    <w:basedOn w:val="Bezseznamu"/>
    <w:rsid w:val="004317B1"/>
    <w:pPr>
      <w:numPr>
        <w:numId w:val="6"/>
      </w:numPr>
    </w:pPr>
  </w:style>
  <w:style w:type="numbering" w:customStyle="1" w:styleId="WWNum37">
    <w:name w:val="WWNum37"/>
    <w:basedOn w:val="Bezseznamu"/>
    <w:rsid w:val="004317B1"/>
    <w:pPr>
      <w:numPr>
        <w:numId w:val="7"/>
      </w:numPr>
    </w:pPr>
  </w:style>
  <w:style w:type="numbering" w:customStyle="1" w:styleId="WWNum39">
    <w:name w:val="WWNum39"/>
    <w:basedOn w:val="Bezseznamu"/>
    <w:rsid w:val="004317B1"/>
    <w:pPr>
      <w:numPr>
        <w:numId w:val="8"/>
      </w:numPr>
    </w:pPr>
  </w:style>
  <w:style w:type="numbering" w:customStyle="1" w:styleId="WWNum42">
    <w:name w:val="WWNum42"/>
    <w:basedOn w:val="Bezseznamu"/>
    <w:rsid w:val="004317B1"/>
    <w:pPr>
      <w:numPr>
        <w:numId w:val="9"/>
      </w:numPr>
    </w:pPr>
  </w:style>
  <w:style w:type="numbering" w:customStyle="1" w:styleId="WWNum46">
    <w:name w:val="WWNum46"/>
    <w:basedOn w:val="Bezseznamu"/>
    <w:rsid w:val="004317B1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317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5">
    <w:name w:val="WWNum15"/>
    <w:basedOn w:val="Bezseznamu"/>
    <w:rsid w:val="004317B1"/>
    <w:pPr>
      <w:numPr>
        <w:numId w:val="1"/>
      </w:numPr>
    </w:pPr>
  </w:style>
  <w:style w:type="numbering" w:customStyle="1" w:styleId="WWNum18">
    <w:name w:val="WWNum18"/>
    <w:basedOn w:val="Bezseznamu"/>
    <w:rsid w:val="004317B1"/>
    <w:pPr>
      <w:numPr>
        <w:numId w:val="2"/>
      </w:numPr>
    </w:pPr>
  </w:style>
  <w:style w:type="numbering" w:customStyle="1" w:styleId="WWNum21">
    <w:name w:val="WWNum21"/>
    <w:basedOn w:val="Bezseznamu"/>
    <w:rsid w:val="004317B1"/>
    <w:pPr>
      <w:numPr>
        <w:numId w:val="3"/>
      </w:numPr>
    </w:pPr>
  </w:style>
  <w:style w:type="numbering" w:customStyle="1" w:styleId="WWNum29">
    <w:name w:val="WWNum29"/>
    <w:basedOn w:val="Bezseznamu"/>
    <w:rsid w:val="004317B1"/>
    <w:pPr>
      <w:numPr>
        <w:numId w:val="4"/>
      </w:numPr>
    </w:pPr>
  </w:style>
  <w:style w:type="numbering" w:customStyle="1" w:styleId="WWNum31">
    <w:name w:val="WWNum31"/>
    <w:basedOn w:val="Bezseznamu"/>
    <w:rsid w:val="004317B1"/>
    <w:pPr>
      <w:numPr>
        <w:numId w:val="5"/>
      </w:numPr>
    </w:pPr>
  </w:style>
  <w:style w:type="numbering" w:customStyle="1" w:styleId="WWNum33">
    <w:name w:val="WWNum33"/>
    <w:basedOn w:val="Bezseznamu"/>
    <w:rsid w:val="004317B1"/>
    <w:pPr>
      <w:numPr>
        <w:numId w:val="6"/>
      </w:numPr>
    </w:pPr>
  </w:style>
  <w:style w:type="numbering" w:customStyle="1" w:styleId="WWNum37">
    <w:name w:val="WWNum37"/>
    <w:basedOn w:val="Bezseznamu"/>
    <w:rsid w:val="004317B1"/>
    <w:pPr>
      <w:numPr>
        <w:numId w:val="7"/>
      </w:numPr>
    </w:pPr>
  </w:style>
  <w:style w:type="numbering" w:customStyle="1" w:styleId="WWNum39">
    <w:name w:val="WWNum39"/>
    <w:basedOn w:val="Bezseznamu"/>
    <w:rsid w:val="004317B1"/>
    <w:pPr>
      <w:numPr>
        <w:numId w:val="8"/>
      </w:numPr>
    </w:pPr>
  </w:style>
  <w:style w:type="numbering" w:customStyle="1" w:styleId="WWNum42">
    <w:name w:val="WWNum42"/>
    <w:basedOn w:val="Bezseznamu"/>
    <w:rsid w:val="004317B1"/>
    <w:pPr>
      <w:numPr>
        <w:numId w:val="9"/>
      </w:numPr>
    </w:pPr>
  </w:style>
  <w:style w:type="numbering" w:customStyle="1" w:styleId="WWNum46">
    <w:name w:val="WWNum46"/>
    <w:basedOn w:val="Bezseznamu"/>
    <w:rsid w:val="004317B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EKONOM1</cp:lastModifiedBy>
  <cp:revision>2</cp:revision>
  <dcterms:created xsi:type="dcterms:W3CDTF">2018-03-21T05:39:00Z</dcterms:created>
  <dcterms:modified xsi:type="dcterms:W3CDTF">2018-03-21T05:50:00Z</dcterms:modified>
</cp:coreProperties>
</file>