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1" w:rsidRDefault="00121879">
      <w:pPr>
        <w:pStyle w:val="Zkladntext"/>
        <w:ind w:left="126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2452859" cy="8437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859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D1" w:rsidRDefault="00D53FD1">
      <w:pPr>
        <w:pStyle w:val="Zkladntext"/>
        <w:spacing w:before="4"/>
        <w:ind w:left="0"/>
        <w:rPr>
          <w:rFonts w:ascii="Times New Roman"/>
          <w:sz w:val="6"/>
        </w:rPr>
      </w:pPr>
    </w:p>
    <w:p w:rsidR="00D53FD1" w:rsidRDefault="00121879">
      <w:pPr>
        <w:pStyle w:val="Zkladntext"/>
        <w:spacing w:line="78" w:lineRule="exact"/>
        <w:ind w:left="102"/>
        <w:rPr>
          <w:rFonts w:ascii="Times New Roman"/>
          <w:sz w:val="7"/>
        </w:rPr>
      </w:pPr>
      <w:r>
        <w:rPr>
          <w:rFonts w:ascii="Times New Roman"/>
          <w:position w:val="-1"/>
          <w:sz w:val="7"/>
        </w:rPr>
      </w:r>
      <w:r>
        <w:rPr>
          <w:rFonts w:ascii="Times New Roman"/>
          <w:position w:val="-1"/>
          <w:sz w:val="7"/>
        </w:rPr>
        <w:pict>
          <v:group id="_x0000_s1040" style="width:511.55pt;height:2.35pt;mso-position-horizontal-relative:char;mso-position-vertical-relative:line" coordsize="10231,47">
            <v:line id="_x0000_s1043" style="position:absolute" from="8,8" to="10223,8" strokeweight=".27136mm"/>
            <v:line id="_x0000_s1042" style="position:absolute" from="0,23" to="10231,23" strokeweight=".81464mm"/>
            <v:line id="_x0000_s1041" style="position:absolute" from="10223,8" to="10223,38" strokeweight=".27136mm"/>
            <w10:wrap type="none"/>
            <w10:anchorlock/>
          </v:group>
        </w:pict>
      </w:r>
    </w:p>
    <w:p w:rsidR="00D53FD1" w:rsidRDefault="00D53FD1">
      <w:pPr>
        <w:pStyle w:val="Zkladntext"/>
        <w:spacing w:before="9"/>
        <w:ind w:left="0"/>
        <w:rPr>
          <w:rFonts w:ascii="Times New Roman"/>
          <w:sz w:val="9"/>
        </w:rPr>
      </w:pPr>
    </w:p>
    <w:p w:rsidR="00D53FD1" w:rsidRDefault="00121879">
      <w:pPr>
        <w:pStyle w:val="Nadpis1"/>
        <w:spacing w:before="138" w:line="304" w:lineRule="auto"/>
        <w:ind w:left="4526" w:hanging="4277"/>
      </w:pPr>
      <w:r>
        <w:t>Dodatek č. 1 z roku 2018 ke Smlouvě o poskytnutí dotace na podporu grantového projektu č. 17-23870Y panelu č. P202</w:t>
      </w:r>
    </w:p>
    <w:p w:rsidR="00D53FD1" w:rsidRDefault="00121879">
      <w:pPr>
        <w:pStyle w:val="Zkladntext"/>
        <w:spacing w:before="210" w:line="187" w:lineRule="auto"/>
        <w:ind w:left="126" w:right="323"/>
        <w:jc w:val="both"/>
      </w:pPr>
      <w:r>
        <w:t>v rámci veřejné soutěže ve výzkumu, experimentálním vývoji a inovacích na podporu grantových projektů zá</w:t>
      </w:r>
      <w:r>
        <w:t xml:space="preserve">kladního výzkumu (dále jen „ </w:t>
      </w:r>
      <w:r>
        <w:rPr>
          <w:rFonts w:ascii="Arial" w:hAnsi="Arial"/>
          <w:b/>
        </w:rPr>
        <w:t xml:space="preserve">Veřejná soutěž </w:t>
      </w:r>
      <w:r>
        <w:t>“) podle zákona č. 130/2002 Sb., o podpoře výzkumu, experimentálního vývoje a inovací z veřejných prostředků a o změně některých souvisejících zákonů (zákon o</w:t>
      </w:r>
    </w:p>
    <w:p w:rsidR="00D53FD1" w:rsidRDefault="00D53FD1">
      <w:pPr>
        <w:spacing w:line="187" w:lineRule="auto"/>
        <w:jc w:val="both"/>
        <w:sectPr w:rsidR="00D53FD1">
          <w:footerReference w:type="default" r:id="rId8"/>
          <w:type w:val="continuous"/>
          <w:pgSz w:w="11910" w:h="16840"/>
          <w:pgMar w:top="840" w:right="700" w:bottom="500" w:left="720" w:header="708" w:footer="307" w:gutter="0"/>
          <w:pgNumType w:start="1"/>
          <w:cols w:space="708"/>
        </w:sectPr>
      </w:pPr>
    </w:p>
    <w:p w:rsidR="00D53FD1" w:rsidRDefault="00121879">
      <w:pPr>
        <w:pStyle w:val="Zkladntext"/>
        <w:spacing w:line="187" w:lineRule="auto"/>
        <w:ind w:left="126" w:right="16"/>
      </w:pPr>
      <w:r>
        <w:t>podpoře  výzkumu,  experimentálního  vývoje  a  inovací),  ve  znění  pozdějších  předpisů  (dále  jen a zákona č. 89/2012 Sb., občanský zákoník, ve znění pozdějších</w:t>
      </w:r>
      <w:r>
        <w:rPr>
          <w:spacing w:val="-1"/>
        </w:rPr>
        <w:t xml:space="preserve"> </w:t>
      </w:r>
      <w:r>
        <w:t>předpisů</w:t>
      </w:r>
    </w:p>
    <w:p w:rsidR="00D53FD1" w:rsidRDefault="00121879">
      <w:pPr>
        <w:pStyle w:val="Zkladntext"/>
        <w:spacing w:line="315" w:lineRule="exact"/>
        <w:ind w:left="126"/>
      </w:pPr>
      <w:r>
        <w:t>Strany</w:t>
      </w:r>
    </w:p>
    <w:p w:rsidR="00D53FD1" w:rsidRDefault="00121879">
      <w:pPr>
        <w:spacing w:line="314" w:lineRule="exact"/>
        <w:ind w:left="126"/>
        <w:rPr>
          <w:sz w:val="20"/>
        </w:rPr>
      </w:pPr>
      <w:r>
        <w:br w:type="column"/>
      </w:r>
      <w:r>
        <w:rPr>
          <w:rFonts w:ascii="Arial" w:hAnsi="Arial"/>
          <w:b/>
          <w:sz w:val="20"/>
        </w:rPr>
        <w:t>„Zákon“</w:t>
      </w:r>
      <w:r>
        <w:rPr>
          <w:sz w:val="20"/>
        </w:rPr>
        <w:t>)</w:t>
      </w:r>
    </w:p>
    <w:p w:rsidR="00D53FD1" w:rsidRDefault="00D53FD1">
      <w:pPr>
        <w:spacing w:line="314" w:lineRule="exact"/>
        <w:rPr>
          <w:sz w:val="20"/>
        </w:rPr>
        <w:sectPr w:rsidR="00D53FD1">
          <w:type w:val="continuous"/>
          <w:pgSz w:w="11910" w:h="16840"/>
          <w:pgMar w:top="840" w:right="700" w:bottom="500" w:left="720" w:header="708" w:footer="708" w:gutter="0"/>
          <w:cols w:num="2" w:space="708" w:equalWidth="0">
            <w:col w:w="9159" w:space="72"/>
            <w:col w:w="1259"/>
          </w:cols>
        </w:sectPr>
      </w:pPr>
    </w:p>
    <w:p w:rsidR="00D53FD1" w:rsidRDefault="00121879">
      <w:pPr>
        <w:pStyle w:val="Nadpis1"/>
        <w:numPr>
          <w:ilvl w:val="0"/>
          <w:numId w:val="1"/>
        </w:numPr>
        <w:tabs>
          <w:tab w:val="left" w:pos="742"/>
        </w:tabs>
        <w:spacing w:before="143" w:line="334" w:lineRule="exact"/>
        <w:ind w:hanging="292"/>
      </w:pPr>
      <w:r>
        <w:t>Česká republika – Grantová agentura Č</w:t>
      </w:r>
      <w:r>
        <w:t>eské</w:t>
      </w:r>
      <w:r>
        <w:rPr>
          <w:spacing w:val="-1"/>
        </w:rPr>
        <w:t xml:space="preserve"> </w:t>
      </w:r>
      <w:r>
        <w:t>republiky</w:t>
      </w:r>
    </w:p>
    <w:p w:rsidR="00D53FD1" w:rsidRDefault="00121879">
      <w:pPr>
        <w:spacing w:line="292" w:lineRule="exact"/>
        <w:ind w:left="741"/>
        <w:rPr>
          <w:rFonts w:ascii="Arial" w:hAnsi="Arial"/>
          <w:b/>
          <w:sz w:val="20"/>
        </w:rPr>
      </w:pPr>
      <w:r>
        <w:rPr>
          <w:sz w:val="20"/>
        </w:rPr>
        <w:t xml:space="preserve">se sídlem </w:t>
      </w:r>
      <w:r>
        <w:rPr>
          <w:rFonts w:ascii="Arial" w:hAnsi="Arial"/>
          <w:b/>
          <w:sz w:val="20"/>
        </w:rPr>
        <w:t>Evropská 2589/33b, 160 00 Praha 6</w:t>
      </w:r>
    </w:p>
    <w:p w:rsidR="00D53FD1" w:rsidRDefault="00121879">
      <w:pPr>
        <w:spacing w:line="292" w:lineRule="exact"/>
        <w:ind w:left="741"/>
        <w:rPr>
          <w:rFonts w:ascii="Arial" w:hAnsi="Arial"/>
          <w:b/>
          <w:sz w:val="20"/>
        </w:rPr>
      </w:pPr>
      <w:r>
        <w:rPr>
          <w:sz w:val="20"/>
        </w:rPr>
        <w:t xml:space="preserve">IČO: </w:t>
      </w:r>
      <w:r>
        <w:rPr>
          <w:rFonts w:ascii="Arial" w:hAnsi="Arial"/>
          <w:b/>
          <w:sz w:val="20"/>
        </w:rPr>
        <w:t>48549037</w:t>
      </w:r>
    </w:p>
    <w:p w:rsidR="00D53FD1" w:rsidRDefault="00121879">
      <w:pPr>
        <w:pStyle w:val="Zkladntext"/>
        <w:spacing w:before="17" w:line="187" w:lineRule="auto"/>
        <w:ind w:right="1514"/>
      </w:pPr>
      <w:r>
        <w:t xml:space="preserve">Zastoupená: RNDr. Alicí Valkárovou, DrSc., předsedkyní Grantové agentury České republiky (dále jen „ </w:t>
      </w:r>
      <w:r>
        <w:rPr>
          <w:rFonts w:ascii="Arial" w:hAnsi="Arial"/>
          <w:b/>
        </w:rPr>
        <w:t>Poskytovatel</w:t>
      </w:r>
      <w:r>
        <w:t>“)</w:t>
      </w:r>
    </w:p>
    <w:p w:rsidR="00D53FD1" w:rsidRDefault="00121879">
      <w:pPr>
        <w:pStyle w:val="Nadpis1"/>
        <w:numPr>
          <w:ilvl w:val="0"/>
          <w:numId w:val="1"/>
        </w:numPr>
        <w:tabs>
          <w:tab w:val="left" w:pos="742"/>
        </w:tabs>
        <w:spacing w:line="273" w:lineRule="exact"/>
        <w:ind w:hanging="292"/>
      </w:pPr>
      <w:r>
        <w:t>Vysoké učení technické v</w:t>
      </w:r>
      <w:r>
        <w:rPr>
          <w:spacing w:val="-1"/>
        </w:rPr>
        <w:t xml:space="preserve"> </w:t>
      </w:r>
      <w:r>
        <w:t>Brně</w:t>
      </w:r>
    </w:p>
    <w:p w:rsidR="00D53FD1" w:rsidRDefault="00121879">
      <w:pPr>
        <w:pStyle w:val="Zkladntext"/>
        <w:spacing w:before="17" w:line="187" w:lineRule="auto"/>
        <w:ind w:right="5626"/>
        <w:rPr>
          <w:rFonts w:ascii="Arial" w:hAnsi="Arial"/>
          <w:b/>
        </w:rPr>
      </w:pPr>
      <w:r>
        <w:t xml:space="preserve">se sídlem: Antonínská 548/1, 601 90 Brno, CZ IČO: </w:t>
      </w:r>
      <w:r>
        <w:rPr>
          <w:rFonts w:ascii="Arial" w:hAnsi="Arial"/>
          <w:b/>
        </w:rPr>
        <w:t>00216305</w:t>
      </w:r>
    </w:p>
    <w:p w:rsidR="00D53FD1" w:rsidRDefault="00121879">
      <w:pPr>
        <w:spacing w:line="187" w:lineRule="auto"/>
        <w:ind w:left="741" w:right="5060"/>
        <w:rPr>
          <w:rFonts w:ascii="Arial" w:hAnsi="Arial"/>
          <w:b/>
          <w:sz w:val="20"/>
        </w:rPr>
      </w:pPr>
      <w:r>
        <w:rPr>
          <w:sz w:val="20"/>
        </w:rPr>
        <w:t xml:space="preserve">Zastoupený(á): prof. RNDr. Ing. Petr Štěpánek, CSc. č. účtu: </w:t>
      </w:r>
      <w:r>
        <w:rPr>
          <w:rFonts w:ascii="Arial" w:hAnsi="Arial"/>
          <w:b/>
          <w:sz w:val="20"/>
        </w:rPr>
        <w:t>XXXXXXX</w:t>
      </w:r>
    </w:p>
    <w:p w:rsidR="00D53FD1" w:rsidRDefault="00121879">
      <w:pPr>
        <w:spacing w:line="315" w:lineRule="exact"/>
        <w:ind w:left="741"/>
        <w:rPr>
          <w:sz w:val="20"/>
        </w:rPr>
      </w:pPr>
      <w:r>
        <w:rPr>
          <w:sz w:val="20"/>
        </w:rPr>
        <w:t xml:space="preserve">(dále jen „ </w:t>
      </w:r>
      <w:r>
        <w:rPr>
          <w:rFonts w:ascii="Arial" w:hAnsi="Arial"/>
          <w:b/>
          <w:sz w:val="20"/>
        </w:rPr>
        <w:t>Příjemce</w:t>
      </w:r>
      <w:r>
        <w:rPr>
          <w:sz w:val="20"/>
        </w:rPr>
        <w:t>“)</w:t>
      </w:r>
    </w:p>
    <w:p w:rsidR="00D53FD1" w:rsidRDefault="00121879">
      <w:pPr>
        <w:pStyle w:val="Zkladntext"/>
        <w:spacing w:before="144"/>
        <w:ind w:left="126"/>
      </w:pPr>
      <w:r>
        <w:t>uzavřely dnešního dne tento</w:t>
      </w:r>
    </w:p>
    <w:p w:rsidR="00D53FD1" w:rsidRDefault="00121879">
      <w:pPr>
        <w:pStyle w:val="Nadpis1"/>
        <w:spacing w:before="227"/>
        <w:ind w:left="449"/>
      </w:pPr>
      <w:r>
        <w:t>dodatek č. 1 z roku 2018 ke Smlouvě o poskytnutí dotace na podporu grantového projektu (dále jen</w:t>
      </w:r>
    </w:p>
    <w:p w:rsidR="00D53FD1" w:rsidRDefault="00121879">
      <w:pPr>
        <w:spacing w:before="62" w:line="544" w:lineRule="auto"/>
        <w:ind w:left="4664" w:right="468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„Dodatek“): I.</w:t>
      </w:r>
    </w:p>
    <w:p w:rsidR="00D53FD1" w:rsidRDefault="00121879">
      <w:pPr>
        <w:pStyle w:val="Odstavecseseznamem"/>
        <w:numPr>
          <w:ilvl w:val="0"/>
          <w:numId w:val="6"/>
        </w:numPr>
        <w:tabs>
          <w:tab w:val="left" w:pos="742"/>
        </w:tabs>
        <w:spacing w:line="257" w:lineRule="exact"/>
        <w:ind w:hanging="292"/>
        <w:rPr>
          <w:sz w:val="20"/>
        </w:rPr>
      </w:pPr>
      <w:r>
        <w:rPr>
          <w:sz w:val="20"/>
        </w:rPr>
        <w:t>Mezi</w:t>
      </w:r>
      <w:r>
        <w:rPr>
          <w:spacing w:val="37"/>
          <w:sz w:val="20"/>
        </w:rPr>
        <w:t xml:space="preserve"> </w:t>
      </w:r>
      <w:r>
        <w:rPr>
          <w:sz w:val="20"/>
        </w:rPr>
        <w:t>shora</w:t>
      </w:r>
      <w:r>
        <w:rPr>
          <w:spacing w:val="37"/>
          <w:sz w:val="20"/>
        </w:rPr>
        <w:t xml:space="preserve"> </w:t>
      </w:r>
      <w:r>
        <w:rPr>
          <w:sz w:val="20"/>
        </w:rPr>
        <w:t>uvedenými</w:t>
      </w:r>
      <w:r>
        <w:rPr>
          <w:spacing w:val="37"/>
          <w:sz w:val="20"/>
        </w:rPr>
        <w:t xml:space="preserve"> </w:t>
      </w:r>
      <w:r>
        <w:rPr>
          <w:sz w:val="20"/>
        </w:rPr>
        <w:t>stranami</w:t>
      </w:r>
      <w:r>
        <w:rPr>
          <w:spacing w:val="37"/>
          <w:sz w:val="20"/>
        </w:rPr>
        <w:t xml:space="preserve"> </w:t>
      </w:r>
      <w:r>
        <w:rPr>
          <w:sz w:val="20"/>
        </w:rPr>
        <w:t>byla</w:t>
      </w:r>
      <w:r>
        <w:rPr>
          <w:spacing w:val="37"/>
          <w:sz w:val="20"/>
        </w:rPr>
        <w:t xml:space="preserve"> </w:t>
      </w:r>
      <w:r>
        <w:rPr>
          <w:sz w:val="20"/>
        </w:rPr>
        <w:t>uzavřena</w:t>
      </w:r>
      <w:r>
        <w:rPr>
          <w:spacing w:val="37"/>
          <w:sz w:val="20"/>
        </w:rPr>
        <w:t xml:space="preserve"> </w:t>
      </w:r>
      <w:r>
        <w:rPr>
          <w:sz w:val="20"/>
        </w:rPr>
        <w:t>Smlouva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7"/>
          <w:sz w:val="20"/>
        </w:rPr>
        <w:t xml:space="preserve"> </w:t>
      </w:r>
      <w:r>
        <w:rPr>
          <w:sz w:val="20"/>
        </w:rPr>
        <w:t>dotace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podporu</w:t>
      </w:r>
      <w:r>
        <w:rPr>
          <w:spacing w:val="37"/>
          <w:sz w:val="20"/>
        </w:rPr>
        <w:t xml:space="preserve"> </w:t>
      </w:r>
      <w:r>
        <w:rPr>
          <w:sz w:val="20"/>
        </w:rPr>
        <w:t>grantového</w:t>
      </w:r>
    </w:p>
    <w:p w:rsidR="00D53FD1" w:rsidRDefault="00121879">
      <w:pPr>
        <w:pStyle w:val="Zkladntext"/>
        <w:spacing w:before="17" w:line="187" w:lineRule="auto"/>
        <w:ind w:right="299"/>
        <w:jc w:val="both"/>
      </w:pPr>
      <w:r>
        <w:t>projektu reg. č. 17-23870Y (dále jen „Smlouva“), j</w:t>
      </w:r>
      <w:r>
        <w:t>ejímž předmětem bylo řešení grantového projektu (dále jen „Projekt“):</w:t>
      </w:r>
    </w:p>
    <w:p w:rsidR="00D53FD1" w:rsidRDefault="00121879">
      <w:pPr>
        <w:spacing w:line="273" w:lineRule="exact"/>
        <w:ind w:left="1357"/>
        <w:rPr>
          <w:rFonts w:ascii="Arial" w:hAnsi="Arial"/>
          <w:b/>
          <w:sz w:val="20"/>
        </w:rPr>
      </w:pPr>
      <w:r>
        <w:pict>
          <v:shape id="_x0000_s1039" style="position:absolute;left:0;text-align:left;margin-left:90pt;margin-top:2.65pt;width:4.65pt;height:4.65pt;z-index:1048;mso-position-horizontal-relative:page" coordorigin="1800,53" coordsize="93,93" path="m1846,53r-18,3l1814,66r-10,15l1800,99r4,18l1814,132r14,9l1846,145r18,-4l1879,132r10,-15l1892,99r-3,-18l1879,66,1864,56r-18,-3xe" fillcolor="black" stroked="f">
            <v:path arrowok="t"/>
            <w10:wrap anchorx="page"/>
          </v:shape>
        </w:pict>
      </w:r>
      <w:r>
        <w:rPr>
          <w:sz w:val="20"/>
        </w:rPr>
        <w:t xml:space="preserve">Název grantového projektu: </w:t>
      </w:r>
      <w:r>
        <w:rPr>
          <w:rFonts w:ascii="Arial" w:hAnsi="Arial"/>
          <w:b/>
          <w:sz w:val="20"/>
        </w:rPr>
        <w:t>Zvýšení spolehlivosti v automatickém rozpoznávání řečníka</w:t>
      </w:r>
    </w:p>
    <w:p w:rsidR="00D53FD1" w:rsidRDefault="00121879">
      <w:pPr>
        <w:pStyle w:val="Zkladntext"/>
        <w:spacing w:line="292" w:lineRule="exact"/>
        <w:ind w:left="1357"/>
        <w:rPr>
          <w:rFonts w:ascii="Arial" w:hAnsi="Arial"/>
          <w:b/>
        </w:rPr>
      </w:pPr>
      <w:r>
        <w:pict>
          <v:shape id="_x0000_s1038" style="position:absolute;left:0;text-align:left;margin-left:90pt;margin-top:3.6pt;width:4.65pt;height:4.65pt;z-index:1072;mso-position-horizontal-relative:page" coordorigin="1800,72" coordsize="93,93" path="m1846,72r-18,4l1814,86r-10,14l1800,118r4,18l1814,151r14,10l1846,164r18,-3l1879,151r10,-15l1892,118r-3,-18l1879,86,1864,76r-18,-4xe" fillcolor="black" stroked="f">
            <v:path arrowok="t"/>
            <w10:wrap anchorx="page"/>
          </v:shape>
        </w:pict>
      </w:r>
      <w:r>
        <w:t xml:space="preserve">Registrační číslo grantového projektu: </w:t>
      </w:r>
      <w:r>
        <w:rPr>
          <w:rFonts w:ascii="Arial" w:hAnsi="Arial"/>
          <w:b/>
        </w:rPr>
        <w:t>17-23870Y</w:t>
      </w:r>
    </w:p>
    <w:p w:rsidR="00D53FD1" w:rsidRDefault="00121879">
      <w:pPr>
        <w:spacing w:line="292" w:lineRule="exact"/>
        <w:ind w:left="1357"/>
        <w:rPr>
          <w:rFonts w:ascii="Arial" w:hAnsi="Arial"/>
          <w:b/>
          <w:sz w:val="20"/>
        </w:rPr>
      </w:pPr>
      <w:r>
        <w:pict>
          <v:shape id="_x0000_s1037" style="position:absolute;left:0;text-align:left;margin-left:90pt;margin-top:3.6pt;width:4.65pt;height:4.65pt;z-index:1096;mso-position-horizontal-relative:page" coordorigin="1800,72" coordsize="93,93" path="m1846,72r-18,4l1814,86r-10,14l1800,118r4,18l1814,151r14,10l1846,164r18,-3l1879,151r10,-15l1892,118r-3,-18l1879,86,1864,76r-18,-4xe" fillcolor="black" stroked="f">
            <v:path arrowok="t"/>
            <w10:wrap anchorx="page"/>
          </v:shape>
        </w:pict>
      </w:r>
      <w:r>
        <w:rPr>
          <w:sz w:val="20"/>
        </w:rPr>
        <w:t xml:space="preserve">Řešitel projektu: </w:t>
      </w:r>
      <w:r>
        <w:rPr>
          <w:rFonts w:ascii="Arial" w:hAnsi="Arial"/>
          <w:b/>
          <w:sz w:val="20"/>
        </w:rPr>
        <w:t>Ing. Ondřej Glembek, Ph.D.</w:t>
      </w:r>
    </w:p>
    <w:p w:rsidR="00D53FD1" w:rsidRDefault="00121879">
      <w:pPr>
        <w:pStyle w:val="Odstavecseseznamem"/>
        <w:numPr>
          <w:ilvl w:val="0"/>
          <w:numId w:val="6"/>
        </w:numPr>
        <w:tabs>
          <w:tab w:val="left" w:pos="742"/>
        </w:tabs>
        <w:spacing w:before="17" w:line="187" w:lineRule="auto"/>
        <w:ind w:right="346" w:hanging="292"/>
        <w:jc w:val="both"/>
        <w:rPr>
          <w:sz w:val="20"/>
        </w:rPr>
      </w:pPr>
      <w:r>
        <w:rPr>
          <w:sz w:val="20"/>
        </w:rPr>
        <w:t>Pojmy použité v textu tohoto Dodatku mají stejný význam jako obdobné pojmy použité a definované         v rámci Smlouvy, nebo na které Smlouva</w:t>
      </w:r>
      <w:r>
        <w:rPr>
          <w:spacing w:val="-1"/>
          <w:sz w:val="20"/>
        </w:rPr>
        <w:t xml:space="preserve"> </w:t>
      </w:r>
      <w:r>
        <w:rPr>
          <w:sz w:val="20"/>
        </w:rPr>
        <w:t>odkazuje.</w:t>
      </w:r>
    </w:p>
    <w:p w:rsidR="00D53FD1" w:rsidRDefault="00121879">
      <w:pPr>
        <w:pStyle w:val="Nadpis1"/>
        <w:spacing w:before="249"/>
        <w:ind w:left="5157"/>
      </w:pPr>
      <w:r>
        <w:t>II.</w:t>
      </w:r>
    </w:p>
    <w:p w:rsidR="00D53FD1" w:rsidRDefault="00D53FD1">
      <w:pPr>
        <w:pStyle w:val="Zkladntext"/>
        <w:spacing w:before="7"/>
        <w:ind w:left="0"/>
        <w:rPr>
          <w:rFonts w:ascii="Arial"/>
          <w:b/>
          <w:sz w:val="23"/>
        </w:rPr>
      </w:pPr>
    </w:p>
    <w:p w:rsidR="00D53FD1" w:rsidRDefault="00121879">
      <w:pPr>
        <w:pStyle w:val="Odstavecseseznamem"/>
        <w:numPr>
          <w:ilvl w:val="0"/>
          <w:numId w:val="5"/>
        </w:numPr>
        <w:tabs>
          <w:tab w:val="left" w:pos="742"/>
        </w:tabs>
        <w:spacing w:line="187" w:lineRule="auto"/>
        <w:ind w:right="292" w:hanging="292"/>
        <w:jc w:val="both"/>
        <w:rPr>
          <w:rFonts w:ascii="Arial" w:hAnsi="Arial"/>
          <w:i/>
          <w:sz w:val="20"/>
        </w:rPr>
      </w:pPr>
      <w:r>
        <w:rPr>
          <w:sz w:val="20"/>
        </w:rPr>
        <w:t>Smluvní strany v souladu se Smlouvou a tímto Dodatkem upřesňují výši podpory poskytované Příjemci Poskytovatelem v rámci Projektu pro následující roky řešení Projektu v rozpisu grantových prostředků Projektu, který tvoří nedílnou součást tohoto Dodatku (dá</w:t>
      </w:r>
      <w:r>
        <w:rPr>
          <w:sz w:val="20"/>
        </w:rPr>
        <w:t>le jen „Rozpis grantových prostředků Projektu“), a to</w:t>
      </w:r>
      <w:r>
        <w:rPr>
          <w:spacing w:val="8"/>
          <w:sz w:val="20"/>
        </w:rPr>
        <w:t xml:space="preserve"> </w:t>
      </w:r>
      <w:r>
        <w:rPr>
          <w:sz w:val="20"/>
        </w:rPr>
        <w:t>takto:</w:t>
      </w:r>
      <w:r>
        <w:rPr>
          <w:spacing w:val="8"/>
          <w:sz w:val="20"/>
        </w:rPr>
        <w:t xml:space="preserve"> </w:t>
      </w:r>
      <w:r>
        <w:rPr>
          <w:sz w:val="20"/>
        </w:rPr>
        <w:t>„</w:t>
      </w:r>
      <w:r>
        <w:rPr>
          <w:spacing w:val="-22"/>
          <w:sz w:val="20"/>
        </w:rPr>
        <w:t xml:space="preserve"> </w:t>
      </w:r>
      <w:r>
        <w:rPr>
          <w:rFonts w:ascii="Arial" w:hAnsi="Arial"/>
          <w:i/>
          <w:sz w:val="20"/>
        </w:rPr>
        <w:t>Pro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kalendářní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rok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2018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řešení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Projektu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činí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výše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podpory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veřejných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prostředků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poskytované</w:t>
      </w:r>
    </w:p>
    <w:p w:rsidR="00D53FD1" w:rsidRDefault="00121879">
      <w:pPr>
        <w:spacing w:before="17" w:line="309" w:lineRule="auto"/>
        <w:ind w:left="741" w:right="31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Poskytovatelem </w:t>
      </w:r>
      <w:r>
        <w:rPr>
          <w:rFonts w:ascii="Arial" w:hAnsi="Arial"/>
          <w:b/>
          <w:sz w:val="20"/>
        </w:rPr>
        <w:t xml:space="preserve">1537000 </w:t>
      </w:r>
      <w:r>
        <w:rPr>
          <w:rFonts w:ascii="Arial" w:hAnsi="Arial"/>
          <w:i/>
          <w:sz w:val="20"/>
        </w:rPr>
        <w:t xml:space="preserve">Kč. Pro případně dále následující roky řešení Projektu může výše podpory z </w:t>
      </w:r>
      <w:r>
        <w:rPr>
          <w:rFonts w:ascii="Arial" w:hAnsi="Arial"/>
          <w:i/>
          <w:sz w:val="20"/>
        </w:rPr>
        <w:t>veřejných prostředků poskytované Poskytovatelem činit až výše stanovené v Rozpisu grantových prostředků Projektu pro daný rok řešení Projektu, přičemž výše takové podpory je závislá na posouzení oborové komise Poskytovatele, která na základě předložených d</w:t>
      </w:r>
      <w:r>
        <w:rPr>
          <w:rFonts w:ascii="Arial" w:hAnsi="Arial"/>
          <w:i/>
          <w:sz w:val="20"/>
        </w:rPr>
        <w:t>ílčích zpráv a výsledků kontrolní činnosti</w:t>
      </w:r>
    </w:p>
    <w:p w:rsidR="00D53FD1" w:rsidRDefault="00D53FD1">
      <w:pPr>
        <w:spacing w:line="309" w:lineRule="auto"/>
        <w:jc w:val="both"/>
        <w:rPr>
          <w:rFonts w:ascii="Arial" w:hAnsi="Arial"/>
          <w:sz w:val="20"/>
        </w:rPr>
        <w:sectPr w:rsidR="00D53FD1">
          <w:type w:val="continuous"/>
          <w:pgSz w:w="11910" w:h="16840"/>
          <w:pgMar w:top="840" w:right="700" w:bottom="500" w:left="720" w:header="708" w:footer="708" w:gutter="0"/>
          <w:cols w:space="708"/>
        </w:sectPr>
      </w:pPr>
    </w:p>
    <w:p w:rsidR="00D53FD1" w:rsidRDefault="00121879">
      <w:pPr>
        <w:spacing w:before="115" w:line="304" w:lineRule="auto"/>
        <w:ind w:left="741" w:right="29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 xml:space="preserve">Poskytovatele za předchozí kalendářní rok řešení Projektu posoudí, zda jsou pro následující rok řešení Projektu splněny předpoklady pro pokračování podpory Projektu, a to způsobem a podle kritérií </w:t>
      </w:r>
      <w:r>
        <w:rPr>
          <w:rFonts w:ascii="Arial" w:hAnsi="Arial"/>
          <w:i/>
          <w:sz w:val="20"/>
        </w:rPr>
        <w:t>uvedených v článku 4.4. Přílohy 4 příslušné Zadávací dokumentace. Budou-li pro daný rok řešení Projektu splněny předpoklady pro pokračování Projektu, poskytne Poskytovatel Příjemci příslušnou část podpory na řešení Projektu v daném roce řešení Projektu dle</w:t>
      </w:r>
      <w:r>
        <w:rPr>
          <w:rFonts w:ascii="Arial" w:hAnsi="Arial"/>
          <w:i/>
          <w:sz w:val="20"/>
        </w:rPr>
        <w:t xml:space="preserve"> Rozpisu Grantových prostředků Projektu. Nebudou-li dle posouzení  oborové  komise  Poskytovatele  splněny  předpoklady  pro  pokračování  podpory  Projektu     v následujícím roce řešení Projektu, nebo jestliže Příjemce odmítne návrh dodatku ke Smlouvě up</w:t>
      </w:r>
      <w:r>
        <w:rPr>
          <w:rFonts w:ascii="Arial" w:hAnsi="Arial"/>
          <w:i/>
          <w:sz w:val="20"/>
        </w:rPr>
        <w:t>ravující vhodnou změnu v řešení Projektu pro následující rok řešení Projektu nebo změnu v Rozpisu Grantových prostředků Projektu pro následující rok řešení Projektu dle doporučení oborové komise, je Poskytovatel oprávněn vypovědět Smlouvu bez výpovědní dob</w:t>
      </w:r>
      <w:r>
        <w:rPr>
          <w:rFonts w:ascii="Arial" w:hAnsi="Arial"/>
          <w:i/>
          <w:sz w:val="20"/>
        </w:rPr>
        <w:t>y. Výše případné podpory dalšímu účastníkovi, resp. dalším účastníkům pro následující kalendářní roky řešení Projektu je uvedena v Rozpisu grantových prostředků Projektu pro následující kalendářní roky řešení Projektu, který tvoří Přílohu č. 1 a nedílnou s</w:t>
      </w:r>
      <w:r>
        <w:rPr>
          <w:rFonts w:ascii="Arial" w:hAnsi="Arial"/>
          <w:i/>
          <w:sz w:val="20"/>
        </w:rPr>
        <w:t>oučást tohoto Dodatku. Jestliže Poskytovatel poskytuje podporu Příjemci včetně části podpory určené pro dalšího účastníka, je Příjemce povinen poskytnout příslušnému dalšímu účastníkovi část podpory pro něj určenou ve lhůtě a způsobem, které vyplývají ze s</w:t>
      </w:r>
      <w:r>
        <w:rPr>
          <w:rFonts w:ascii="Arial" w:hAnsi="Arial"/>
          <w:i/>
          <w:sz w:val="20"/>
        </w:rPr>
        <w:t>mlouvy o řešení části Projektu mezi nimi uzavřené, případně ze Smlouvy nebo Zadávací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dokumentace."</w:t>
      </w:r>
    </w:p>
    <w:p w:rsidR="00D53FD1" w:rsidRDefault="00121879">
      <w:pPr>
        <w:pStyle w:val="Odstavecseseznamem"/>
        <w:numPr>
          <w:ilvl w:val="0"/>
          <w:numId w:val="5"/>
        </w:numPr>
        <w:tabs>
          <w:tab w:val="left" w:pos="742"/>
        </w:tabs>
        <w:spacing w:line="258" w:lineRule="exact"/>
        <w:ind w:hanging="292"/>
        <w:rPr>
          <w:sz w:val="20"/>
        </w:rPr>
      </w:pPr>
      <w:r>
        <w:rPr>
          <w:sz w:val="20"/>
        </w:rPr>
        <w:t>Nedílnou součástí tohoto Dodatku je následující</w:t>
      </w:r>
      <w:r>
        <w:rPr>
          <w:spacing w:val="-1"/>
          <w:sz w:val="20"/>
        </w:rPr>
        <w:t xml:space="preserve"> </w:t>
      </w:r>
      <w:r>
        <w:rPr>
          <w:sz w:val="20"/>
        </w:rPr>
        <w:t>příloha:</w:t>
      </w:r>
    </w:p>
    <w:p w:rsidR="00D53FD1" w:rsidRDefault="00121879">
      <w:pPr>
        <w:pStyle w:val="Zkladntext"/>
        <w:spacing w:line="292" w:lineRule="exact"/>
        <w:ind w:left="1357"/>
      </w:pPr>
      <w:r>
        <w:pict>
          <v:shape id="_x0000_s1036" style="position:absolute;left:0;text-align:left;margin-left:90pt;margin-top:3.6pt;width:4.65pt;height:4.65pt;z-index:1120;mso-position-horizontal-relative:page" coordorigin="1800,72" coordsize="93,93" path="m1846,72r-18,4l1814,86r-10,14l1800,118r4,18l1814,151r14,10l1846,164r18,-3l1879,151r10,-15l1892,118r-3,-18l1879,86,1864,76r-18,-4xe" fillcolor="black" stroked="f">
            <v:path arrowok="t"/>
            <w10:wrap anchorx="page"/>
          </v:shape>
        </w:pict>
      </w:r>
      <w:r>
        <w:t>Příloha č. 1 – Rozpis grantových prostředků Projektu;</w:t>
      </w:r>
    </w:p>
    <w:p w:rsidR="00D53FD1" w:rsidRDefault="00121879">
      <w:pPr>
        <w:pStyle w:val="Odstavecseseznamem"/>
        <w:numPr>
          <w:ilvl w:val="0"/>
          <w:numId w:val="5"/>
        </w:numPr>
        <w:tabs>
          <w:tab w:val="left" w:pos="742"/>
        </w:tabs>
        <w:spacing w:before="17" w:line="187" w:lineRule="auto"/>
        <w:ind w:right="272" w:hanging="292"/>
        <w:jc w:val="both"/>
        <w:rPr>
          <w:sz w:val="20"/>
        </w:rPr>
      </w:pPr>
      <w:r>
        <w:rPr>
          <w:sz w:val="20"/>
        </w:rPr>
        <w:t>Nedílnou součástí tohoto Dodatku je dílčí zpr</w:t>
      </w:r>
      <w:r>
        <w:rPr>
          <w:sz w:val="20"/>
        </w:rPr>
        <w:t>áva o řešení grantového projektu, kterou se mění návrh Projektu. Odsouhlasení požadovaných prostředků v této dílčí zprávě nezbavuje Příjemce odpovědnosti za soulad veškerých nákladů Projektu s podmínkami uznaných nákladů dle zákonné právní úpravy, se smluv</w:t>
      </w:r>
      <w:r>
        <w:rPr>
          <w:sz w:val="20"/>
        </w:rPr>
        <w:t>ními podmínkami Smlouvy a s podmínkami příslušné Zadávací dokumentace, které musí být vždy dodrženy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jsou</w:t>
      </w:r>
      <w:r>
        <w:rPr>
          <w:spacing w:val="42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dílčí</w:t>
      </w:r>
      <w:r>
        <w:rPr>
          <w:spacing w:val="42"/>
          <w:sz w:val="20"/>
        </w:rPr>
        <w:t xml:space="preserve"> </w:t>
      </w:r>
      <w:r>
        <w:rPr>
          <w:sz w:val="20"/>
        </w:rPr>
        <w:t>zprávě</w:t>
      </w:r>
      <w:r>
        <w:rPr>
          <w:spacing w:val="42"/>
          <w:sz w:val="20"/>
        </w:rPr>
        <w:t xml:space="preserve"> </w:t>
      </w:r>
      <w:r>
        <w:rPr>
          <w:sz w:val="20"/>
        </w:rPr>
        <w:t>nadřazeny.</w:t>
      </w:r>
      <w:r>
        <w:rPr>
          <w:spacing w:val="42"/>
          <w:sz w:val="20"/>
        </w:rPr>
        <w:t xml:space="preserve"> </w:t>
      </w:r>
      <w:r>
        <w:rPr>
          <w:sz w:val="20"/>
        </w:rPr>
        <w:t>Tato</w:t>
      </w:r>
      <w:r>
        <w:rPr>
          <w:spacing w:val="42"/>
          <w:sz w:val="20"/>
        </w:rPr>
        <w:t xml:space="preserve"> </w:t>
      </w:r>
      <w:r>
        <w:rPr>
          <w:sz w:val="20"/>
        </w:rPr>
        <w:t>dílčí</w:t>
      </w:r>
      <w:r>
        <w:rPr>
          <w:spacing w:val="42"/>
          <w:sz w:val="20"/>
        </w:rPr>
        <w:t xml:space="preserve"> </w:t>
      </w:r>
      <w:r>
        <w:rPr>
          <w:sz w:val="20"/>
        </w:rPr>
        <w:t>zpráva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42"/>
          <w:sz w:val="20"/>
        </w:rPr>
        <w:t xml:space="preserve"> </w:t>
      </w:r>
      <w:r>
        <w:rPr>
          <w:sz w:val="20"/>
        </w:rPr>
        <w:t>umístěna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aplikaci</w:t>
      </w:r>
      <w:r>
        <w:rPr>
          <w:spacing w:val="42"/>
          <w:sz w:val="20"/>
        </w:rPr>
        <w:t xml:space="preserve"> </w:t>
      </w:r>
      <w:r>
        <w:rPr>
          <w:sz w:val="20"/>
        </w:rPr>
        <w:t>pro</w:t>
      </w:r>
      <w:r>
        <w:rPr>
          <w:spacing w:val="42"/>
          <w:sz w:val="20"/>
        </w:rPr>
        <w:t xml:space="preserve"> </w:t>
      </w:r>
      <w:r>
        <w:rPr>
          <w:sz w:val="20"/>
        </w:rPr>
        <w:t>podávání</w:t>
      </w:r>
      <w:r>
        <w:rPr>
          <w:spacing w:val="1"/>
          <w:sz w:val="20"/>
        </w:rPr>
        <w:t xml:space="preserve"> </w:t>
      </w:r>
      <w:r>
        <w:rPr>
          <w:sz w:val="20"/>
        </w:rPr>
        <w:t>a správu projektů GRIS na adrese</w:t>
      </w:r>
      <w:hyperlink r:id="rId9">
        <w:r>
          <w:rPr>
            <w:spacing w:val="-1"/>
            <w:sz w:val="20"/>
          </w:rPr>
          <w:t xml:space="preserve"> </w:t>
        </w:r>
        <w:r>
          <w:rPr>
            <w:sz w:val="20"/>
          </w:rPr>
          <w:t>www.gris.cz.</w:t>
        </w:r>
      </w:hyperlink>
    </w:p>
    <w:p w:rsidR="00D53FD1" w:rsidRDefault="00121879">
      <w:pPr>
        <w:pStyle w:val="Odstavecseseznamem"/>
        <w:numPr>
          <w:ilvl w:val="0"/>
          <w:numId w:val="5"/>
        </w:numPr>
        <w:tabs>
          <w:tab w:val="left" w:pos="742"/>
        </w:tabs>
        <w:spacing w:line="187" w:lineRule="auto"/>
        <w:ind w:right="340" w:hanging="292"/>
        <w:jc w:val="both"/>
        <w:rPr>
          <w:sz w:val="20"/>
        </w:rPr>
      </w:pPr>
      <w:r>
        <w:rPr>
          <w:sz w:val="20"/>
        </w:rPr>
        <w:t>Příjemce prohlašuje, že se všichni účastníci Projektu (tj. příjemce, řešitel, případně další účastníci a spoluřešitelé) seznámili s hodnocením dosavadního řešení Projektu a zavazuje se, že další řešení Projektu bude prováděno v souladu s</w:t>
      </w:r>
      <w:r>
        <w:rPr>
          <w:sz w:val="20"/>
        </w:rPr>
        <w:t xml:space="preserve"> těmito</w:t>
      </w:r>
      <w:r>
        <w:rPr>
          <w:spacing w:val="-1"/>
          <w:sz w:val="20"/>
        </w:rPr>
        <w:t xml:space="preserve"> </w:t>
      </w:r>
      <w:r>
        <w:rPr>
          <w:sz w:val="20"/>
        </w:rPr>
        <w:t>doporučeními.</w:t>
      </w:r>
    </w:p>
    <w:p w:rsidR="00D53FD1" w:rsidRDefault="00121879">
      <w:pPr>
        <w:pStyle w:val="Nadpis1"/>
        <w:spacing w:before="241"/>
        <w:ind w:left="4664" w:right="4674"/>
        <w:jc w:val="center"/>
      </w:pPr>
      <w:r>
        <w:t>III.</w:t>
      </w:r>
    </w:p>
    <w:p w:rsidR="00D53FD1" w:rsidRDefault="00D53FD1">
      <w:pPr>
        <w:pStyle w:val="Zkladntext"/>
        <w:spacing w:before="1"/>
        <w:ind w:left="0"/>
        <w:rPr>
          <w:rFonts w:ascii="Arial"/>
          <w:b/>
          <w:sz w:val="13"/>
        </w:rPr>
      </w:pPr>
    </w:p>
    <w:p w:rsidR="00D53FD1" w:rsidRDefault="00121879">
      <w:pPr>
        <w:pStyle w:val="Zkladntext"/>
        <w:spacing w:before="121" w:line="187" w:lineRule="auto"/>
        <w:ind w:left="126" w:right="293"/>
        <w:jc w:val="both"/>
      </w:pPr>
      <w:r>
        <w:t>V souvislosti s vyhláškou Ministerstva financí ČR č. 435/2017 Sb., kterou se mění vyhláška č. 367/2015 Sb., o zásadách a lhůtách finančního vypořádání vztahů se státním rozpočtem, státními finančními aktivy a Národním fondem (vyhláška o finančním vypořádán</w:t>
      </w:r>
      <w:r>
        <w:t>í), ve znění pozdějších předpisů se smluvní strany dohodly na následující změně příslušné Zadávací dokumentace:</w:t>
      </w:r>
    </w:p>
    <w:p w:rsidR="00D53FD1" w:rsidRDefault="00D53FD1">
      <w:pPr>
        <w:spacing w:line="187" w:lineRule="auto"/>
        <w:jc w:val="both"/>
        <w:sectPr w:rsidR="00D53FD1">
          <w:pgSz w:w="11910" w:h="16840"/>
          <w:pgMar w:top="640" w:right="700" w:bottom="500" w:left="720" w:header="0" w:footer="307" w:gutter="0"/>
          <w:cols w:space="708"/>
        </w:sectPr>
      </w:pPr>
    </w:p>
    <w:p w:rsidR="00D53FD1" w:rsidRDefault="00121879">
      <w:pPr>
        <w:pStyle w:val="Zkladntext"/>
        <w:spacing w:line="267" w:lineRule="exact"/>
        <w:ind w:left="126"/>
      </w:pPr>
      <w:r>
        <w:t>Mění se odstavce 2, 6, 7, 10 a 11 článku</w:t>
      </w:r>
    </w:p>
    <w:p w:rsidR="00D53FD1" w:rsidRDefault="00121879">
      <w:pPr>
        <w:pStyle w:val="Nadpis1"/>
        <w:spacing w:before="16"/>
        <w:ind w:left="100"/>
      </w:pPr>
      <w:r>
        <w:rPr>
          <w:b w:val="0"/>
        </w:rPr>
        <w:br w:type="column"/>
      </w:r>
      <w:r>
        <w:t>3. Podmínky pro nakládání s účelovou podporou</w:t>
      </w:r>
    </w:p>
    <w:p w:rsidR="00D53FD1" w:rsidRDefault="00121879">
      <w:pPr>
        <w:pStyle w:val="Zkladntext"/>
        <w:spacing w:line="267" w:lineRule="exact"/>
        <w:ind w:left="69"/>
      </w:pPr>
      <w:r>
        <w:br w:type="column"/>
      </w:r>
      <w:r>
        <w:t>Přílohy 4 příslušné</w:t>
      </w:r>
    </w:p>
    <w:p w:rsidR="00D53FD1" w:rsidRDefault="00D53FD1">
      <w:pPr>
        <w:spacing w:line="267" w:lineRule="exact"/>
        <w:sectPr w:rsidR="00D53FD1">
          <w:type w:val="continuous"/>
          <w:pgSz w:w="11910" w:h="16840"/>
          <w:pgMar w:top="840" w:right="700" w:bottom="500" w:left="720" w:header="708" w:footer="708" w:gutter="0"/>
          <w:cols w:num="3" w:space="708" w:equalWidth="0">
            <w:col w:w="3724" w:space="40"/>
            <w:col w:w="4730" w:space="39"/>
            <w:col w:w="1957"/>
          </w:cols>
        </w:sectPr>
      </w:pPr>
    </w:p>
    <w:p w:rsidR="00D53FD1" w:rsidRDefault="00121879">
      <w:pPr>
        <w:pStyle w:val="Zkladntext"/>
        <w:spacing w:line="296" w:lineRule="exact"/>
        <w:ind w:left="126"/>
      </w:pPr>
      <w:r>
        <w:t>Zadávací dokumentace, a tyto nové odstavce článku 3., Přílohy 4 příslušné Zadávací dokumentace celé nově zní:</w:t>
      </w:r>
    </w:p>
    <w:p w:rsidR="00D53FD1" w:rsidRDefault="00121879">
      <w:pPr>
        <w:pStyle w:val="Zkladntext"/>
        <w:spacing w:before="17" w:line="187" w:lineRule="auto"/>
        <w:ind w:left="126" w:right="275"/>
        <w:jc w:val="both"/>
      </w:pPr>
      <w:r>
        <w:t>„(2) Při čerpání účelové podpory je nutné dodržet základní skladbu prostředků uvedenou ve smlouvě či v rozhodnutí</w:t>
      </w:r>
      <w:r>
        <w:t>. Jestliže se schválený rozpočet grantového projektu svou skladbou nebo výší liší od částek požadovaných v návrhu projektu (resp. upřesněných v příslušné dílčí zprávě), zašle poskytovatel spolu se smlouvou (resp. s dodatkem ke smlouvě či s novým rozhodnutí</w:t>
      </w:r>
      <w:r>
        <w:t>m) schválený upravený rozpis, který je potom pro příjemce závazný.  Není-li  v  této  zadávací  dokumentaci  uvedeno  jinak,  čerpání  podpory  a  jeho  skladba  je v souladu s vyhláškou č. 367/2015 Sb., o zásadách a lhůtách finančního vypořádání vztahů se</w:t>
      </w:r>
      <w:r>
        <w:t xml:space="preserve"> státním rozpočtem, státními finančními aktivy a Národním fondem (vyhláška o finančním vypořádání), kterou se stanoví zásady a termíny finančního vypořádání vztahů se státním rozpočtem, státními finančními aktivy a Národním fondem, závazná s přesností na d</w:t>
      </w:r>
      <w:r>
        <w:t>vě desetinná místa (0,01 Kč) bez ohledu na přesnost údajů uváděných v dílčí   či závěrečné</w:t>
      </w:r>
      <w:r>
        <w:rPr>
          <w:spacing w:val="-1"/>
        </w:rPr>
        <w:t xml:space="preserve"> </w:t>
      </w:r>
      <w:r>
        <w:t>zprávě.</w:t>
      </w:r>
    </w:p>
    <w:p w:rsidR="00D53FD1" w:rsidRDefault="00121879">
      <w:pPr>
        <w:pStyle w:val="Odstavecseseznamem"/>
        <w:numPr>
          <w:ilvl w:val="0"/>
          <w:numId w:val="4"/>
        </w:numPr>
        <w:tabs>
          <w:tab w:val="left" w:pos="454"/>
        </w:tabs>
        <w:spacing w:line="263" w:lineRule="exact"/>
        <w:ind w:firstLine="0"/>
        <w:rPr>
          <w:sz w:val="20"/>
        </w:rPr>
      </w:pPr>
      <w:r>
        <w:rPr>
          <w:sz w:val="20"/>
        </w:rPr>
        <w:t>Příjemce</w:t>
      </w:r>
      <w:r>
        <w:rPr>
          <w:spacing w:val="23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3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23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dílčích,</w:t>
      </w:r>
      <w:r>
        <w:rPr>
          <w:spacing w:val="23"/>
          <w:sz w:val="20"/>
        </w:rPr>
        <w:t xml:space="preserve"> </w:t>
      </w:r>
      <w:r>
        <w:rPr>
          <w:sz w:val="20"/>
        </w:rPr>
        <w:t>resp.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závěrečných</w:t>
      </w:r>
      <w:r>
        <w:rPr>
          <w:spacing w:val="23"/>
          <w:sz w:val="20"/>
        </w:rPr>
        <w:t xml:space="preserve"> </w:t>
      </w:r>
      <w:r>
        <w:rPr>
          <w:sz w:val="20"/>
        </w:rPr>
        <w:t>zprávách</w:t>
      </w:r>
      <w:r>
        <w:rPr>
          <w:spacing w:val="23"/>
          <w:sz w:val="20"/>
        </w:rPr>
        <w:t xml:space="preserve"> </w:t>
      </w:r>
      <w:r>
        <w:rPr>
          <w:sz w:val="20"/>
        </w:rPr>
        <w:t>podrobný</w:t>
      </w:r>
      <w:r>
        <w:rPr>
          <w:spacing w:val="23"/>
          <w:sz w:val="20"/>
        </w:rPr>
        <w:t xml:space="preserve"> </w:t>
      </w:r>
      <w:r>
        <w:rPr>
          <w:sz w:val="20"/>
        </w:rPr>
        <w:t>přehled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</w:p>
    <w:p w:rsidR="00D53FD1" w:rsidRDefault="00121879">
      <w:pPr>
        <w:pStyle w:val="Zkladntext"/>
        <w:spacing w:before="16" w:line="187" w:lineRule="auto"/>
        <w:ind w:left="126" w:right="309"/>
        <w:jc w:val="both"/>
      </w:pPr>
      <w:r>
        <w:t xml:space="preserve">využití uznaných nákladů a poskytnuté účelové podpory </w:t>
      </w:r>
      <w:r>
        <w:t>a o výši nespotřebované poskytnuté účelové podpory převedené do dalších let řešení, včetně výše prostředků příjemcem převedených do fondu účelově určených prostředků účetně vytvořeného v souladu se zákonem o vysokých školách nebo zákonem o veřejných výzkum</w:t>
      </w:r>
      <w:r>
        <w:t>ných institucích, vyjma posledního roku řešení, kdy je nutno vyúčtovat veškeré finanční prostředky přidělené na řešení daného grantového projektu. Uvádějí se přitom údaje o čerpání prostředků příjemce i dalšího účastníka. Případné změny v průběhu roku musí</w:t>
      </w:r>
      <w:r>
        <w:t xml:space="preserve"> být v pravidelných dílčích zprávách odůvodněny.</w:t>
      </w:r>
    </w:p>
    <w:p w:rsidR="00D53FD1" w:rsidRDefault="00D53FD1">
      <w:pPr>
        <w:spacing w:line="187" w:lineRule="auto"/>
        <w:jc w:val="both"/>
        <w:sectPr w:rsidR="00D53FD1">
          <w:type w:val="continuous"/>
          <w:pgSz w:w="11910" w:h="16840"/>
          <w:pgMar w:top="840" w:right="700" w:bottom="500" w:left="720" w:header="708" w:footer="708" w:gutter="0"/>
          <w:cols w:space="708"/>
        </w:sectPr>
      </w:pPr>
    </w:p>
    <w:p w:rsidR="00D53FD1" w:rsidRDefault="00121879">
      <w:pPr>
        <w:pStyle w:val="Odstavecseseznamem"/>
        <w:numPr>
          <w:ilvl w:val="0"/>
          <w:numId w:val="4"/>
        </w:numPr>
        <w:tabs>
          <w:tab w:val="left" w:pos="427"/>
        </w:tabs>
        <w:spacing w:before="94" w:line="187" w:lineRule="auto"/>
        <w:ind w:right="299" w:firstLine="0"/>
        <w:jc w:val="both"/>
        <w:rPr>
          <w:sz w:val="20"/>
        </w:rPr>
      </w:pPr>
      <w:r>
        <w:rPr>
          <w:sz w:val="20"/>
        </w:rPr>
        <w:lastRenderedPageBreak/>
        <w:t>Příjemce je povinen v souladu se zvláštními právními předpisy zaslat poskytovateli podle jeho pokynů podklad pro finanční vypořádání dotací poskytnutých příjemci podle dispozic uvedených na i</w:t>
      </w:r>
      <w:r>
        <w:rPr>
          <w:sz w:val="20"/>
        </w:rPr>
        <w:t>nternetových stránkách poskytovatele. Tyto informace poskytovatel zpracovává a předává Ministerstvu financí pro zúčtování účelové podpory se státním</w:t>
      </w:r>
      <w:r>
        <w:rPr>
          <w:spacing w:val="-1"/>
          <w:sz w:val="20"/>
        </w:rPr>
        <w:t xml:space="preserve"> </w:t>
      </w:r>
      <w:r>
        <w:rPr>
          <w:sz w:val="20"/>
        </w:rPr>
        <w:t>rozpočtem.</w:t>
      </w:r>
    </w:p>
    <w:p w:rsidR="00D53FD1" w:rsidRDefault="00121879">
      <w:pPr>
        <w:pStyle w:val="Odstavecseseznamem"/>
        <w:numPr>
          <w:ilvl w:val="0"/>
          <w:numId w:val="3"/>
        </w:numPr>
        <w:tabs>
          <w:tab w:val="left" w:pos="564"/>
        </w:tabs>
        <w:spacing w:line="187" w:lineRule="auto"/>
        <w:ind w:right="333" w:firstLine="0"/>
        <w:jc w:val="both"/>
        <w:rPr>
          <w:sz w:val="20"/>
        </w:rPr>
      </w:pPr>
      <w:r>
        <w:rPr>
          <w:sz w:val="20"/>
        </w:rPr>
        <w:t>Je-li příjemce na základě zvláštních právních předpisů oprávněn tvořit fond účelově určených prostředků anebo využije-li možnosti převodu nespotřebovaných prostředků do dalších let, je povinen tyto prostředky vyčerpat a zúčtovat nejpozději k poslednímu dni</w:t>
      </w:r>
      <w:r>
        <w:rPr>
          <w:sz w:val="20"/>
        </w:rPr>
        <w:t xml:space="preserve"> posledního kalendářního roku řešení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D53FD1" w:rsidRDefault="00121879">
      <w:pPr>
        <w:pStyle w:val="Odstavecseseznamem"/>
        <w:numPr>
          <w:ilvl w:val="0"/>
          <w:numId w:val="3"/>
        </w:numPr>
        <w:tabs>
          <w:tab w:val="left" w:pos="541"/>
        </w:tabs>
        <w:spacing w:line="187" w:lineRule="auto"/>
        <w:ind w:right="300" w:firstLine="0"/>
        <w:jc w:val="both"/>
        <w:rPr>
          <w:sz w:val="20"/>
        </w:rPr>
      </w:pPr>
      <w:r>
        <w:rPr>
          <w:sz w:val="20"/>
        </w:rPr>
        <w:t>Skončilo-li účtování v oddělené analytické evidenci vedené k danému grantovému projektu k poslednímu dni roku, kdy bylo ukončeno financování projektu, přebytkem, tj. nebyly-li vyčerpány všechny prostředky posk</w:t>
      </w:r>
      <w:r>
        <w:rPr>
          <w:sz w:val="20"/>
        </w:rPr>
        <w:t xml:space="preserve">ytnuté příjemci nebo dalšímu účastníkovi řešení projektu, je příjemce povinen o tomto informovat poskytovatele a vrátit nevyčerpané prostředky za grantový projekt jako celek (včetně všech dalších účastníků) do státního rozpočtu takto (současně je nezbytné </w:t>
      </w:r>
      <w:r>
        <w:rPr>
          <w:sz w:val="20"/>
        </w:rPr>
        <w:t>písemně oznámit platbu podle dispozic uvedených na internetových stránkách poskytovatele, na adrese</w:t>
      </w:r>
      <w:r>
        <w:rPr>
          <w:spacing w:val="-1"/>
          <w:sz w:val="20"/>
        </w:rPr>
        <w:t xml:space="preserve"> </w:t>
      </w:r>
      <w:r>
        <w:rPr>
          <w:sz w:val="20"/>
        </w:rPr>
        <w:t>http://www.gacr.cz):</w:t>
      </w:r>
    </w:p>
    <w:p w:rsidR="00D53FD1" w:rsidRDefault="00121879">
      <w:pPr>
        <w:pStyle w:val="Odstavecseseznamem"/>
        <w:numPr>
          <w:ilvl w:val="1"/>
          <w:numId w:val="3"/>
        </w:numPr>
        <w:tabs>
          <w:tab w:val="left" w:pos="742"/>
        </w:tabs>
        <w:spacing w:before="214" w:line="187" w:lineRule="auto"/>
        <w:ind w:right="294" w:hanging="292"/>
        <w:rPr>
          <w:sz w:val="20"/>
        </w:rPr>
      </w:pPr>
      <w:r>
        <w:rPr>
          <w:sz w:val="20"/>
        </w:rPr>
        <w:t>příjemce, který je organizační složkou státu nebo územně samosprávného celku, vrací nespotřebovanou účelovou podporu na příjmový účet s</w:t>
      </w:r>
      <w:r>
        <w:rPr>
          <w:sz w:val="20"/>
        </w:rPr>
        <w:t>vého</w:t>
      </w:r>
      <w:r>
        <w:rPr>
          <w:spacing w:val="-1"/>
          <w:sz w:val="20"/>
        </w:rPr>
        <w:t xml:space="preserve"> </w:t>
      </w:r>
      <w:r>
        <w:rPr>
          <w:sz w:val="20"/>
        </w:rPr>
        <w:t>zřizovatele;</w:t>
      </w:r>
    </w:p>
    <w:p w:rsidR="00D53FD1" w:rsidRDefault="00121879">
      <w:pPr>
        <w:pStyle w:val="Odstavecseseznamem"/>
        <w:numPr>
          <w:ilvl w:val="1"/>
          <w:numId w:val="3"/>
        </w:numPr>
        <w:tabs>
          <w:tab w:val="left" w:pos="742"/>
        </w:tabs>
        <w:spacing w:line="187" w:lineRule="auto"/>
        <w:ind w:right="337" w:hanging="292"/>
        <w:rPr>
          <w:sz w:val="20"/>
        </w:rPr>
      </w:pPr>
      <w:r>
        <w:rPr>
          <w:sz w:val="20"/>
        </w:rPr>
        <w:t>ostatní příjemci vrací nespotřebované prostředky na účet uvedený na webových stránkách GA ČR, na adrese</w:t>
      </w:r>
      <w:hyperlink r:id="rId10">
        <w:r>
          <w:rPr>
            <w:sz w:val="20"/>
          </w:rPr>
          <w:t xml:space="preserve"> http://www.gacr.cz“</w:t>
        </w:r>
      </w:hyperlink>
    </w:p>
    <w:p w:rsidR="00D53FD1" w:rsidRDefault="00D53FD1">
      <w:pPr>
        <w:pStyle w:val="Zkladntext"/>
        <w:spacing w:before="16"/>
        <w:ind w:left="0"/>
        <w:rPr>
          <w:sz w:val="5"/>
        </w:rPr>
      </w:pPr>
    </w:p>
    <w:p w:rsidR="00D53FD1" w:rsidRDefault="00121879">
      <w:pPr>
        <w:pStyle w:val="Nadpis1"/>
        <w:spacing w:before="137"/>
        <w:ind w:left="5110"/>
      </w:pPr>
      <w:r>
        <w:t>IV.</w:t>
      </w: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before="213" w:line="334" w:lineRule="exact"/>
        <w:ind w:hanging="292"/>
        <w:rPr>
          <w:sz w:val="20"/>
        </w:rPr>
      </w:pPr>
      <w:r>
        <w:rPr>
          <w:sz w:val="20"/>
        </w:rPr>
        <w:t>Ostatní ujednání Smlouvy zůstávají tímto Dodatkem</w:t>
      </w:r>
      <w:r>
        <w:rPr>
          <w:spacing w:val="-1"/>
          <w:sz w:val="20"/>
        </w:rPr>
        <w:t xml:space="preserve"> </w:t>
      </w:r>
      <w:r>
        <w:rPr>
          <w:sz w:val="20"/>
        </w:rPr>
        <w:t>nedotčena.</w:t>
      </w: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before="17" w:line="187" w:lineRule="auto"/>
        <w:ind w:right="291" w:hanging="292"/>
        <w:jc w:val="both"/>
        <w:rPr>
          <w:sz w:val="20"/>
        </w:rPr>
      </w:pPr>
      <w:r>
        <w:rPr>
          <w:sz w:val="20"/>
        </w:rPr>
        <w:t>Poskytova</w:t>
      </w:r>
      <w:r>
        <w:rPr>
          <w:sz w:val="20"/>
        </w:rPr>
        <w:t>tel prohlašuje, že je povinným subjektem dle ustanovení § 2 odst. 1 zákona č. 340/2015 Sb., o registru smluv, ve znění pozdějších předpisů a může mu v souladu s tímto zvláštním právním předpisem vzniknout povinnost uveřejnit tento Dodatek a Smlouvu v regis</w:t>
      </w:r>
      <w:r>
        <w:rPr>
          <w:sz w:val="20"/>
        </w:rPr>
        <w:t>tru smluv. V případě, že povinnost uveřejnit tento Dodatek a Smlouvu náleží dle zákona o registru smluv oběma smluvním stranám, dohodly se smluvní strany na tom, že uveřejnění provede Poskytovatel. Příjemce poskytne Poskytovateli veškerou nezbytnou součinn</w:t>
      </w:r>
      <w:r>
        <w:rPr>
          <w:sz w:val="20"/>
        </w:rPr>
        <w:t>ost při uveřejnění Dodatku a Smlouvy v registru smluv. Tím není dotčeno právo Příjemce uveřejnit příslušnou opravu smluvní dokumentace, která nebyla uveřejněna v souladu se zákonem o registru smluv nebo bylo-li Příjemci doručeno rozhodnutí nadřízeného orgá</w:t>
      </w:r>
      <w:r>
        <w:rPr>
          <w:sz w:val="20"/>
        </w:rPr>
        <w:t>nu nebo soudu, na jehož základě má být neuveřejněná část smluvní dokumentace nebo dotčená metadata poskytnuta podle předpisů upravující svobodný přístup k informacím. Příjemce se zavazuje Poskytovatele o takové opravě informovat a předem s ním tento postup</w:t>
      </w:r>
      <w:r>
        <w:rPr>
          <w:spacing w:val="-1"/>
          <w:sz w:val="20"/>
        </w:rPr>
        <w:t xml:space="preserve"> </w:t>
      </w:r>
      <w:r>
        <w:rPr>
          <w:sz w:val="20"/>
        </w:rPr>
        <w:t>projednat.</w:t>
      </w: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line="262" w:lineRule="exact"/>
        <w:ind w:hanging="292"/>
        <w:rPr>
          <w:sz w:val="20"/>
        </w:rPr>
      </w:pPr>
      <w:r>
        <w:rPr>
          <w:sz w:val="20"/>
        </w:rPr>
        <w:t>Smluvní</w:t>
      </w:r>
      <w:r>
        <w:rPr>
          <w:spacing w:val="50"/>
          <w:sz w:val="20"/>
        </w:rPr>
        <w:t xml:space="preserve"> </w:t>
      </w:r>
      <w:r>
        <w:rPr>
          <w:sz w:val="20"/>
        </w:rPr>
        <w:t>strany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shodly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tom,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50"/>
          <w:sz w:val="20"/>
        </w:rPr>
        <w:t xml:space="preserve"> </w:t>
      </w:r>
      <w:r>
        <w:rPr>
          <w:sz w:val="20"/>
        </w:rPr>
        <w:t>z</w:t>
      </w:r>
      <w:r>
        <w:rPr>
          <w:spacing w:val="50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50"/>
          <w:sz w:val="20"/>
        </w:rPr>
        <w:t xml:space="preserve"> </w:t>
      </w:r>
      <w:r>
        <w:rPr>
          <w:sz w:val="20"/>
        </w:rPr>
        <w:t>jsou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souladu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zvláštními</w:t>
      </w:r>
      <w:r>
        <w:rPr>
          <w:spacing w:val="50"/>
          <w:sz w:val="20"/>
        </w:rPr>
        <w:t xml:space="preserve"> </w:t>
      </w:r>
      <w:r>
        <w:rPr>
          <w:sz w:val="20"/>
        </w:rPr>
        <w:t>právními</w:t>
      </w:r>
      <w:r>
        <w:rPr>
          <w:spacing w:val="50"/>
          <w:sz w:val="20"/>
        </w:rPr>
        <w:t xml:space="preserve"> </w:t>
      </w:r>
      <w:r>
        <w:rPr>
          <w:sz w:val="20"/>
        </w:rPr>
        <w:t>předpisy</w:t>
      </w:r>
    </w:p>
    <w:p w:rsidR="00D53FD1" w:rsidRDefault="00121879">
      <w:pPr>
        <w:pStyle w:val="Zkladntext"/>
        <w:spacing w:before="17" w:line="187" w:lineRule="auto"/>
        <w:ind w:right="297"/>
        <w:jc w:val="both"/>
      </w:pPr>
      <w:r>
        <w:t>vyloučeny některé části smluvní dokumentace, zejména pak Návrh Projektu Příjemce a specifikace finančních náležitostí a to z důvodu: (i) ochrany obchodního tajemství, (ii) ochrany osobních údajů řešitele, spoluřešitele a členů týmů, (iii) ochrany důvěrnost</w:t>
      </w:r>
      <w:r>
        <w:t>i majetkových poměrů řešitele, spoluřešitele a členů týmů, (iv) ochrany práv třetích osob k předmětu práva autorského nebo související s právem autorským,</w:t>
      </w:r>
    </w:p>
    <w:p w:rsidR="00D53FD1" w:rsidRDefault="00121879">
      <w:pPr>
        <w:pStyle w:val="Zkladntext"/>
        <w:spacing w:line="187" w:lineRule="auto"/>
        <w:ind w:right="311"/>
        <w:jc w:val="both"/>
      </w:pPr>
      <w:r>
        <w:t>(v) ochrany práva autorského v držení veřejných institucí, které jsou příjemci nebo spolupříjemci pod</w:t>
      </w:r>
      <w:r>
        <w:t>pory výzkumu a vývoje z veřejných prostředků podle zákona č. 130/2002 Sb., o podpoře výzkumu, experimentálního vývoje a inovací (vi) skutečnosti, že obsahuje technickou předlohu, návod, výkres, projektovou dokumentaci, model, způsob výpočtu jednotkových ce</w:t>
      </w:r>
      <w:r>
        <w:t>n, vzor a výpočet ve smyslu § 3 odst. 2 písm. b) zákona o registru smluv a (vii) že to vylučuje zákon č. 130/2002 Sb., o podpoře výzkumu, experimentálního vývoje a inovací.</w:t>
      </w: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line="268" w:lineRule="exact"/>
        <w:ind w:hanging="292"/>
        <w:rPr>
          <w:sz w:val="20"/>
        </w:rPr>
      </w:pPr>
      <w:r>
        <w:rPr>
          <w:sz w:val="20"/>
        </w:rPr>
        <w:t>Část Zadávací dokumentace, ve které nejsou vymezeny podmínky Veřejné soutěže ve smy</w:t>
      </w:r>
      <w:r>
        <w:rPr>
          <w:sz w:val="20"/>
        </w:rPr>
        <w:t>slu</w:t>
      </w:r>
      <w:r>
        <w:rPr>
          <w:spacing w:val="22"/>
          <w:sz w:val="20"/>
        </w:rPr>
        <w:t xml:space="preserve"> </w:t>
      </w:r>
      <w:r>
        <w:rPr>
          <w:sz w:val="20"/>
        </w:rPr>
        <w:t>ustanovení</w:t>
      </w:r>
    </w:p>
    <w:p w:rsidR="00D53FD1" w:rsidRDefault="00121879">
      <w:pPr>
        <w:pStyle w:val="Zkladntext"/>
        <w:spacing w:before="12" w:line="187" w:lineRule="auto"/>
        <w:ind w:right="313"/>
        <w:jc w:val="both"/>
      </w:pPr>
      <w:r>
        <w:t>§ 17 Zákona, je Poskytovatel oprávněn v přiměřeném rozsahu měnit zasláním písemného oznámení Příjemci, ve kterém Příjemce s takovou změnou obsahu příslušné části Zadávací dokumentace seznámí. Mezi části Zadávací dokumentace, které mohou podl</w:t>
      </w:r>
      <w:r>
        <w:t>éhat takovým změnám, patří zejména Příloha 4 – Podmínky pro řešení grantových projektů. V případě nesouhlasu Příjemce s takovou změnou obsahu příslušné části Zadávací dokumentace je Příjemce oprávněn do 14 dnů od doručení tohoto oznámení navrhnout Poskytov</w:t>
      </w:r>
      <w:r>
        <w:t>ateli zrušení Smlouvy. Pokud Příjemce nevyužije práva navrhnout Poskytovateli zrušení Smlouvy v ujednané lhůtě, je Příjemce povinen se řídit těmito novými podmínkami a to od data doručení tohoto oznámení.</w:t>
      </w:r>
    </w:p>
    <w:p w:rsidR="00D53FD1" w:rsidRDefault="00D53FD1">
      <w:pPr>
        <w:spacing w:line="187" w:lineRule="auto"/>
        <w:jc w:val="both"/>
        <w:sectPr w:rsidR="00D53FD1">
          <w:pgSz w:w="11910" w:h="16840"/>
          <w:pgMar w:top="640" w:right="700" w:bottom="500" w:left="720" w:header="0" w:footer="307" w:gutter="0"/>
          <w:cols w:space="708"/>
        </w:sectPr>
      </w:pP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before="94" w:line="187" w:lineRule="auto"/>
        <w:ind w:right="337" w:hanging="292"/>
        <w:rPr>
          <w:sz w:val="20"/>
        </w:rPr>
      </w:pPr>
      <w:r>
        <w:rPr>
          <w:sz w:val="20"/>
        </w:rPr>
        <w:lastRenderedPageBreak/>
        <w:t>Neplatnost jakéhokoliv ustanovení</w:t>
      </w:r>
      <w:r>
        <w:rPr>
          <w:sz w:val="20"/>
        </w:rPr>
        <w:t xml:space="preserve"> tohoto Dodatku se nedotýká jeho platnosti jako celku nebo platnosti kterékoliv jiné jeho</w:t>
      </w:r>
      <w:r>
        <w:rPr>
          <w:spacing w:val="-1"/>
          <w:sz w:val="20"/>
        </w:rPr>
        <w:t xml:space="preserve"> </w:t>
      </w:r>
      <w:r>
        <w:rPr>
          <w:sz w:val="20"/>
        </w:rPr>
        <w:t>části.</w:t>
      </w: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line="187" w:lineRule="auto"/>
        <w:ind w:right="354" w:hanging="292"/>
        <w:rPr>
          <w:sz w:val="20"/>
        </w:rPr>
      </w:pPr>
      <w:r>
        <w:rPr>
          <w:sz w:val="20"/>
        </w:rPr>
        <w:t>Tento Dodatek nabývá platnosti a účinnosti dnem jeho uzavření, nestanoví-li zvláštní právní předpis  jinak. Tento Dodatek se po uzavření stává nedílnou součást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line="187" w:lineRule="auto"/>
        <w:ind w:right="389" w:hanging="292"/>
        <w:rPr>
          <w:sz w:val="20"/>
        </w:rPr>
      </w:pPr>
      <w:r>
        <w:rPr>
          <w:sz w:val="20"/>
        </w:rPr>
        <w:t>Tento Dodatek je sepsán ve dvou vyhotoveních v českém jazyce s platností originálu, z nichž Poskytovatel a Příjemce obdrží po jednom</w:t>
      </w:r>
      <w:r>
        <w:rPr>
          <w:spacing w:val="-1"/>
          <w:sz w:val="20"/>
        </w:rPr>
        <w:t xml:space="preserve"> </w:t>
      </w:r>
      <w:r>
        <w:rPr>
          <w:sz w:val="20"/>
        </w:rPr>
        <w:t>vyhotovení.</w:t>
      </w:r>
    </w:p>
    <w:p w:rsidR="00D53FD1" w:rsidRDefault="00121879">
      <w:pPr>
        <w:pStyle w:val="Odstavecseseznamem"/>
        <w:numPr>
          <w:ilvl w:val="0"/>
          <w:numId w:val="2"/>
        </w:numPr>
        <w:tabs>
          <w:tab w:val="left" w:pos="742"/>
        </w:tabs>
        <w:spacing w:line="187" w:lineRule="auto"/>
        <w:ind w:right="371" w:hanging="292"/>
        <w:rPr>
          <w:sz w:val="20"/>
        </w:rPr>
      </w:pPr>
      <w:r>
        <w:pict>
          <v:shape id="_x0000_s1035" style="position:absolute;left:0;text-align:left;margin-left:243.55pt;margin-top:86.35pt;width:151.2pt;height:150pt;z-index:-9904;mso-position-horizontal-relative:page" coordorigin="4871,1727" coordsize="3024,3000" o:spt="100" adj="0,,0" path="m5416,4107r-108,60l5214,4227r-80,60l5066,4347r-57,60l4963,4467r-35,60l4902,4567r-18,40l4874,4647r-3,40l4890,4727r39,l4930,4687r11,-40l4962,4607r31,-60l5032,4487r47,-60l5134,4367r62,-60l5264,4227r73,-60l5416,4107xm6228,1727r-64,l6113,1767r-31,60l6066,1907r-6,80l6059,2047r2,60l6068,2187r9,80l6090,2347r15,80l6122,2507r20,80l6164,2687r-2,20l6155,2727r-10,40l6131,2807r-18,60l6092,2927r-25,60l6039,3047r-30,80l5976,3207r-36,80l5902,3367r-39,100l5821,3547r-44,80l5732,3727r-46,80l5639,3907r-49,80l5542,4067r-50,100l5442,4227r-100,160l5293,4447r-49,60l5195,4567r-47,40l5101,4647r-45,40l5012,4707r-42,20l5113,4727r37,-20l5194,4687r46,-40l5289,4587r52,-60l5395,4467r58,-80l5513,4307r63,-100l5642,4087r69,-100l5746,3967r-35,l5778,3847r60,-100l5892,3647r49,-100l5985,3467r39,-100l6059,3307r31,-80l6117,3167r23,-60l6161,3047r18,-60l6194,2947r14,-60l6219,2847r104,l6312,2827r-27,-80l6259,2667r13,-80l6282,2507r-63,l6194,2427r-19,-100l6160,2247r-10,-80l6144,2087r-2,-80l6143,1967r7,-80l6170,1807r37,-60l6279,1747r-51,-20xm7849,3967r-60,l7765,3987r-16,20l7744,4047r5,20l7765,4087r24,20l7849,4107r24,-20l7777,4087r-13,-20l7759,4047r5,-40l7777,3987r96,l7849,3967xm7830,3987r-40,l7790,4087r15,l7805,4047r28,l7851,4027r-46,l7805,4007r36,l7830,3987xm7848,4047r-18,l7836,4087r15,l7848,4067r,-20xm7873,3987r-12,l7872,4007r4,40l7872,4067r-11,20l7873,4087r16,-20l7894,4047r-5,-40l7873,3987xm7848,4007r-15,l7833,4027r18,l7848,4007xm5775,3950r-64,17l5746,3967r29,-17xm5792,3943r-12,4l5775,3950r11,-3l5792,3943xm6323,2847r-104,l6269,2967r51,100l6372,3167r107,160l6532,3387r52,60l6635,3487r49,40l6730,3567r44,20l6814,3627r37,20l6778,3647r-73,20l6014,3847r-77,40l5861,3907r-69,36l5925,3907r309,-80l6315,3827r244,-60l6641,3767r163,-40l7206,3727r-60,-40l7835,3687r-23,-20l7752,3647r-75,-20l7011,3627r-72,-40l6869,3527r-69,-40l6734,3447r-54,-60l6629,3347r-48,-60l6535,3227r-44,-60l6450,3107r-38,-80l6376,2967r-33,-80l6323,2847xm7206,3727r-241,l7045,3747r162,80l7288,3847r78,40l7443,3907r72,l7584,3927r231,l7847,3907r8,-20l7712,3887r-66,-20l7574,3847r-79,-20l7412,3807r-87,-40l7236,3747r-30,-20xm7864,3867r-19,l7823,3887r32,l7864,3867xm7835,3687r-280,l7639,3707r78,l7783,3727r51,20l7866,3787r10,40l7883,3827r6,-20l7893,3787r1,l7885,3747r-28,-40l7835,3687xm7589,3607r-497,l7011,3627r666,l7589,3607xm6312,1987r-10,40l6293,2087r-23,140l6255,2327r-16,80l6219,2507r63,l6290,2427r6,-60l6300,2287r4,-80l6306,2147r3,-80l6312,1987xm6279,1747r-72,l6240,1767r32,40l6298,1867r14,60l6324,1827r-12,-40l6279,174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Smluvní strany závazně prohlašují, že si tento Dodatek přečetly, s jeho obsahem se seznámily a s tí</w:t>
      </w:r>
      <w:r>
        <w:rPr>
          <w:sz w:val="20"/>
        </w:rPr>
        <w:t>mto zcela a bezvýhradně souhlasí. Na důkaz toho připojují smluvní strany svoje</w:t>
      </w:r>
      <w:r>
        <w:rPr>
          <w:spacing w:val="-1"/>
          <w:sz w:val="20"/>
        </w:rPr>
        <w:t xml:space="preserve"> </w:t>
      </w:r>
      <w:r>
        <w:rPr>
          <w:sz w:val="20"/>
        </w:rPr>
        <w:t>podpisy.</w:t>
      </w:r>
    </w:p>
    <w:p w:rsidR="00D53FD1" w:rsidRDefault="00D53FD1">
      <w:pPr>
        <w:pStyle w:val="Zkladntext"/>
        <w:spacing w:before="13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908"/>
        <w:gridCol w:w="7322"/>
      </w:tblGrid>
      <w:tr w:rsidR="00D53FD1">
        <w:trPr>
          <w:trHeight w:val="459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53FD1" w:rsidRDefault="00121879">
            <w:pPr>
              <w:pStyle w:val="TableParagraph"/>
              <w:spacing w:line="360" w:lineRule="exact"/>
              <w:rPr>
                <w:sz w:val="20"/>
              </w:rPr>
            </w:pPr>
            <w:r>
              <w:rPr>
                <w:sz w:val="20"/>
              </w:rPr>
              <w:t>za Příjemce¹</w:t>
            </w:r>
          </w:p>
          <w:p w:rsidR="00D53FD1" w:rsidRDefault="00121879">
            <w:pPr>
              <w:pStyle w:val="TableParagraph"/>
              <w:tabs>
                <w:tab w:val="left" w:pos="5603"/>
              </w:tabs>
              <w:spacing w:before="139" w:line="838" w:lineRule="exact"/>
              <w:ind w:left="1446"/>
              <w:rPr>
                <w:rFonts w:ascii="Calibri" w:hAnsi="Calibri"/>
                <w:sz w:val="50"/>
              </w:rPr>
            </w:pPr>
            <w:r>
              <w:rPr>
                <w:rFonts w:ascii="Calibri" w:hAnsi="Calibri"/>
                <w:w w:val="105"/>
                <w:position w:val="-27"/>
                <w:sz w:val="84"/>
              </w:rPr>
              <w:t>doc.</w:t>
            </w:r>
            <w:r>
              <w:rPr>
                <w:rFonts w:ascii="Calibri" w:hAnsi="Calibri"/>
                <w:spacing w:val="-44"/>
                <w:w w:val="105"/>
                <w:position w:val="-27"/>
                <w:sz w:val="84"/>
              </w:rPr>
              <w:t xml:space="preserve"> </w:t>
            </w:r>
            <w:r>
              <w:rPr>
                <w:rFonts w:ascii="Calibri" w:hAnsi="Calibri"/>
                <w:w w:val="105"/>
                <w:position w:val="-27"/>
                <w:sz w:val="84"/>
              </w:rPr>
              <w:t>Dr.</w:t>
            </w:r>
            <w:r>
              <w:rPr>
                <w:rFonts w:ascii="Calibri" w:hAnsi="Calibri"/>
                <w:w w:val="105"/>
                <w:position w:val="-27"/>
                <w:sz w:val="84"/>
              </w:rPr>
              <w:tab/>
            </w:r>
            <w:r>
              <w:rPr>
                <w:rFonts w:ascii="Calibri" w:hAnsi="Calibri"/>
                <w:w w:val="105"/>
                <w:sz w:val="50"/>
              </w:rPr>
              <w:t>Digitálně</w:t>
            </w:r>
            <w:r>
              <w:rPr>
                <w:rFonts w:ascii="Calibri" w:hAnsi="Calibri"/>
                <w:spacing w:val="-7"/>
                <w:w w:val="105"/>
                <w:sz w:val="50"/>
              </w:rPr>
              <w:t xml:space="preserve"> </w:t>
            </w:r>
            <w:r>
              <w:rPr>
                <w:rFonts w:ascii="Calibri" w:hAnsi="Calibri"/>
                <w:w w:val="105"/>
                <w:sz w:val="50"/>
              </w:rPr>
              <w:t>podepsal</w:t>
            </w:r>
          </w:p>
          <w:p w:rsidR="00D53FD1" w:rsidRDefault="00121879">
            <w:pPr>
              <w:pStyle w:val="TableParagraph"/>
              <w:spacing w:line="302" w:lineRule="exact"/>
              <w:ind w:left="5603"/>
              <w:rPr>
                <w:rFonts w:ascii="Calibri"/>
                <w:sz w:val="50"/>
              </w:rPr>
            </w:pPr>
            <w:r>
              <w:rPr>
                <w:rFonts w:ascii="Calibri"/>
                <w:w w:val="105"/>
                <w:sz w:val="50"/>
              </w:rPr>
              <w:t>doc. Dr. Ing. Pavel</w:t>
            </w:r>
          </w:p>
          <w:p w:rsidR="00D53FD1" w:rsidRDefault="00121879">
            <w:pPr>
              <w:pStyle w:val="TableParagraph"/>
              <w:tabs>
                <w:tab w:val="left" w:pos="5603"/>
              </w:tabs>
              <w:spacing w:line="815" w:lineRule="exact"/>
              <w:ind w:left="1446"/>
              <w:rPr>
                <w:rFonts w:ascii="Calibri" w:hAnsi="Calibri"/>
                <w:sz w:val="50"/>
              </w:rPr>
            </w:pPr>
            <w:r>
              <w:rPr>
                <w:rFonts w:ascii="Calibri" w:hAnsi="Calibri"/>
                <w:w w:val="105"/>
                <w:sz w:val="84"/>
              </w:rPr>
              <w:t>Ing.</w:t>
            </w:r>
            <w:r>
              <w:rPr>
                <w:rFonts w:ascii="Calibri" w:hAnsi="Calibri"/>
                <w:spacing w:val="-30"/>
                <w:w w:val="105"/>
                <w:sz w:val="84"/>
              </w:rPr>
              <w:t xml:space="preserve"> </w:t>
            </w:r>
            <w:r>
              <w:rPr>
                <w:rFonts w:ascii="Calibri" w:hAnsi="Calibri"/>
                <w:w w:val="105"/>
                <w:sz w:val="84"/>
              </w:rPr>
              <w:t>Pavel</w:t>
            </w:r>
            <w:r>
              <w:rPr>
                <w:rFonts w:ascii="Calibri" w:hAnsi="Calibri"/>
                <w:w w:val="105"/>
                <w:sz w:val="84"/>
              </w:rPr>
              <w:tab/>
            </w:r>
            <w:r>
              <w:rPr>
                <w:rFonts w:ascii="Calibri" w:hAnsi="Calibri"/>
                <w:w w:val="105"/>
                <w:position w:val="8"/>
                <w:sz w:val="50"/>
              </w:rPr>
              <w:t>Zemčík</w:t>
            </w:r>
          </w:p>
          <w:p w:rsidR="00D53FD1" w:rsidRDefault="00121879">
            <w:pPr>
              <w:pStyle w:val="TableParagraph"/>
              <w:tabs>
                <w:tab w:val="left" w:pos="5603"/>
              </w:tabs>
              <w:spacing w:before="71" w:line="115" w:lineRule="auto"/>
              <w:ind w:left="1446"/>
              <w:rPr>
                <w:rFonts w:ascii="Calibri" w:hAnsi="Calibri"/>
                <w:sz w:val="50"/>
              </w:rPr>
            </w:pPr>
            <w:r>
              <w:rPr>
                <w:rFonts w:ascii="Calibri" w:hAnsi="Calibri"/>
                <w:w w:val="105"/>
                <w:position w:val="-48"/>
                <w:sz w:val="84"/>
              </w:rPr>
              <w:t>Zemčík</w:t>
            </w:r>
            <w:r>
              <w:rPr>
                <w:rFonts w:ascii="Calibri" w:hAnsi="Calibri"/>
                <w:w w:val="105"/>
                <w:position w:val="-48"/>
                <w:sz w:val="84"/>
              </w:rPr>
              <w:tab/>
            </w:r>
            <w:r>
              <w:rPr>
                <w:rFonts w:ascii="Calibri" w:hAnsi="Calibri"/>
                <w:w w:val="105"/>
                <w:sz w:val="50"/>
              </w:rPr>
              <w:t>Datum:</w:t>
            </w:r>
            <w:r>
              <w:rPr>
                <w:rFonts w:ascii="Calibri" w:hAnsi="Calibri"/>
                <w:spacing w:val="-32"/>
                <w:w w:val="105"/>
                <w:sz w:val="50"/>
              </w:rPr>
              <w:t xml:space="preserve"> </w:t>
            </w:r>
            <w:r>
              <w:rPr>
                <w:rFonts w:ascii="Calibri" w:hAnsi="Calibri"/>
                <w:w w:val="105"/>
                <w:sz w:val="50"/>
              </w:rPr>
              <w:t>2018.03.16</w:t>
            </w:r>
          </w:p>
          <w:p w:rsidR="00D53FD1" w:rsidRDefault="00121879">
            <w:pPr>
              <w:pStyle w:val="TableParagraph"/>
              <w:spacing w:line="398" w:lineRule="exact"/>
              <w:ind w:left="5603"/>
              <w:rPr>
                <w:rFonts w:ascii="Calibri"/>
                <w:sz w:val="50"/>
              </w:rPr>
            </w:pPr>
            <w:r>
              <w:rPr>
                <w:rFonts w:ascii="Calibri"/>
                <w:sz w:val="50"/>
              </w:rPr>
              <w:t>21:17:37 +01'00'</w:t>
            </w:r>
          </w:p>
        </w:tc>
      </w:tr>
      <w:tr w:rsidR="00D53FD1">
        <w:trPr>
          <w:trHeight w:val="1206"/>
        </w:trPr>
        <w:tc>
          <w:tcPr>
            <w:tcW w:w="2908" w:type="dxa"/>
            <w:tcBorders>
              <w:top w:val="single" w:sz="18" w:space="0" w:color="000000"/>
              <w:left w:val="single" w:sz="8" w:space="0" w:color="000000"/>
            </w:tcBorders>
          </w:tcPr>
          <w:p w:rsidR="00D53FD1" w:rsidRDefault="00121879">
            <w:pPr>
              <w:pStyle w:val="TableParagraph"/>
              <w:spacing w:line="340" w:lineRule="exact"/>
              <w:rPr>
                <w:sz w:val="20"/>
              </w:rPr>
            </w:pPr>
            <w:r>
              <w:rPr>
                <w:sz w:val="20"/>
              </w:rPr>
              <w:t>za Poskytovatele</w:t>
            </w:r>
          </w:p>
        </w:tc>
        <w:tc>
          <w:tcPr>
            <w:tcW w:w="7322" w:type="dxa"/>
            <w:tcBorders>
              <w:top w:val="single" w:sz="18" w:space="0" w:color="000000"/>
              <w:righ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D1">
        <w:trPr>
          <w:trHeight w:val="1187"/>
        </w:trPr>
        <w:tc>
          <w:tcPr>
            <w:tcW w:w="2908" w:type="dxa"/>
            <w:tcBorders>
              <w:lef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22" w:type="dxa"/>
            <w:tcBorders>
              <w:righ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sz w:val="28"/>
              </w:rPr>
            </w:pPr>
          </w:p>
          <w:p w:rsidR="00D53FD1" w:rsidRDefault="00D53FD1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53FD1" w:rsidRDefault="00121879">
            <w:pPr>
              <w:pStyle w:val="TableParagraph"/>
              <w:spacing w:before="1" w:line="258" w:lineRule="exact"/>
              <w:ind w:left="1373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RNDr. Alice Valkárová, DrSc.</w:t>
            </w:r>
          </w:p>
        </w:tc>
      </w:tr>
      <w:tr w:rsidR="00D53FD1">
        <w:trPr>
          <w:trHeight w:val="260"/>
        </w:trPr>
        <w:tc>
          <w:tcPr>
            <w:tcW w:w="2908" w:type="dxa"/>
            <w:tcBorders>
              <w:lef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tcBorders>
              <w:right w:val="single" w:sz="8" w:space="0" w:color="000000"/>
            </w:tcBorders>
          </w:tcPr>
          <w:p w:rsidR="00D53FD1" w:rsidRDefault="00121879">
            <w:pPr>
              <w:pStyle w:val="TableParagraph"/>
              <w:spacing w:line="240" w:lineRule="exact"/>
              <w:ind w:left="1373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DN: P575807, Alice, Valkárová, "RNDr.</w:t>
            </w:r>
          </w:p>
        </w:tc>
      </w:tr>
      <w:tr w:rsidR="00D53FD1">
        <w:trPr>
          <w:trHeight w:val="260"/>
        </w:trPr>
        <w:tc>
          <w:tcPr>
            <w:tcW w:w="2908" w:type="dxa"/>
            <w:tcBorders>
              <w:lef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tcBorders>
              <w:right w:val="single" w:sz="8" w:space="0" w:color="000000"/>
            </w:tcBorders>
          </w:tcPr>
          <w:p w:rsidR="00D53FD1" w:rsidRDefault="00121879">
            <w:pPr>
              <w:pStyle w:val="TableParagraph"/>
              <w:spacing w:line="240" w:lineRule="exact"/>
              <w:ind w:left="1373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Alice Valkárová, DrSc.", Předsednictvo</w:t>
            </w:r>
          </w:p>
        </w:tc>
      </w:tr>
      <w:tr w:rsidR="00D53FD1">
        <w:trPr>
          <w:trHeight w:val="260"/>
        </w:trPr>
        <w:tc>
          <w:tcPr>
            <w:tcW w:w="2908" w:type="dxa"/>
            <w:tcBorders>
              <w:lef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tcBorders>
              <w:right w:val="single" w:sz="8" w:space="0" w:color="000000"/>
            </w:tcBorders>
          </w:tcPr>
          <w:p w:rsidR="00D53FD1" w:rsidRDefault="00121879">
            <w:pPr>
              <w:pStyle w:val="TableParagraph"/>
              <w:spacing w:line="240" w:lineRule="exact"/>
              <w:ind w:left="1373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GAČR,0007, GRANTOVÁ AGENTURA</w:t>
            </w:r>
          </w:p>
        </w:tc>
      </w:tr>
      <w:tr w:rsidR="00D53FD1">
        <w:trPr>
          <w:trHeight w:val="260"/>
        </w:trPr>
        <w:tc>
          <w:tcPr>
            <w:tcW w:w="2908" w:type="dxa"/>
            <w:tcBorders>
              <w:lef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tcBorders>
              <w:right w:val="single" w:sz="8" w:space="0" w:color="000000"/>
            </w:tcBorders>
          </w:tcPr>
          <w:p w:rsidR="00D53FD1" w:rsidRDefault="00121879">
            <w:pPr>
              <w:pStyle w:val="TableParagraph"/>
              <w:spacing w:line="240" w:lineRule="exact"/>
              <w:ind w:left="1373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ČESKÉ REPUBLIKY [IČ 48549037],</w:t>
            </w:r>
          </w:p>
        </w:tc>
      </w:tr>
      <w:tr w:rsidR="00D53FD1">
        <w:trPr>
          <w:trHeight w:val="260"/>
        </w:trPr>
        <w:tc>
          <w:tcPr>
            <w:tcW w:w="2908" w:type="dxa"/>
            <w:tcBorders>
              <w:left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  <w:tcBorders>
              <w:right w:val="single" w:sz="8" w:space="0" w:color="000000"/>
            </w:tcBorders>
          </w:tcPr>
          <w:p w:rsidR="00D53FD1" w:rsidRDefault="00121879">
            <w:pPr>
              <w:pStyle w:val="TableParagraph"/>
              <w:spacing w:line="240" w:lineRule="exact"/>
              <w:ind w:left="1373"/>
              <w:rPr>
                <w:rFonts w:ascii="Arial"/>
                <w:sz w:val="25"/>
              </w:rPr>
            </w:pPr>
            <w:r>
              <w:rPr>
                <w:rFonts w:ascii="Arial"/>
                <w:sz w:val="25"/>
              </w:rPr>
              <w:t>NTRCZ-48549037, CZ</w:t>
            </w:r>
          </w:p>
        </w:tc>
      </w:tr>
      <w:tr w:rsidR="00D53FD1">
        <w:trPr>
          <w:trHeight w:val="896"/>
        </w:trPr>
        <w:tc>
          <w:tcPr>
            <w:tcW w:w="2908" w:type="dxa"/>
            <w:tcBorders>
              <w:left w:val="single" w:sz="8" w:space="0" w:color="000000"/>
              <w:bottom w:val="single" w:sz="8" w:space="0" w:color="000000"/>
            </w:tcBorders>
          </w:tcPr>
          <w:p w:rsidR="00D53FD1" w:rsidRDefault="00D53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22" w:type="dxa"/>
            <w:tcBorders>
              <w:bottom w:val="single" w:sz="8" w:space="0" w:color="000000"/>
              <w:right w:val="single" w:sz="8" w:space="0" w:color="000000"/>
            </w:tcBorders>
          </w:tcPr>
          <w:p w:rsidR="00D53FD1" w:rsidRDefault="00121879">
            <w:pPr>
              <w:pStyle w:val="TableParagraph"/>
              <w:spacing w:line="269" w:lineRule="exact"/>
              <w:ind w:left="1373"/>
              <w:rPr>
                <w:rFonts w:ascii="Arial"/>
                <w:sz w:val="25"/>
              </w:rPr>
            </w:pPr>
            <w:r>
              <w:rPr>
                <w:rFonts w:ascii="Arial"/>
                <w:sz w:val="25"/>
              </w:rPr>
              <w:t>05.03.2018 15:14:12</w:t>
            </w:r>
          </w:p>
        </w:tc>
      </w:tr>
    </w:tbl>
    <w:p w:rsidR="00D53FD1" w:rsidRDefault="00D53FD1">
      <w:pPr>
        <w:pStyle w:val="Zkladntext"/>
        <w:spacing w:before="5"/>
        <w:ind w:left="0"/>
        <w:rPr>
          <w:sz w:val="3"/>
        </w:rPr>
      </w:pPr>
    </w:p>
    <w:p w:rsidR="00D53FD1" w:rsidRDefault="00121879">
      <w:pPr>
        <w:pStyle w:val="Zkladntext"/>
        <w:spacing w:line="76" w:lineRule="exact"/>
        <w:ind w:left="103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31" style="width:511.55pt;height:2.3pt;mso-position-horizontal-relative:char;mso-position-vertical-relative:line" coordsize="10231,46">
            <v:line id="_x0000_s1034" style="position:absolute" from="8,8" to="10223,8" strokeweight=".27128mm"/>
            <v:line id="_x0000_s1033" style="position:absolute" from="0,23" to="10231,23" strokeweight=".81103mm"/>
            <v:line id="_x0000_s1032" style="position:absolute" from="10215,23" to="10231,23" strokeweight="1.53pt"/>
            <w10:wrap type="none"/>
            <w10:anchorlock/>
          </v:group>
        </w:pict>
      </w:r>
    </w:p>
    <w:p w:rsidR="00D53FD1" w:rsidRDefault="00121879">
      <w:pPr>
        <w:pStyle w:val="Zkladntext"/>
        <w:spacing w:before="107" w:line="187" w:lineRule="auto"/>
        <w:ind w:left="126" w:right="511"/>
      </w:pPr>
      <w:r>
        <w:pict>
          <v:group id="_x0000_s1027" style="position:absolute;left:0;text-align:left;margin-left:41.95pt;margin-top:38.5pt;width:511.55pt;height:2.35pt;z-index:1168;mso-wrap-distance-left:0;mso-wrap-distance-right:0;mso-position-horizontal-relative:page" coordorigin="839,770" coordsize="10231,47">
            <v:line id="_x0000_s1030" style="position:absolute" from="846,777" to="11062,777" strokeweight=".27128mm"/>
            <v:line id="_x0000_s1029" style="position:absolute" from="839,793" to="11069,793" strokeweight=".81456mm"/>
            <v:line id="_x0000_s1028" style="position:absolute" from="11062,777" to="11062,808" strokeweight=".27128mm"/>
            <w10:wrap type="topAndBottom" anchorx="page"/>
          </v:group>
        </w:pict>
      </w:r>
      <w:r>
        <w:t>1 U Příjemce – právnické osoby nebo organizační složky státu nebo územně samosprávného celku uveďte rovněž jméno, příjmení a funkci osoby oprávněné tuto právnickou osobu</w:t>
      </w:r>
      <w:r>
        <w:rPr>
          <w:spacing w:val="-1"/>
        </w:rPr>
        <w:t xml:space="preserve"> </w:t>
      </w:r>
      <w:r>
        <w:t>zastupovat.</w:t>
      </w:r>
    </w:p>
    <w:p w:rsidR="00D53FD1" w:rsidRDefault="00D53FD1">
      <w:pPr>
        <w:spacing w:line="187" w:lineRule="auto"/>
        <w:sectPr w:rsidR="00D53FD1">
          <w:pgSz w:w="11910" w:h="16840"/>
          <w:pgMar w:top="640" w:right="700" w:bottom="500" w:left="720" w:header="0" w:footer="307" w:gutter="0"/>
          <w:cols w:space="708"/>
        </w:sectPr>
      </w:pPr>
    </w:p>
    <w:p w:rsidR="00D53FD1" w:rsidRDefault="00121879">
      <w:pPr>
        <w:pStyle w:val="Nadpis1"/>
        <w:spacing w:before="126" w:line="304" w:lineRule="auto"/>
        <w:ind w:left="4541" w:right="511" w:hanging="4185"/>
      </w:pPr>
      <w:r>
        <w:lastRenderedPageBreak/>
        <w:t>Příloha č. 1 k D</w:t>
      </w:r>
      <w:r>
        <w:t>odatku ke Smlouvě o poskytnutí dotace na podporu grantového projektu č. 17-23870Y panelu č. P202</w:t>
      </w:r>
    </w:p>
    <w:p w:rsidR="00D53FD1" w:rsidRDefault="00121879">
      <w:pPr>
        <w:pStyle w:val="Zkladntext"/>
        <w:ind w:left="126"/>
      </w:pPr>
      <w:r>
        <w:t>XXXXXXXXXXXXXXXXX</w:t>
      </w:r>
      <w:bookmarkStart w:id="0" w:name="_GoBack"/>
      <w:bookmarkEnd w:id="0"/>
    </w:p>
    <w:sectPr w:rsidR="00D53FD1">
      <w:pgSz w:w="11910" w:h="16840"/>
      <w:pgMar w:top="860" w:right="700" w:bottom="500" w:left="720" w:header="0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1879">
      <w:r>
        <w:separator/>
      </w:r>
    </w:p>
  </w:endnote>
  <w:endnote w:type="continuationSeparator" w:id="0">
    <w:p w:rsidR="00000000" w:rsidRDefault="0012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D1" w:rsidRDefault="00121879">
    <w:pPr>
      <w:pStyle w:val="Zkladn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9pt;margin-top:815.2pt;width:375.65pt;height:16.35pt;z-index:-10072;mso-position-horizontal-relative:page;mso-position-vertical-relative:page" filled="f" stroked="f">
          <v:textbox inset="0,0,0,0">
            <w:txbxContent>
              <w:p w:rsidR="00D53FD1" w:rsidRDefault="00121879">
                <w:pPr>
                  <w:pStyle w:val="Zkladntext"/>
                  <w:spacing w:line="326" w:lineRule="exact"/>
                  <w:ind w:left="20"/>
                </w:pPr>
                <w:r>
                  <w:t>GRIS BACK ENGINE, vzor 2.1.1 © 2014-2017, Grantová Agentura České Republiky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1.85pt;margin-top:815.2pt;width:17.8pt;height:16.35pt;z-index:-10048;mso-position-horizontal-relative:page;mso-position-vertical-relative:page" filled="f" stroked="f">
          <v:textbox inset="0,0,0,0">
            <w:txbxContent>
              <w:p w:rsidR="00D53FD1" w:rsidRDefault="00121879">
                <w:pPr>
                  <w:pStyle w:val="Zkladntext"/>
                  <w:spacing w:line="326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1879">
      <w:r>
        <w:separator/>
      </w:r>
    </w:p>
  </w:footnote>
  <w:footnote w:type="continuationSeparator" w:id="0">
    <w:p w:rsidR="00000000" w:rsidRDefault="0012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78E"/>
    <w:multiLevelType w:val="hybridMultilevel"/>
    <w:tmpl w:val="CFC2C08C"/>
    <w:lvl w:ilvl="0" w:tplc="3B769EC8">
      <w:start w:val="6"/>
      <w:numFmt w:val="decimal"/>
      <w:lvlText w:val="(%1)"/>
      <w:lvlJc w:val="left"/>
      <w:pPr>
        <w:ind w:left="126" w:hanging="328"/>
        <w:jc w:val="left"/>
      </w:pPr>
      <w:rPr>
        <w:rFonts w:ascii="Arial Unicode MS" w:eastAsia="Arial Unicode MS" w:hAnsi="Arial Unicode MS" w:cs="Arial Unicode MS" w:hint="default"/>
        <w:w w:val="99"/>
        <w:sz w:val="20"/>
        <w:szCs w:val="20"/>
      </w:rPr>
    </w:lvl>
    <w:lvl w:ilvl="1" w:tplc="E842D37A">
      <w:numFmt w:val="bullet"/>
      <w:lvlText w:val="•"/>
      <w:lvlJc w:val="left"/>
      <w:pPr>
        <w:ind w:left="1156" w:hanging="328"/>
      </w:pPr>
      <w:rPr>
        <w:rFonts w:hint="default"/>
      </w:rPr>
    </w:lvl>
    <w:lvl w:ilvl="2" w:tplc="A1FE3F34">
      <w:numFmt w:val="bullet"/>
      <w:lvlText w:val="•"/>
      <w:lvlJc w:val="left"/>
      <w:pPr>
        <w:ind w:left="2193" w:hanging="328"/>
      </w:pPr>
      <w:rPr>
        <w:rFonts w:hint="default"/>
      </w:rPr>
    </w:lvl>
    <w:lvl w:ilvl="3" w:tplc="FD74D8A4">
      <w:numFmt w:val="bullet"/>
      <w:lvlText w:val="•"/>
      <w:lvlJc w:val="left"/>
      <w:pPr>
        <w:ind w:left="3230" w:hanging="328"/>
      </w:pPr>
      <w:rPr>
        <w:rFonts w:hint="default"/>
      </w:rPr>
    </w:lvl>
    <w:lvl w:ilvl="4" w:tplc="85081AE8">
      <w:numFmt w:val="bullet"/>
      <w:lvlText w:val="•"/>
      <w:lvlJc w:val="left"/>
      <w:pPr>
        <w:ind w:left="4267" w:hanging="328"/>
      </w:pPr>
      <w:rPr>
        <w:rFonts w:hint="default"/>
      </w:rPr>
    </w:lvl>
    <w:lvl w:ilvl="5" w:tplc="9C88B754">
      <w:numFmt w:val="bullet"/>
      <w:lvlText w:val="•"/>
      <w:lvlJc w:val="left"/>
      <w:pPr>
        <w:ind w:left="5303" w:hanging="328"/>
      </w:pPr>
      <w:rPr>
        <w:rFonts w:hint="default"/>
      </w:rPr>
    </w:lvl>
    <w:lvl w:ilvl="6" w:tplc="86C6BB1A">
      <w:numFmt w:val="bullet"/>
      <w:lvlText w:val="•"/>
      <w:lvlJc w:val="left"/>
      <w:pPr>
        <w:ind w:left="6340" w:hanging="328"/>
      </w:pPr>
      <w:rPr>
        <w:rFonts w:hint="default"/>
      </w:rPr>
    </w:lvl>
    <w:lvl w:ilvl="7" w:tplc="8332BD4E">
      <w:numFmt w:val="bullet"/>
      <w:lvlText w:val="•"/>
      <w:lvlJc w:val="left"/>
      <w:pPr>
        <w:ind w:left="7377" w:hanging="328"/>
      </w:pPr>
      <w:rPr>
        <w:rFonts w:hint="default"/>
      </w:rPr>
    </w:lvl>
    <w:lvl w:ilvl="8" w:tplc="E5E04A28">
      <w:numFmt w:val="bullet"/>
      <w:lvlText w:val="•"/>
      <w:lvlJc w:val="left"/>
      <w:pPr>
        <w:ind w:left="8414" w:hanging="328"/>
      </w:pPr>
      <w:rPr>
        <w:rFonts w:hint="default"/>
      </w:rPr>
    </w:lvl>
  </w:abstractNum>
  <w:abstractNum w:abstractNumId="1" w15:restartNumberingAfterBreak="0">
    <w:nsid w:val="1FEE2CA2"/>
    <w:multiLevelType w:val="hybridMultilevel"/>
    <w:tmpl w:val="E35E3BA0"/>
    <w:lvl w:ilvl="0" w:tplc="D60C164A">
      <w:start w:val="1"/>
      <w:numFmt w:val="decimal"/>
      <w:lvlText w:val="%1."/>
      <w:lvlJc w:val="left"/>
      <w:pPr>
        <w:ind w:left="741" w:hanging="293"/>
        <w:jc w:val="left"/>
      </w:pPr>
      <w:rPr>
        <w:rFonts w:ascii="Arial Unicode MS" w:eastAsia="Arial Unicode MS" w:hAnsi="Arial Unicode MS" w:cs="Arial Unicode MS" w:hint="default"/>
        <w:w w:val="99"/>
        <w:sz w:val="20"/>
        <w:szCs w:val="20"/>
      </w:rPr>
    </w:lvl>
    <w:lvl w:ilvl="1" w:tplc="6798A67A">
      <w:numFmt w:val="bullet"/>
      <w:lvlText w:val="•"/>
      <w:lvlJc w:val="left"/>
      <w:pPr>
        <w:ind w:left="1714" w:hanging="293"/>
      </w:pPr>
      <w:rPr>
        <w:rFonts w:hint="default"/>
      </w:rPr>
    </w:lvl>
    <w:lvl w:ilvl="2" w:tplc="22521640">
      <w:numFmt w:val="bullet"/>
      <w:lvlText w:val="•"/>
      <w:lvlJc w:val="left"/>
      <w:pPr>
        <w:ind w:left="2689" w:hanging="293"/>
      </w:pPr>
      <w:rPr>
        <w:rFonts w:hint="default"/>
      </w:rPr>
    </w:lvl>
    <w:lvl w:ilvl="3" w:tplc="D9A88E86">
      <w:numFmt w:val="bullet"/>
      <w:lvlText w:val="•"/>
      <w:lvlJc w:val="left"/>
      <w:pPr>
        <w:ind w:left="3664" w:hanging="293"/>
      </w:pPr>
      <w:rPr>
        <w:rFonts w:hint="default"/>
      </w:rPr>
    </w:lvl>
    <w:lvl w:ilvl="4" w:tplc="4A08897E">
      <w:numFmt w:val="bullet"/>
      <w:lvlText w:val="•"/>
      <w:lvlJc w:val="left"/>
      <w:pPr>
        <w:ind w:left="4639" w:hanging="293"/>
      </w:pPr>
      <w:rPr>
        <w:rFonts w:hint="default"/>
      </w:rPr>
    </w:lvl>
    <w:lvl w:ilvl="5" w:tplc="312234EA">
      <w:numFmt w:val="bullet"/>
      <w:lvlText w:val="•"/>
      <w:lvlJc w:val="left"/>
      <w:pPr>
        <w:ind w:left="5613" w:hanging="293"/>
      </w:pPr>
      <w:rPr>
        <w:rFonts w:hint="default"/>
      </w:rPr>
    </w:lvl>
    <w:lvl w:ilvl="6" w:tplc="4C246EE0">
      <w:numFmt w:val="bullet"/>
      <w:lvlText w:val="•"/>
      <w:lvlJc w:val="left"/>
      <w:pPr>
        <w:ind w:left="6588" w:hanging="293"/>
      </w:pPr>
      <w:rPr>
        <w:rFonts w:hint="default"/>
      </w:rPr>
    </w:lvl>
    <w:lvl w:ilvl="7" w:tplc="FED0FFAE">
      <w:numFmt w:val="bullet"/>
      <w:lvlText w:val="•"/>
      <w:lvlJc w:val="left"/>
      <w:pPr>
        <w:ind w:left="7563" w:hanging="293"/>
      </w:pPr>
      <w:rPr>
        <w:rFonts w:hint="default"/>
      </w:rPr>
    </w:lvl>
    <w:lvl w:ilvl="8" w:tplc="7CD8D438">
      <w:numFmt w:val="bullet"/>
      <w:lvlText w:val="•"/>
      <w:lvlJc w:val="left"/>
      <w:pPr>
        <w:ind w:left="8538" w:hanging="293"/>
      </w:pPr>
      <w:rPr>
        <w:rFonts w:hint="default"/>
      </w:rPr>
    </w:lvl>
  </w:abstractNum>
  <w:abstractNum w:abstractNumId="2" w15:restartNumberingAfterBreak="0">
    <w:nsid w:val="27A2224F"/>
    <w:multiLevelType w:val="hybridMultilevel"/>
    <w:tmpl w:val="DD48A65E"/>
    <w:lvl w:ilvl="0" w:tplc="CE44A8A0">
      <w:start w:val="1"/>
      <w:numFmt w:val="decimal"/>
      <w:lvlText w:val="%1."/>
      <w:lvlJc w:val="left"/>
      <w:pPr>
        <w:ind w:left="741" w:hanging="293"/>
        <w:jc w:val="left"/>
      </w:pPr>
      <w:rPr>
        <w:rFonts w:ascii="Arial Unicode MS" w:eastAsia="Arial Unicode MS" w:hAnsi="Arial Unicode MS" w:cs="Arial Unicode MS" w:hint="default"/>
        <w:spacing w:val="-21"/>
        <w:w w:val="99"/>
        <w:sz w:val="20"/>
        <w:szCs w:val="20"/>
      </w:rPr>
    </w:lvl>
    <w:lvl w:ilvl="1" w:tplc="85C075B4">
      <w:numFmt w:val="bullet"/>
      <w:lvlText w:val="•"/>
      <w:lvlJc w:val="left"/>
      <w:pPr>
        <w:ind w:left="1714" w:hanging="293"/>
      </w:pPr>
      <w:rPr>
        <w:rFonts w:hint="default"/>
      </w:rPr>
    </w:lvl>
    <w:lvl w:ilvl="2" w:tplc="F4F05520">
      <w:numFmt w:val="bullet"/>
      <w:lvlText w:val="•"/>
      <w:lvlJc w:val="left"/>
      <w:pPr>
        <w:ind w:left="2689" w:hanging="293"/>
      </w:pPr>
      <w:rPr>
        <w:rFonts w:hint="default"/>
      </w:rPr>
    </w:lvl>
    <w:lvl w:ilvl="3" w:tplc="3EF24C30">
      <w:numFmt w:val="bullet"/>
      <w:lvlText w:val="•"/>
      <w:lvlJc w:val="left"/>
      <w:pPr>
        <w:ind w:left="3664" w:hanging="293"/>
      </w:pPr>
      <w:rPr>
        <w:rFonts w:hint="default"/>
      </w:rPr>
    </w:lvl>
    <w:lvl w:ilvl="4" w:tplc="3D1E29D0">
      <w:numFmt w:val="bullet"/>
      <w:lvlText w:val="•"/>
      <w:lvlJc w:val="left"/>
      <w:pPr>
        <w:ind w:left="4639" w:hanging="293"/>
      </w:pPr>
      <w:rPr>
        <w:rFonts w:hint="default"/>
      </w:rPr>
    </w:lvl>
    <w:lvl w:ilvl="5" w:tplc="7288702A">
      <w:numFmt w:val="bullet"/>
      <w:lvlText w:val="•"/>
      <w:lvlJc w:val="left"/>
      <w:pPr>
        <w:ind w:left="5613" w:hanging="293"/>
      </w:pPr>
      <w:rPr>
        <w:rFonts w:hint="default"/>
      </w:rPr>
    </w:lvl>
    <w:lvl w:ilvl="6" w:tplc="63FAF86A">
      <w:numFmt w:val="bullet"/>
      <w:lvlText w:val="•"/>
      <w:lvlJc w:val="left"/>
      <w:pPr>
        <w:ind w:left="6588" w:hanging="293"/>
      </w:pPr>
      <w:rPr>
        <w:rFonts w:hint="default"/>
      </w:rPr>
    </w:lvl>
    <w:lvl w:ilvl="7" w:tplc="B5F888A4">
      <w:numFmt w:val="bullet"/>
      <w:lvlText w:val="•"/>
      <w:lvlJc w:val="left"/>
      <w:pPr>
        <w:ind w:left="7563" w:hanging="293"/>
      </w:pPr>
      <w:rPr>
        <w:rFonts w:hint="default"/>
      </w:rPr>
    </w:lvl>
    <w:lvl w:ilvl="8" w:tplc="81ECB62A">
      <w:numFmt w:val="bullet"/>
      <w:lvlText w:val="•"/>
      <w:lvlJc w:val="left"/>
      <w:pPr>
        <w:ind w:left="8538" w:hanging="293"/>
      </w:pPr>
      <w:rPr>
        <w:rFonts w:hint="default"/>
      </w:rPr>
    </w:lvl>
  </w:abstractNum>
  <w:abstractNum w:abstractNumId="3" w15:restartNumberingAfterBreak="0">
    <w:nsid w:val="754813CD"/>
    <w:multiLevelType w:val="hybridMultilevel"/>
    <w:tmpl w:val="9BD4B74E"/>
    <w:lvl w:ilvl="0" w:tplc="C660F6B8">
      <w:start w:val="1"/>
      <w:numFmt w:val="decimal"/>
      <w:lvlText w:val="%1."/>
      <w:lvlJc w:val="left"/>
      <w:pPr>
        <w:ind w:left="741" w:hanging="293"/>
        <w:jc w:val="left"/>
      </w:pPr>
      <w:rPr>
        <w:rFonts w:ascii="Arial Unicode MS" w:eastAsia="Arial Unicode MS" w:hAnsi="Arial Unicode MS" w:cs="Arial Unicode MS" w:hint="default"/>
        <w:spacing w:val="-21"/>
        <w:w w:val="99"/>
        <w:sz w:val="20"/>
        <w:szCs w:val="20"/>
      </w:rPr>
    </w:lvl>
    <w:lvl w:ilvl="1" w:tplc="72DC010E">
      <w:numFmt w:val="bullet"/>
      <w:lvlText w:val="•"/>
      <w:lvlJc w:val="left"/>
      <w:pPr>
        <w:ind w:left="1714" w:hanging="293"/>
      </w:pPr>
      <w:rPr>
        <w:rFonts w:hint="default"/>
      </w:rPr>
    </w:lvl>
    <w:lvl w:ilvl="2" w:tplc="BFAA576A">
      <w:numFmt w:val="bullet"/>
      <w:lvlText w:val="•"/>
      <w:lvlJc w:val="left"/>
      <w:pPr>
        <w:ind w:left="2689" w:hanging="293"/>
      </w:pPr>
      <w:rPr>
        <w:rFonts w:hint="default"/>
      </w:rPr>
    </w:lvl>
    <w:lvl w:ilvl="3" w:tplc="F028D2D8">
      <w:numFmt w:val="bullet"/>
      <w:lvlText w:val="•"/>
      <w:lvlJc w:val="left"/>
      <w:pPr>
        <w:ind w:left="3664" w:hanging="293"/>
      </w:pPr>
      <w:rPr>
        <w:rFonts w:hint="default"/>
      </w:rPr>
    </w:lvl>
    <w:lvl w:ilvl="4" w:tplc="25242200">
      <w:numFmt w:val="bullet"/>
      <w:lvlText w:val="•"/>
      <w:lvlJc w:val="left"/>
      <w:pPr>
        <w:ind w:left="4639" w:hanging="293"/>
      </w:pPr>
      <w:rPr>
        <w:rFonts w:hint="default"/>
      </w:rPr>
    </w:lvl>
    <w:lvl w:ilvl="5" w:tplc="9FECB120">
      <w:numFmt w:val="bullet"/>
      <w:lvlText w:val="•"/>
      <w:lvlJc w:val="left"/>
      <w:pPr>
        <w:ind w:left="5613" w:hanging="293"/>
      </w:pPr>
      <w:rPr>
        <w:rFonts w:hint="default"/>
      </w:rPr>
    </w:lvl>
    <w:lvl w:ilvl="6" w:tplc="AA1A58A0">
      <w:numFmt w:val="bullet"/>
      <w:lvlText w:val="•"/>
      <w:lvlJc w:val="left"/>
      <w:pPr>
        <w:ind w:left="6588" w:hanging="293"/>
      </w:pPr>
      <w:rPr>
        <w:rFonts w:hint="default"/>
      </w:rPr>
    </w:lvl>
    <w:lvl w:ilvl="7" w:tplc="7CD67A86">
      <w:numFmt w:val="bullet"/>
      <w:lvlText w:val="•"/>
      <w:lvlJc w:val="left"/>
      <w:pPr>
        <w:ind w:left="7563" w:hanging="293"/>
      </w:pPr>
      <w:rPr>
        <w:rFonts w:hint="default"/>
      </w:rPr>
    </w:lvl>
    <w:lvl w:ilvl="8" w:tplc="0D0CE662">
      <w:numFmt w:val="bullet"/>
      <w:lvlText w:val="•"/>
      <w:lvlJc w:val="left"/>
      <w:pPr>
        <w:ind w:left="8538" w:hanging="293"/>
      </w:pPr>
      <w:rPr>
        <w:rFonts w:hint="default"/>
      </w:rPr>
    </w:lvl>
  </w:abstractNum>
  <w:abstractNum w:abstractNumId="4" w15:restartNumberingAfterBreak="0">
    <w:nsid w:val="7708398B"/>
    <w:multiLevelType w:val="hybridMultilevel"/>
    <w:tmpl w:val="B712AD3C"/>
    <w:lvl w:ilvl="0" w:tplc="7616BFA6">
      <w:start w:val="10"/>
      <w:numFmt w:val="decimal"/>
      <w:lvlText w:val="(%1)"/>
      <w:lvlJc w:val="left"/>
      <w:pPr>
        <w:ind w:left="126" w:hanging="438"/>
        <w:jc w:val="left"/>
      </w:pPr>
      <w:rPr>
        <w:rFonts w:ascii="Arial Unicode MS" w:eastAsia="Arial Unicode MS" w:hAnsi="Arial Unicode MS" w:cs="Arial Unicode MS" w:hint="default"/>
        <w:w w:val="99"/>
        <w:sz w:val="20"/>
        <w:szCs w:val="20"/>
      </w:rPr>
    </w:lvl>
    <w:lvl w:ilvl="1" w:tplc="F8EC2FD4">
      <w:start w:val="1"/>
      <w:numFmt w:val="decimal"/>
      <w:lvlText w:val="%2."/>
      <w:lvlJc w:val="left"/>
      <w:pPr>
        <w:ind w:left="741" w:hanging="293"/>
        <w:jc w:val="left"/>
      </w:pPr>
      <w:rPr>
        <w:rFonts w:ascii="Arial Unicode MS" w:eastAsia="Arial Unicode MS" w:hAnsi="Arial Unicode MS" w:cs="Arial Unicode MS" w:hint="default"/>
        <w:w w:val="99"/>
        <w:sz w:val="20"/>
        <w:szCs w:val="20"/>
      </w:rPr>
    </w:lvl>
    <w:lvl w:ilvl="2" w:tplc="43AA5AA8">
      <w:numFmt w:val="bullet"/>
      <w:lvlText w:val="•"/>
      <w:lvlJc w:val="left"/>
      <w:pPr>
        <w:ind w:left="1823" w:hanging="293"/>
      </w:pPr>
      <w:rPr>
        <w:rFonts w:hint="default"/>
      </w:rPr>
    </w:lvl>
    <w:lvl w:ilvl="3" w:tplc="757A2936">
      <w:numFmt w:val="bullet"/>
      <w:lvlText w:val="•"/>
      <w:lvlJc w:val="left"/>
      <w:pPr>
        <w:ind w:left="2906" w:hanging="293"/>
      </w:pPr>
      <w:rPr>
        <w:rFonts w:hint="default"/>
      </w:rPr>
    </w:lvl>
    <w:lvl w:ilvl="4" w:tplc="7B7CA0A8">
      <w:numFmt w:val="bullet"/>
      <w:lvlText w:val="•"/>
      <w:lvlJc w:val="left"/>
      <w:pPr>
        <w:ind w:left="3989" w:hanging="293"/>
      </w:pPr>
      <w:rPr>
        <w:rFonts w:hint="default"/>
      </w:rPr>
    </w:lvl>
    <w:lvl w:ilvl="5" w:tplc="C282954A">
      <w:numFmt w:val="bullet"/>
      <w:lvlText w:val="•"/>
      <w:lvlJc w:val="left"/>
      <w:pPr>
        <w:ind w:left="5072" w:hanging="293"/>
      </w:pPr>
      <w:rPr>
        <w:rFonts w:hint="default"/>
      </w:rPr>
    </w:lvl>
    <w:lvl w:ilvl="6" w:tplc="A4141D7C">
      <w:numFmt w:val="bullet"/>
      <w:lvlText w:val="•"/>
      <w:lvlJc w:val="left"/>
      <w:pPr>
        <w:ind w:left="6155" w:hanging="293"/>
      </w:pPr>
      <w:rPr>
        <w:rFonts w:hint="default"/>
      </w:rPr>
    </w:lvl>
    <w:lvl w:ilvl="7" w:tplc="750E2CB4">
      <w:numFmt w:val="bullet"/>
      <w:lvlText w:val="•"/>
      <w:lvlJc w:val="left"/>
      <w:pPr>
        <w:ind w:left="7238" w:hanging="293"/>
      </w:pPr>
      <w:rPr>
        <w:rFonts w:hint="default"/>
      </w:rPr>
    </w:lvl>
    <w:lvl w:ilvl="8" w:tplc="6FB852E8">
      <w:numFmt w:val="bullet"/>
      <w:lvlText w:val="•"/>
      <w:lvlJc w:val="left"/>
      <w:pPr>
        <w:ind w:left="8321" w:hanging="293"/>
      </w:pPr>
      <w:rPr>
        <w:rFonts w:hint="default"/>
      </w:rPr>
    </w:lvl>
  </w:abstractNum>
  <w:abstractNum w:abstractNumId="5" w15:restartNumberingAfterBreak="0">
    <w:nsid w:val="77F96A89"/>
    <w:multiLevelType w:val="hybridMultilevel"/>
    <w:tmpl w:val="D1EA913A"/>
    <w:lvl w:ilvl="0" w:tplc="DF7C39F8">
      <w:start w:val="1"/>
      <w:numFmt w:val="decimal"/>
      <w:lvlText w:val="%1."/>
      <w:lvlJc w:val="left"/>
      <w:pPr>
        <w:ind w:left="741" w:hanging="293"/>
        <w:jc w:val="left"/>
      </w:pPr>
      <w:rPr>
        <w:rFonts w:ascii="Arial Unicode MS" w:eastAsia="Arial Unicode MS" w:hAnsi="Arial Unicode MS" w:cs="Arial Unicode MS" w:hint="default"/>
        <w:w w:val="99"/>
        <w:sz w:val="20"/>
        <w:szCs w:val="20"/>
      </w:rPr>
    </w:lvl>
    <w:lvl w:ilvl="1" w:tplc="2F788C74">
      <w:numFmt w:val="bullet"/>
      <w:lvlText w:val="•"/>
      <w:lvlJc w:val="left"/>
      <w:pPr>
        <w:ind w:left="1714" w:hanging="293"/>
      </w:pPr>
      <w:rPr>
        <w:rFonts w:hint="default"/>
      </w:rPr>
    </w:lvl>
    <w:lvl w:ilvl="2" w:tplc="BF243A7A">
      <w:numFmt w:val="bullet"/>
      <w:lvlText w:val="•"/>
      <w:lvlJc w:val="left"/>
      <w:pPr>
        <w:ind w:left="2689" w:hanging="293"/>
      </w:pPr>
      <w:rPr>
        <w:rFonts w:hint="default"/>
      </w:rPr>
    </w:lvl>
    <w:lvl w:ilvl="3" w:tplc="AE48AFCA">
      <w:numFmt w:val="bullet"/>
      <w:lvlText w:val="•"/>
      <w:lvlJc w:val="left"/>
      <w:pPr>
        <w:ind w:left="3664" w:hanging="293"/>
      </w:pPr>
      <w:rPr>
        <w:rFonts w:hint="default"/>
      </w:rPr>
    </w:lvl>
    <w:lvl w:ilvl="4" w:tplc="64C66CC6">
      <w:numFmt w:val="bullet"/>
      <w:lvlText w:val="•"/>
      <w:lvlJc w:val="left"/>
      <w:pPr>
        <w:ind w:left="4639" w:hanging="293"/>
      </w:pPr>
      <w:rPr>
        <w:rFonts w:hint="default"/>
      </w:rPr>
    </w:lvl>
    <w:lvl w:ilvl="5" w:tplc="4564943A">
      <w:numFmt w:val="bullet"/>
      <w:lvlText w:val="•"/>
      <w:lvlJc w:val="left"/>
      <w:pPr>
        <w:ind w:left="5613" w:hanging="293"/>
      </w:pPr>
      <w:rPr>
        <w:rFonts w:hint="default"/>
      </w:rPr>
    </w:lvl>
    <w:lvl w:ilvl="6" w:tplc="E33C097E">
      <w:numFmt w:val="bullet"/>
      <w:lvlText w:val="•"/>
      <w:lvlJc w:val="left"/>
      <w:pPr>
        <w:ind w:left="6588" w:hanging="293"/>
      </w:pPr>
      <w:rPr>
        <w:rFonts w:hint="default"/>
      </w:rPr>
    </w:lvl>
    <w:lvl w:ilvl="7" w:tplc="A902550E">
      <w:numFmt w:val="bullet"/>
      <w:lvlText w:val="•"/>
      <w:lvlJc w:val="left"/>
      <w:pPr>
        <w:ind w:left="7563" w:hanging="293"/>
      </w:pPr>
      <w:rPr>
        <w:rFonts w:hint="default"/>
      </w:rPr>
    </w:lvl>
    <w:lvl w:ilvl="8" w:tplc="96523B3E">
      <w:numFmt w:val="bullet"/>
      <w:lvlText w:val="•"/>
      <w:lvlJc w:val="left"/>
      <w:pPr>
        <w:ind w:left="8538" w:hanging="293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53FD1"/>
    <w:rsid w:val="00121879"/>
    <w:rsid w:val="00864339"/>
    <w:rsid w:val="00D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2DA9CF"/>
  <w15:docId w15:val="{CF7C4735-62EA-4AE4-83B7-A33C4908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Nadpis1">
    <w:name w:val="heading 1"/>
    <w:basedOn w:val="Normln"/>
    <w:uiPriority w:val="1"/>
    <w:qFormat/>
    <w:pPr>
      <w:ind w:left="1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41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41" w:hanging="292"/>
    </w:pPr>
  </w:style>
  <w:style w:type="paragraph" w:customStyle="1" w:styleId="TableParagraph">
    <w:name w:val="Table Paragraph"/>
    <w:basedOn w:val="Normln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i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1916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Svatošová Helena</cp:lastModifiedBy>
  <cp:revision>3</cp:revision>
  <dcterms:created xsi:type="dcterms:W3CDTF">2018-03-20T12:24:00Z</dcterms:created>
  <dcterms:modified xsi:type="dcterms:W3CDTF">2018-03-20T12:25:00Z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LastSaved">
    <vt:filetime>2018-03-20T00:00:00Z</vt:filetime>
  </property>
</Properties>
</file>