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C5" w:rsidRDefault="00024974" w:rsidP="00024974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pacing w:val="-3"/>
          <w:sz w:val="40"/>
          <w:szCs w:val="40"/>
          <w:lang w:eastAsia="en-US"/>
        </w:rPr>
        <w:t xml:space="preserve">   </w:t>
      </w:r>
    </w:p>
    <w:p w:rsidR="00DB27C5" w:rsidRDefault="00DB27C5" w:rsidP="00024974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</w:p>
    <w:p w:rsidR="00024974" w:rsidRDefault="00024974" w:rsidP="00024974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</w:t>
      </w:r>
      <w:r>
        <w:rPr>
          <w:rFonts w:eastAsia="Calibri"/>
          <w:b/>
          <w:color w:val="000000"/>
          <w:spacing w:val="-3"/>
          <w:sz w:val="40"/>
          <w:szCs w:val="40"/>
          <w:lang w:eastAsia="en-US"/>
        </w:rPr>
        <w:t>A</w:t>
      </w: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 xml:space="preserve"> O ZŘÍZENÍ VĚCNÉHO BŘEMENE</w:t>
      </w:r>
    </w:p>
    <w:p w:rsidR="00024974" w:rsidRPr="00EC7804" w:rsidRDefault="00024974" w:rsidP="00024974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  </w:t>
      </w:r>
      <w:r w:rsidRPr="00EC7804">
        <w:rPr>
          <w:rFonts w:eastAsia="Calibri"/>
          <w:color w:val="000000"/>
          <w:spacing w:val="-3"/>
          <w:lang w:eastAsia="en-US"/>
        </w:rPr>
        <w:t>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024974" w:rsidRPr="00EC7804" w:rsidRDefault="00024974" w:rsidP="0002497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</w:t>
      </w:r>
      <w:r>
        <w:rPr>
          <w:rFonts w:eastAsia="Calibri"/>
          <w:color w:val="000000"/>
          <w:spacing w:val="-3"/>
          <w:lang w:eastAsia="en-US"/>
        </w:rPr>
        <w:t>76</w:t>
      </w:r>
      <w:r w:rsidRPr="00EC7804">
        <w:rPr>
          <w:rFonts w:eastAsia="Calibri"/>
          <w:color w:val="000000"/>
          <w:spacing w:val="-3"/>
          <w:lang w:eastAsia="en-US"/>
        </w:rPr>
        <w:t xml:space="preserve"> odst. </w:t>
      </w:r>
      <w:r>
        <w:rPr>
          <w:rFonts w:eastAsia="Calibri"/>
          <w:color w:val="000000"/>
          <w:spacing w:val="-3"/>
          <w:lang w:eastAsia="en-US"/>
        </w:rPr>
        <w:t>7</w:t>
      </w:r>
      <w:r w:rsidRPr="00EC7804">
        <w:rPr>
          <w:rFonts w:eastAsia="Calibri"/>
          <w:color w:val="000000"/>
          <w:spacing w:val="-3"/>
          <w:lang w:eastAsia="en-US"/>
        </w:rPr>
        <w:t xml:space="preserve"> zákona č. 458/2000 Sb., energetický zákon, v platném znění, </w:t>
      </w:r>
    </w:p>
    <w:p w:rsidR="00024974" w:rsidRPr="00EC7804" w:rsidRDefault="00024974" w:rsidP="00024974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024974" w:rsidRDefault="00024974" w:rsidP="00EC7804">
      <w:pPr>
        <w:keepNext/>
        <w:ind w:left="2127" w:hanging="2127"/>
        <w:jc w:val="both"/>
        <w:outlineLvl w:val="0"/>
        <w:rPr>
          <w:b/>
          <w:iCs/>
        </w:rPr>
      </w:pPr>
    </w:p>
    <w:p w:rsidR="00024974" w:rsidRDefault="00024974" w:rsidP="00EC7804">
      <w:pPr>
        <w:keepNext/>
        <w:ind w:left="2127" w:hanging="2127"/>
        <w:jc w:val="both"/>
        <w:outlineLvl w:val="0"/>
        <w:rPr>
          <w:b/>
          <w:iCs/>
        </w:rPr>
      </w:pPr>
    </w:p>
    <w:p w:rsidR="00EC7804" w:rsidRDefault="00EC7804" w:rsidP="00EC7804">
      <w:pPr>
        <w:keepNext/>
        <w:ind w:left="2127" w:hanging="2127"/>
        <w:jc w:val="both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:rsidR="00EC7804" w:rsidRPr="00EC7804" w:rsidRDefault="00EC7804" w:rsidP="00EC7804"/>
    <w:p w:rsidR="00EC7804" w:rsidRPr="00476AB6" w:rsidRDefault="00CE33AD" w:rsidP="00EC7804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EC7804" w:rsidRPr="00EC7804" w:rsidRDefault="00EC7804" w:rsidP="00024974">
      <w:pPr>
        <w:tabs>
          <w:tab w:val="left" w:pos="1620"/>
        </w:tabs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="008922E8" w:rsidRPr="008922E8">
        <w:rPr>
          <w:color w:val="000000"/>
        </w:rPr>
        <w:t>Havlíčkovo náměstí 700/9, Žižkov, 130</w:t>
      </w:r>
      <w:r w:rsidR="00F87161">
        <w:rPr>
          <w:color w:val="000000"/>
        </w:rPr>
        <w:t xml:space="preserve"> </w:t>
      </w:r>
      <w:r w:rsidR="008922E8" w:rsidRPr="008922E8">
        <w:rPr>
          <w:color w:val="000000"/>
        </w:rPr>
        <w:t>00 Praha 3</w:t>
      </w:r>
    </w:p>
    <w:p w:rsidR="00EC7804" w:rsidRPr="00EC7804" w:rsidRDefault="00EC7804" w:rsidP="00024974">
      <w:pPr>
        <w:tabs>
          <w:tab w:val="left" w:pos="1620"/>
        </w:tabs>
        <w:rPr>
          <w:iCs/>
        </w:rPr>
      </w:pPr>
      <w:r w:rsidRPr="00EC7804">
        <w:rPr>
          <w:iCs/>
        </w:rPr>
        <w:t xml:space="preserve">zastoupená: </w:t>
      </w:r>
      <w:r w:rsidR="008922E8">
        <w:rPr>
          <w:iCs/>
        </w:rPr>
        <w:t>Ing. Vladisla</w:t>
      </w:r>
      <w:r w:rsidR="00476AB6">
        <w:rPr>
          <w:iCs/>
        </w:rPr>
        <w:t>vou Hujovou, starostkou</w:t>
      </w:r>
    </w:p>
    <w:p w:rsidR="00EC7804" w:rsidRPr="00EC7804" w:rsidRDefault="00EC7804" w:rsidP="00024974">
      <w:pPr>
        <w:tabs>
          <w:tab w:val="left" w:pos="1620"/>
        </w:tabs>
        <w:rPr>
          <w:iCs/>
        </w:rPr>
      </w:pPr>
      <w:r w:rsidRPr="00EC7804">
        <w:rPr>
          <w:iCs/>
        </w:rPr>
        <w:t>IČ:</w:t>
      </w:r>
      <w:r w:rsidR="00024974">
        <w:rPr>
          <w:iCs/>
        </w:rPr>
        <w:t xml:space="preserve"> </w:t>
      </w:r>
      <w:r w:rsidR="008922E8">
        <w:t>00063517</w:t>
      </w:r>
    </w:p>
    <w:p w:rsidR="00EC7804" w:rsidRPr="00EC7804" w:rsidRDefault="00024974" w:rsidP="00024974">
      <w:pPr>
        <w:tabs>
          <w:tab w:val="left" w:pos="1620"/>
        </w:tabs>
        <w:rPr>
          <w:iCs/>
        </w:rPr>
      </w:pPr>
      <w:r>
        <w:rPr>
          <w:iCs/>
        </w:rPr>
        <w:t xml:space="preserve">DIČ: </w:t>
      </w:r>
      <w:r w:rsidR="008922E8">
        <w:t>CZ00063517</w:t>
      </w:r>
      <w:r w:rsidR="006A411C">
        <w:t xml:space="preserve">, </w:t>
      </w:r>
      <w:r w:rsidR="006A411C" w:rsidRPr="0051481D">
        <w:rPr>
          <w:color w:val="000000" w:themeColor="text1"/>
        </w:rPr>
        <w:t>plátce DPH</w:t>
      </w:r>
    </w:p>
    <w:p w:rsidR="00ED2720" w:rsidRDefault="00EC7804" w:rsidP="00024974">
      <w:pPr>
        <w:tabs>
          <w:tab w:val="left" w:pos="1620"/>
        </w:tabs>
      </w:pPr>
      <w:r w:rsidRPr="00EC7804">
        <w:rPr>
          <w:iCs/>
        </w:rPr>
        <w:t xml:space="preserve">bankovní spojení: </w:t>
      </w:r>
      <w:r w:rsidR="00ED2720">
        <w:t xml:space="preserve">Česká spořitelna, a.s., </w:t>
      </w:r>
    </w:p>
    <w:p w:rsidR="00ED2720" w:rsidRDefault="00EC7804" w:rsidP="00024974">
      <w:r w:rsidRPr="00EC7804">
        <w:rPr>
          <w:iCs/>
        </w:rPr>
        <w:t xml:space="preserve">č.ú.: </w:t>
      </w:r>
      <w:r w:rsidR="00ED2720">
        <w:t xml:space="preserve">29022-2000781379/0800 </w:t>
      </w:r>
    </w:p>
    <w:p w:rsidR="003C5F92" w:rsidRDefault="00A1375F" w:rsidP="003C5F92">
      <w:pPr>
        <w:autoSpaceDE w:val="0"/>
        <w:autoSpaceDN w:val="0"/>
        <w:adjustRightInd w:val="0"/>
        <w:rPr>
          <w:rStyle w:val="Siln"/>
          <w:b w:val="0"/>
        </w:rPr>
      </w:pPr>
      <w:r>
        <w:rPr>
          <w:iCs/>
        </w:rPr>
        <w:t xml:space="preserve">ID datové </w:t>
      </w:r>
      <w:r w:rsidRPr="003C5F92">
        <w:rPr>
          <w:iCs/>
        </w:rPr>
        <w:t>schránky</w:t>
      </w:r>
      <w:r w:rsidR="003C5F92" w:rsidRPr="003C5F92">
        <w:rPr>
          <w:iCs/>
        </w:rPr>
        <w:t>:</w:t>
      </w:r>
      <w:r w:rsidR="003C5F92" w:rsidRPr="003C5F92">
        <w:rPr>
          <w:rStyle w:val="Odkaznakoment"/>
          <w:b/>
        </w:rPr>
        <w:t xml:space="preserve"> </w:t>
      </w:r>
      <w:r w:rsidR="003C5F92" w:rsidRPr="003C5F92">
        <w:rPr>
          <w:rStyle w:val="Siln"/>
          <w:b w:val="0"/>
        </w:rPr>
        <w:t>eqkbt8g</w:t>
      </w:r>
    </w:p>
    <w:p w:rsidR="006A411C" w:rsidRDefault="006A411C" w:rsidP="003C5F92">
      <w:pPr>
        <w:autoSpaceDE w:val="0"/>
        <w:autoSpaceDN w:val="0"/>
        <w:adjustRightInd w:val="0"/>
        <w:rPr>
          <w:iCs/>
        </w:rPr>
      </w:pPr>
    </w:p>
    <w:p w:rsidR="00EC7804" w:rsidRPr="00EC7804" w:rsidRDefault="00EC7804" w:rsidP="003C5F92">
      <w:pPr>
        <w:autoSpaceDE w:val="0"/>
        <w:autoSpaceDN w:val="0"/>
        <w:adjustRightInd w:val="0"/>
        <w:rPr>
          <w:b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:rsidR="001211C8" w:rsidRDefault="001211C8" w:rsidP="001211C8">
      <w:pPr>
        <w:rPr>
          <w:iCs/>
        </w:rPr>
      </w:pPr>
    </w:p>
    <w:p w:rsidR="00EC7804" w:rsidRPr="00EC7804" w:rsidRDefault="00EC7804" w:rsidP="001211C8">
      <w:pPr>
        <w:rPr>
          <w:iCs/>
        </w:rPr>
      </w:pPr>
      <w:r w:rsidRPr="00EC7804">
        <w:rPr>
          <w:iCs/>
        </w:rPr>
        <w:t>a</w:t>
      </w:r>
    </w:p>
    <w:p w:rsidR="00EC7804" w:rsidRPr="00EC7804" w:rsidRDefault="00EC7804" w:rsidP="00EC7804">
      <w:pPr>
        <w:jc w:val="both"/>
        <w:rPr>
          <w:iCs/>
        </w:rPr>
      </w:pPr>
    </w:p>
    <w:p w:rsidR="00EC7804" w:rsidRPr="00EC7804" w:rsidRDefault="00EC7804" w:rsidP="00EC7804">
      <w:pPr>
        <w:jc w:val="both"/>
        <w:rPr>
          <w:b/>
          <w:bCs/>
          <w:iCs/>
        </w:rPr>
      </w:pPr>
      <w:r w:rsidRPr="00EC7804">
        <w:rPr>
          <w:b/>
          <w:bCs/>
          <w:iCs/>
        </w:rPr>
        <w:t>P</w:t>
      </w:r>
      <w:r w:rsidR="00024974">
        <w:rPr>
          <w:b/>
          <w:bCs/>
          <w:iCs/>
        </w:rPr>
        <w:t xml:space="preserve">ražská teplárenská </w:t>
      </w:r>
      <w:r w:rsidRPr="00EC7804">
        <w:rPr>
          <w:b/>
          <w:bCs/>
          <w:iCs/>
        </w:rPr>
        <w:t>a.s.</w:t>
      </w:r>
    </w:p>
    <w:p w:rsidR="00024974" w:rsidRDefault="00024974" w:rsidP="00024974">
      <w:pPr>
        <w:autoSpaceDE w:val="0"/>
        <w:autoSpaceDN w:val="0"/>
        <w:adjustRightInd w:val="0"/>
        <w:rPr>
          <w:iCs/>
        </w:rPr>
      </w:pPr>
      <w:r>
        <w:t>zapsaná</w:t>
      </w:r>
      <w:r w:rsidR="00E15701" w:rsidRPr="0053301F">
        <w:t xml:space="preserve"> v obchodním rejstříku u Městského soudu v Praze, </w:t>
      </w:r>
      <w:r w:rsidR="00D51BBD">
        <w:t>oddíl B, vložka 15</w:t>
      </w:r>
      <w:r>
        <w:t>09</w:t>
      </w:r>
      <w:r w:rsidR="00E15701" w:rsidRPr="0053301F">
        <w:br/>
      </w:r>
      <w:r w:rsidR="00EC7804" w:rsidRPr="00EC7804">
        <w:rPr>
          <w:iCs/>
        </w:rPr>
        <w:t xml:space="preserve">sídlo: </w:t>
      </w:r>
      <w:r>
        <w:rPr>
          <w:iCs/>
        </w:rPr>
        <w:t xml:space="preserve">Partyzánská 1/7, Praha 7, 170 00 </w:t>
      </w:r>
      <w:r w:rsidR="00EC7804" w:rsidRPr="00EC7804">
        <w:rPr>
          <w:iCs/>
        </w:rPr>
        <w:t xml:space="preserve"> </w:t>
      </w:r>
      <w:r>
        <w:rPr>
          <w:iCs/>
        </w:rPr>
        <w:t xml:space="preserve"> </w:t>
      </w:r>
      <w:r w:rsidR="00EC7804" w:rsidRPr="00EC7804">
        <w:rPr>
          <w:iCs/>
        </w:rPr>
        <w:t xml:space="preserve"> </w:t>
      </w:r>
    </w:p>
    <w:p w:rsidR="00024974" w:rsidRDefault="00EC7804" w:rsidP="00024974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zastoupená</w:t>
      </w:r>
      <w:r w:rsidR="00024974">
        <w:rPr>
          <w:iCs/>
        </w:rPr>
        <w:t xml:space="preserve"> na základě pověření ze dne</w:t>
      </w:r>
      <w:r w:rsidR="00D86E0E">
        <w:rPr>
          <w:iCs/>
        </w:rPr>
        <w:t xml:space="preserve"> 24.11.2015 </w:t>
      </w:r>
    </w:p>
    <w:p w:rsidR="00EC7804" w:rsidRPr="00EC7804" w:rsidRDefault="00024974" w:rsidP="0002497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   I</w:t>
      </w:r>
      <w:r w:rsidR="00EC7804" w:rsidRPr="00EC7804">
        <w:rPr>
          <w:iCs/>
        </w:rPr>
        <w:t xml:space="preserve">ng. </w:t>
      </w:r>
      <w:r>
        <w:rPr>
          <w:iCs/>
        </w:rPr>
        <w:t xml:space="preserve">Ladislavem Moravcem, generálním ředitelem </w:t>
      </w:r>
      <w:r w:rsidR="00EC7804" w:rsidRPr="00EC7804">
        <w:rPr>
          <w:iCs/>
        </w:rPr>
        <w:t>a</w:t>
      </w:r>
    </w:p>
    <w:p w:rsidR="00EC7804" w:rsidRPr="00EC7804" w:rsidRDefault="00024974" w:rsidP="0002497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   Ing. Petrem Smolkou, správním ředitelem </w:t>
      </w:r>
    </w:p>
    <w:p w:rsidR="00EC7804" w:rsidRPr="00EC7804" w:rsidRDefault="00EC7804" w:rsidP="00024974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IČ: </w:t>
      </w:r>
      <w:r w:rsidR="00024974">
        <w:rPr>
          <w:iCs/>
        </w:rPr>
        <w:t xml:space="preserve">45273600 </w:t>
      </w:r>
    </w:p>
    <w:p w:rsidR="00EC7804" w:rsidRPr="00EC7804" w:rsidRDefault="00EC7804" w:rsidP="00024974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DIČ: CZ</w:t>
      </w:r>
      <w:r w:rsidR="00024974">
        <w:rPr>
          <w:iCs/>
        </w:rPr>
        <w:t xml:space="preserve">45273600, </w:t>
      </w:r>
      <w:r w:rsidRPr="00EC7804">
        <w:rPr>
          <w:iCs/>
        </w:rPr>
        <w:t xml:space="preserve"> plátce DPH</w:t>
      </w:r>
    </w:p>
    <w:p w:rsidR="00EC7804" w:rsidRPr="00EC7804" w:rsidRDefault="00EC7804" w:rsidP="00024974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 xml:space="preserve">bankovní spojení: ČSOB, a.s. </w:t>
      </w:r>
    </w:p>
    <w:p w:rsidR="00EC7804" w:rsidRDefault="00EC7804" w:rsidP="00024974">
      <w:pPr>
        <w:autoSpaceDE w:val="0"/>
        <w:autoSpaceDN w:val="0"/>
        <w:adjustRightInd w:val="0"/>
        <w:rPr>
          <w:iCs/>
        </w:rPr>
      </w:pPr>
      <w:r w:rsidRPr="00EC7804">
        <w:rPr>
          <w:iCs/>
        </w:rPr>
        <w:t>č.ú.:</w:t>
      </w:r>
      <w:r w:rsidR="00121C51">
        <w:rPr>
          <w:iCs/>
        </w:rPr>
        <w:t xml:space="preserve"> </w:t>
      </w:r>
      <w:r w:rsidR="00A1375F">
        <w:rPr>
          <w:iCs/>
        </w:rPr>
        <w:t>500068263</w:t>
      </w:r>
      <w:r w:rsidRPr="00EC7804">
        <w:rPr>
          <w:iCs/>
        </w:rPr>
        <w:t>/0300</w:t>
      </w:r>
    </w:p>
    <w:p w:rsidR="00A1375F" w:rsidRDefault="00A1375F" w:rsidP="00024974">
      <w:pPr>
        <w:autoSpaceDE w:val="0"/>
        <w:autoSpaceDN w:val="0"/>
        <w:adjustRightInd w:val="0"/>
        <w:rPr>
          <w:iCs/>
        </w:rPr>
      </w:pPr>
      <w:r>
        <w:rPr>
          <w:iCs/>
        </w:rPr>
        <w:t>ID datové schránky: jngcgsg</w:t>
      </w:r>
    </w:p>
    <w:p w:rsidR="00A1375F" w:rsidRPr="00EC7804" w:rsidRDefault="00A1375F" w:rsidP="00024974">
      <w:pPr>
        <w:autoSpaceDE w:val="0"/>
        <w:autoSpaceDN w:val="0"/>
        <w:adjustRightInd w:val="0"/>
        <w:rPr>
          <w:iCs/>
        </w:rPr>
      </w:pPr>
    </w:p>
    <w:p w:rsidR="00EC7804" w:rsidRPr="00F07EEF" w:rsidRDefault="00EC7804" w:rsidP="00F07EEF">
      <w:pPr>
        <w:spacing w:after="240"/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  <w:r w:rsidR="00A1375F">
        <w:rPr>
          <w:iCs/>
        </w:rPr>
        <w:t xml:space="preserve"> </w:t>
      </w:r>
    </w:p>
    <w:p w:rsidR="00D55805" w:rsidRDefault="00D55805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56010E" w:rsidRPr="00EC7804" w:rsidRDefault="0056010E" w:rsidP="00EC7804">
      <w:pPr>
        <w:shd w:val="clear" w:color="auto" w:fill="FFFFFF"/>
        <w:ind w:right="-96"/>
        <w:jc w:val="center"/>
        <w:rPr>
          <w:rFonts w:eastAsia="Calibri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CE524A" w:rsidRDefault="00EC7804" w:rsidP="00CE524A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 xml:space="preserve">Oprávněný je provozovatelem </w:t>
      </w:r>
      <w:r w:rsidR="00A1375F">
        <w:rPr>
          <w:rFonts w:eastAsia="Calibri"/>
          <w:color w:val="000000"/>
          <w:spacing w:val="-6"/>
          <w:lang w:eastAsia="en-US"/>
        </w:rPr>
        <w:t xml:space="preserve">rozvodného tepelného zařízení </w:t>
      </w:r>
      <w:r w:rsidRPr="00EC7804">
        <w:rPr>
          <w:rFonts w:eastAsia="Calibri"/>
          <w:color w:val="000000"/>
          <w:spacing w:val="-6"/>
          <w:lang w:eastAsia="en-US"/>
        </w:rPr>
        <w:t>na území vymezeném licencí</w:t>
      </w:r>
      <w:r w:rsidR="00A1375F">
        <w:rPr>
          <w:rFonts w:eastAsia="Calibri"/>
          <w:color w:val="000000"/>
          <w:spacing w:val="-6"/>
          <w:lang w:eastAsia="en-US"/>
        </w:rPr>
        <w:t>.</w:t>
      </w:r>
      <w:r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="00A1375F">
        <w:rPr>
          <w:rFonts w:eastAsia="Calibri"/>
          <w:color w:val="000000"/>
          <w:spacing w:val="-6"/>
          <w:lang w:eastAsia="en-US"/>
        </w:rPr>
        <w:t>Rozvod tepelné energie</w:t>
      </w:r>
      <w:r w:rsidRPr="00EC7804">
        <w:rPr>
          <w:rFonts w:eastAsia="Calibri"/>
          <w:color w:val="000000"/>
          <w:spacing w:val="-6"/>
          <w:lang w:eastAsia="en-US"/>
        </w:rPr>
        <w:t xml:space="preserve"> je </w:t>
      </w:r>
      <w:r w:rsidR="00A1375F">
        <w:rPr>
          <w:rFonts w:eastAsia="Calibri"/>
          <w:color w:val="000000"/>
          <w:spacing w:val="-6"/>
          <w:lang w:eastAsia="en-US"/>
        </w:rPr>
        <w:t xml:space="preserve">uskutečňován </w:t>
      </w:r>
      <w:r w:rsidRPr="00EC7804">
        <w:rPr>
          <w:rFonts w:eastAsia="Calibri"/>
          <w:color w:val="000000"/>
          <w:spacing w:val="-6"/>
          <w:lang w:eastAsia="en-US"/>
        </w:rPr>
        <w:t>ve veřejném zájmu.</w:t>
      </w:r>
      <w:r w:rsidRPr="00EC7804">
        <w:rPr>
          <w:rFonts w:eastAsiaTheme="minorHAnsi"/>
          <w:lang w:eastAsia="en-US"/>
        </w:rPr>
        <w:t xml:space="preserve"> P</w:t>
      </w:r>
      <w:r w:rsidR="00A1375F">
        <w:rPr>
          <w:rFonts w:eastAsiaTheme="minorHAnsi"/>
          <w:lang w:eastAsia="en-US"/>
        </w:rPr>
        <w:t>rovozovatel</w:t>
      </w:r>
      <w:r w:rsidRPr="00EC7804">
        <w:rPr>
          <w:rFonts w:eastAsiaTheme="minorHAnsi"/>
          <w:lang w:eastAsia="en-US"/>
        </w:rPr>
        <w:t xml:space="preserve">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spolehlivé provozování, obnovu a rozvoj</w:t>
      </w:r>
      <w:r w:rsidR="00A1375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Pr="00EC7804">
        <w:rPr>
          <w:rFonts w:eastAsia="Calibri"/>
          <w:color w:val="000000"/>
          <w:spacing w:val="-6"/>
          <w:lang w:eastAsia="en-US"/>
        </w:rPr>
        <w:t xml:space="preserve"> na území vymezeném licencí, přičemž zřízení tohoto věcného břemene je ze strany Oprávněného jedním ze zákonem daných předpokladů pro plnění této povinnosti.</w:t>
      </w:r>
    </w:p>
    <w:p w:rsidR="00F07EEF" w:rsidRPr="00EC7804" w:rsidRDefault="00CE33AD" w:rsidP="00F07EEF">
      <w:pPr>
        <w:numPr>
          <w:ilvl w:val="1"/>
          <w:numId w:val="1"/>
        </w:numPr>
        <w:shd w:val="clear" w:color="auto" w:fill="FFFFFF"/>
        <w:spacing w:after="120"/>
        <w:ind w:left="567" w:right="-96" w:hanging="567"/>
        <w:jc w:val="both"/>
      </w:pPr>
      <w:r w:rsidRPr="00F07EEF">
        <w:rPr>
          <w:rFonts w:eastAsia="Calibri"/>
          <w:color w:val="000000"/>
          <w:spacing w:val="-4"/>
          <w:lang w:eastAsia="en-US"/>
        </w:rPr>
        <w:t>Povinný prohlašuje, že je ve smyslu ustanovení zákona č. 172/1991 Sb., zákona č. 131/2000 Sb. a Statutu hl.</w:t>
      </w:r>
      <w:r w:rsidR="00DC7B55" w:rsidRPr="00F07EEF">
        <w:rPr>
          <w:rFonts w:eastAsia="Calibri"/>
          <w:color w:val="000000"/>
          <w:spacing w:val="-4"/>
          <w:lang w:eastAsia="en-US"/>
        </w:rPr>
        <w:t xml:space="preserve"> </w:t>
      </w:r>
      <w:r w:rsidRPr="00F07EEF">
        <w:rPr>
          <w:rFonts w:eastAsia="Calibri"/>
          <w:color w:val="000000"/>
          <w:spacing w:val="-4"/>
          <w:lang w:eastAsia="en-US"/>
        </w:rPr>
        <w:t>m.</w:t>
      </w:r>
      <w:r w:rsidR="00DC7B55" w:rsidRPr="00F07EEF">
        <w:rPr>
          <w:rFonts w:eastAsia="Calibri"/>
          <w:color w:val="000000"/>
          <w:spacing w:val="-4"/>
          <w:lang w:eastAsia="en-US"/>
        </w:rPr>
        <w:t xml:space="preserve">  </w:t>
      </w:r>
      <w:r w:rsidRPr="00F07EEF">
        <w:rPr>
          <w:rFonts w:eastAsia="Calibri"/>
          <w:color w:val="000000"/>
          <w:spacing w:val="-4"/>
          <w:lang w:eastAsia="en-US"/>
        </w:rPr>
        <w:t>Prahy oprávněn nakládat s pozemk</w:t>
      </w:r>
      <w:r w:rsidR="00D56339" w:rsidRPr="00F07EEF">
        <w:rPr>
          <w:rFonts w:eastAsia="Calibri"/>
          <w:color w:val="000000"/>
          <w:spacing w:val="-4"/>
          <w:lang w:eastAsia="en-US"/>
        </w:rPr>
        <w:t>y</w:t>
      </w:r>
      <w:r w:rsidR="00EC7804" w:rsidRPr="00F07EEF">
        <w:rPr>
          <w:rFonts w:eastAsia="Calibri"/>
          <w:spacing w:val="-4"/>
          <w:lang w:eastAsia="en-US"/>
        </w:rPr>
        <w:t xml:space="preserve"> </w:t>
      </w:r>
      <w:r w:rsidR="00EC7804" w:rsidRPr="00F07EEF">
        <w:rPr>
          <w:rFonts w:eastAsia="Calibri"/>
          <w:lang w:eastAsia="en-US"/>
        </w:rPr>
        <w:t>parc. č.</w:t>
      </w:r>
      <w:r w:rsidR="00132CA1" w:rsidRPr="00F07EEF">
        <w:rPr>
          <w:rFonts w:eastAsia="Calibri"/>
          <w:lang w:eastAsia="en-US"/>
        </w:rPr>
        <w:t xml:space="preserve"> </w:t>
      </w:r>
      <w:r w:rsidR="00A1375F" w:rsidRPr="00F07EEF">
        <w:rPr>
          <w:rFonts w:eastAsia="Calibri"/>
          <w:lang w:eastAsia="en-US"/>
        </w:rPr>
        <w:t>3235/8, 3235/9 a 3236, vše v k.ú. Žižkov,</w:t>
      </w:r>
      <w:r w:rsidR="00D56339" w:rsidRPr="00F07EEF">
        <w:rPr>
          <w:rFonts w:eastAsia="Calibri"/>
          <w:lang w:eastAsia="en-US"/>
        </w:rPr>
        <w:t xml:space="preserve"> obec Praha</w:t>
      </w:r>
      <w:r w:rsidR="00B32F3C" w:rsidRPr="00CE33AD">
        <w:t>,</w:t>
      </w:r>
      <w:r w:rsidR="00B32F3C" w:rsidRPr="00F07EEF">
        <w:rPr>
          <w:rFonts w:eastAsia="Calibri"/>
          <w:spacing w:val="-4"/>
          <w:lang w:eastAsia="en-US"/>
        </w:rPr>
        <w:t xml:space="preserve"> </w:t>
      </w:r>
      <w:r w:rsidR="00476AB6" w:rsidRPr="00F07EEF">
        <w:rPr>
          <w:rFonts w:eastAsia="Calibri"/>
          <w:color w:val="000000"/>
          <w:spacing w:val="-4"/>
          <w:lang w:eastAsia="en-US"/>
        </w:rPr>
        <w:t>které</w:t>
      </w:r>
      <w:r w:rsidR="00D56339" w:rsidRPr="00F07EEF">
        <w:rPr>
          <w:rFonts w:eastAsia="Calibri"/>
          <w:color w:val="000000"/>
          <w:spacing w:val="-4"/>
          <w:lang w:eastAsia="en-US"/>
        </w:rPr>
        <w:t xml:space="preserve"> jsou ve vlastnictví h</w:t>
      </w:r>
      <w:r w:rsidRPr="00F07EEF">
        <w:rPr>
          <w:rFonts w:eastAsia="Calibri"/>
          <w:color w:val="000000"/>
          <w:spacing w:val="-4"/>
          <w:lang w:eastAsia="en-US"/>
        </w:rPr>
        <w:t>lavního města Prahy</w:t>
      </w:r>
      <w:r w:rsidRPr="00F07EEF">
        <w:rPr>
          <w:rFonts w:eastAsia="Calibri"/>
          <w:color w:val="000000"/>
          <w:spacing w:val="-1"/>
          <w:lang w:eastAsia="en-US"/>
        </w:rPr>
        <w:t xml:space="preserve"> </w:t>
      </w:r>
      <w:r w:rsidR="00EC7804" w:rsidRPr="00F07EEF">
        <w:rPr>
          <w:rFonts w:eastAsia="Calibri"/>
          <w:color w:val="000000"/>
          <w:spacing w:val="-1"/>
          <w:lang w:eastAsia="en-US"/>
        </w:rPr>
        <w:t>tak</w:t>
      </w:r>
      <w:r w:rsidR="007872D7">
        <w:rPr>
          <w:rFonts w:eastAsia="Calibri"/>
          <w:color w:val="000000"/>
          <w:spacing w:val="-1"/>
          <w:lang w:eastAsia="en-US"/>
        </w:rPr>
        <w:t>,</w:t>
      </w:r>
      <w:r w:rsidR="00EC7804" w:rsidRPr="00F07EEF">
        <w:rPr>
          <w:rFonts w:eastAsia="Calibri"/>
          <w:color w:val="000000"/>
          <w:spacing w:val="-1"/>
          <w:lang w:eastAsia="en-US"/>
        </w:rPr>
        <w:t xml:space="preserve"> jak je </w:t>
      </w:r>
      <w:r w:rsidR="00EC7804" w:rsidRPr="00F07EEF">
        <w:rPr>
          <w:rFonts w:eastAsia="Calibri"/>
          <w:color w:val="000000"/>
          <w:spacing w:val="-3"/>
          <w:lang w:eastAsia="en-US"/>
        </w:rPr>
        <w:t xml:space="preserve">zapsáno </w:t>
      </w:r>
      <w:r>
        <w:t xml:space="preserve">na listu </w:t>
      </w:r>
      <w:r>
        <w:lastRenderedPageBreak/>
        <w:t>vlastnictví</w:t>
      </w:r>
      <w:r w:rsidR="00F07EEF">
        <w:t xml:space="preserve"> </w:t>
      </w:r>
      <w:r>
        <w:t xml:space="preserve"> č.</w:t>
      </w:r>
      <w:r w:rsidR="00EC7804" w:rsidRPr="00EC7804">
        <w:t xml:space="preserve"> </w:t>
      </w:r>
      <w:r w:rsidR="00A1375F">
        <w:t>1636</w:t>
      </w:r>
      <w:r w:rsidR="00132CA1">
        <w:t xml:space="preserve"> </w:t>
      </w:r>
      <w:r w:rsidR="00EC7804" w:rsidRPr="00EC7804">
        <w:t>pro k. ú.</w:t>
      </w:r>
      <w:r w:rsidR="00D56339">
        <w:t xml:space="preserve"> </w:t>
      </w:r>
      <w:r w:rsidR="00A1375F">
        <w:t>Žižkov</w:t>
      </w:r>
      <w:r w:rsidR="00D56339">
        <w:t xml:space="preserve">, </w:t>
      </w:r>
      <w:r w:rsidR="00EC7804" w:rsidRPr="00EC7804">
        <w:t>obec Praha, u Katastrálního úřadu pro hlavní město Prahu se sídlem v Praze</w:t>
      </w:r>
      <w:r>
        <w:t xml:space="preserve">, Katastrální pracoviště Praha (dále jen </w:t>
      </w:r>
      <w:r w:rsidRPr="00F07EEF">
        <w:rPr>
          <w:b/>
        </w:rPr>
        <w:t>„</w:t>
      </w:r>
      <w:r w:rsidR="00476AB6" w:rsidRPr="00F07EEF">
        <w:rPr>
          <w:b/>
        </w:rPr>
        <w:t>Pozem</w:t>
      </w:r>
      <w:r w:rsidR="00D56339" w:rsidRPr="00F07EEF">
        <w:rPr>
          <w:b/>
        </w:rPr>
        <w:t>ky</w:t>
      </w:r>
      <w:r w:rsidRPr="00F07EEF">
        <w:rPr>
          <w:b/>
        </w:rPr>
        <w:t>“</w:t>
      </w:r>
      <w:r>
        <w:t>).</w:t>
      </w:r>
    </w:p>
    <w:p w:rsidR="00A1375F" w:rsidRDefault="00920A20" w:rsidP="00920A2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lang w:eastAsia="en-US"/>
        </w:rPr>
        <w:t>O</w:t>
      </w:r>
      <w:r w:rsidR="00A1375F">
        <w:rPr>
          <w:rFonts w:eastAsia="Calibri"/>
          <w:color w:val="000000"/>
          <w:spacing w:val="-6"/>
          <w:lang w:eastAsia="en-US"/>
        </w:rPr>
        <w:t>právněný prohlašuje, že je vlastníkem a provozovatelem</w:t>
      </w:r>
      <w:r>
        <w:rPr>
          <w:rFonts w:eastAsia="Calibri"/>
          <w:color w:val="000000"/>
          <w:spacing w:val="-6"/>
          <w:lang w:eastAsia="en-US"/>
        </w:rPr>
        <w:t xml:space="preserve"> rozvodného tepelného zařízení včetně příslušenství, umístěného na pozemcích parc.č.</w:t>
      </w:r>
      <w:r w:rsidRPr="005360B3">
        <w:rPr>
          <w:rFonts w:eastAsia="Calibri"/>
          <w:color w:val="000000"/>
          <w:spacing w:val="-6"/>
          <w:lang w:eastAsia="en-US"/>
        </w:rPr>
        <w:t xml:space="preserve">  3235/8, 3235/9 a 3236, vše v k.ú. Žižkov, obec Praha.</w:t>
      </w:r>
    </w:p>
    <w:p w:rsidR="0056010E" w:rsidRPr="00F07EEF" w:rsidRDefault="00EC7804" w:rsidP="0056010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Pozem</w:t>
      </w:r>
      <w:r w:rsidR="00D56339">
        <w:rPr>
          <w:rFonts w:eastAsia="Calibri"/>
          <w:color w:val="000000"/>
          <w:spacing w:val="-6"/>
          <w:lang w:eastAsia="en-US"/>
        </w:rPr>
        <w:t>ky</w:t>
      </w:r>
      <w:r w:rsidRPr="00EC7804">
        <w:rPr>
          <w:rFonts w:eastAsia="Calibri"/>
          <w:color w:val="000000"/>
          <w:spacing w:val="-6"/>
          <w:lang w:eastAsia="en-US"/>
        </w:rPr>
        <w:t xml:space="preserve"> se nachází na území vymezeném licencí, v němž Oprávněný provozuje </w:t>
      </w:r>
      <w:r w:rsidR="00920A20">
        <w:rPr>
          <w:rFonts w:eastAsia="Calibri"/>
          <w:color w:val="000000"/>
          <w:spacing w:val="-6"/>
          <w:lang w:eastAsia="en-US"/>
        </w:rPr>
        <w:t>rozvodné tepelné zařízení včetně příslušenství (dále jen „</w:t>
      </w:r>
      <w:r w:rsidR="00920A20" w:rsidRPr="00F07EEF">
        <w:rPr>
          <w:rFonts w:eastAsia="Calibri"/>
          <w:b/>
          <w:color w:val="000000"/>
          <w:spacing w:val="-6"/>
          <w:lang w:eastAsia="en-US"/>
        </w:rPr>
        <w:t>Součásti rozvodného tepelného zařízení</w:t>
      </w:r>
      <w:r w:rsidR="00920A20">
        <w:rPr>
          <w:rFonts w:eastAsia="Calibri"/>
          <w:color w:val="000000"/>
          <w:spacing w:val="-6"/>
          <w:lang w:eastAsia="en-US"/>
        </w:rPr>
        <w:t>“).</w:t>
      </w:r>
      <w:r w:rsidRPr="00EC7804">
        <w:rPr>
          <w:rFonts w:eastAsia="Calibri"/>
          <w:color w:val="000000"/>
          <w:spacing w:val="-6"/>
          <w:lang w:eastAsia="en-US"/>
        </w:rPr>
        <w:t xml:space="preserve"> Oprávněný má právo ve </w:t>
      </w:r>
      <w:r w:rsidRPr="000B196F">
        <w:rPr>
          <w:rFonts w:eastAsia="Calibri"/>
          <w:spacing w:val="-6"/>
          <w:lang w:eastAsia="en-US"/>
        </w:rPr>
        <w:t>smyslu §</w:t>
      </w:r>
      <w:r w:rsidR="000B196F" w:rsidRPr="000B196F">
        <w:rPr>
          <w:rFonts w:eastAsia="Calibri"/>
          <w:spacing w:val="-6"/>
          <w:lang w:eastAsia="en-US"/>
        </w:rPr>
        <w:t xml:space="preserve"> 76</w:t>
      </w:r>
      <w:r w:rsidRPr="000B196F">
        <w:rPr>
          <w:rFonts w:eastAsia="Calibri"/>
          <w:spacing w:val="-6"/>
          <w:lang w:eastAsia="en-US"/>
        </w:rPr>
        <w:t xml:space="preserve"> odst</w:t>
      </w:r>
      <w:r w:rsidR="000B196F">
        <w:rPr>
          <w:rFonts w:eastAsia="Calibri"/>
          <w:spacing w:val="-6"/>
          <w:lang w:eastAsia="en-US"/>
        </w:rPr>
        <w:t xml:space="preserve">. </w:t>
      </w:r>
      <w:r w:rsidR="000B196F" w:rsidRPr="000B196F">
        <w:rPr>
          <w:rFonts w:eastAsia="Calibri"/>
          <w:spacing w:val="-6"/>
          <w:lang w:eastAsia="en-US"/>
        </w:rPr>
        <w:t>5</w:t>
      </w:r>
      <w:r w:rsidRPr="000B196F">
        <w:rPr>
          <w:rFonts w:eastAsia="Calibri"/>
          <w:spacing w:val="-6"/>
          <w:lang w:eastAsia="en-US"/>
        </w:rPr>
        <w:t xml:space="preserve"> písm. </w:t>
      </w:r>
      <w:r w:rsidR="000B196F" w:rsidRPr="000B196F">
        <w:rPr>
          <w:rFonts w:eastAsia="Calibri"/>
          <w:spacing w:val="-6"/>
          <w:lang w:eastAsia="en-US"/>
        </w:rPr>
        <w:t>a</w:t>
      </w:r>
      <w:r w:rsidRPr="000B196F">
        <w:rPr>
          <w:rFonts w:eastAsia="Calibri"/>
          <w:spacing w:val="-6"/>
          <w:lang w:eastAsia="en-US"/>
        </w:rPr>
        <w:t>)</w:t>
      </w:r>
      <w:r w:rsidR="000B196F" w:rsidRPr="000B196F">
        <w:rPr>
          <w:rFonts w:eastAsia="Calibri"/>
          <w:spacing w:val="-6"/>
          <w:lang w:eastAsia="en-US"/>
        </w:rPr>
        <w:t xml:space="preserve"> </w:t>
      </w:r>
      <w:r w:rsidRPr="000B196F">
        <w:rPr>
          <w:rFonts w:eastAsia="Calibri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 xml:space="preserve">energetického zákona zřídit a provozovat na </w:t>
      </w:r>
      <w:r w:rsidRPr="00EC7804">
        <w:rPr>
          <w:rFonts w:eastAsia="Calibri"/>
          <w:spacing w:val="-6"/>
          <w:lang w:eastAsia="en-US"/>
        </w:rPr>
        <w:t>Pozem</w:t>
      </w:r>
      <w:r w:rsidR="006626D1">
        <w:rPr>
          <w:rFonts w:eastAsia="Calibri"/>
          <w:spacing w:val="-6"/>
          <w:lang w:eastAsia="en-US"/>
        </w:rPr>
        <w:t>cích</w:t>
      </w:r>
      <w:r w:rsidRPr="00EC7804">
        <w:rPr>
          <w:rFonts w:eastAsia="Calibri"/>
          <w:spacing w:val="-6"/>
          <w:lang w:eastAsia="en-US"/>
        </w:rPr>
        <w:t xml:space="preserve"> </w:t>
      </w:r>
      <w:r w:rsidR="00920A20">
        <w:rPr>
          <w:rFonts w:eastAsia="Calibri"/>
          <w:color w:val="000000"/>
          <w:spacing w:val="-6"/>
          <w:lang w:eastAsia="en-US"/>
        </w:rPr>
        <w:t>Součásti rozvodného tepelného zařízení</w:t>
      </w:r>
      <w:r w:rsidR="00920A20" w:rsidRPr="00EC7804">
        <w:rPr>
          <w:rFonts w:eastAsia="Calibri"/>
          <w:spacing w:val="-6"/>
          <w:lang w:eastAsia="en-US"/>
        </w:rPr>
        <w:t xml:space="preserve"> </w:t>
      </w:r>
      <w:r w:rsidR="00920A20">
        <w:rPr>
          <w:rFonts w:eastAsia="Calibri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 xml:space="preserve">a dle § </w:t>
      </w:r>
      <w:r w:rsidR="00920A20">
        <w:rPr>
          <w:rFonts w:eastAsia="Calibri"/>
          <w:color w:val="000000"/>
          <w:spacing w:val="-6"/>
          <w:lang w:eastAsia="en-US"/>
        </w:rPr>
        <w:t>76</w:t>
      </w:r>
      <w:r w:rsidRPr="00EC7804">
        <w:rPr>
          <w:rFonts w:eastAsia="Calibri"/>
          <w:color w:val="000000"/>
          <w:spacing w:val="-6"/>
          <w:lang w:eastAsia="en-US"/>
        </w:rPr>
        <w:t xml:space="preserve"> odst.</w:t>
      </w:r>
      <w:r w:rsidR="000B196F">
        <w:rPr>
          <w:rFonts w:eastAsia="Calibri"/>
          <w:color w:val="000000"/>
          <w:spacing w:val="-6"/>
          <w:lang w:eastAsia="en-US"/>
        </w:rPr>
        <w:t xml:space="preserve"> </w:t>
      </w:r>
      <w:r w:rsidR="00920A20">
        <w:rPr>
          <w:rFonts w:eastAsia="Calibri"/>
          <w:color w:val="000000"/>
          <w:spacing w:val="-6"/>
          <w:lang w:eastAsia="en-US"/>
        </w:rPr>
        <w:t>7</w:t>
      </w:r>
      <w:r w:rsidRPr="00EC7804">
        <w:rPr>
          <w:rFonts w:eastAsia="Calibri"/>
          <w:color w:val="000000"/>
          <w:spacing w:val="-6"/>
          <w:lang w:eastAsia="en-US"/>
        </w:rPr>
        <w:t xml:space="preserve"> energetického zákona je povinen za tímto účelem zřídit věcné břemeno.  </w:t>
      </w:r>
    </w:p>
    <w:p w:rsidR="00EC7804" w:rsidRPr="00EC7804" w:rsidRDefault="00EC7804" w:rsidP="00EC7804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682F32" w:rsidRPr="00F07EEF" w:rsidRDefault="00EC7804" w:rsidP="00F07EEF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  <w:t xml:space="preserve">Předmětem Smlouvy je zřízení a vymezení věcného břemene </w:t>
      </w:r>
      <w:r w:rsidR="00DF1391">
        <w:rPr>
          <w:rFonts w:eastAsia="Calibri"/>
          <w:color w:val="000000"/>
          <w:spacing w:val="2"/>
          <w:lang w:eastAsia="en-US"/>
        </w:rPr>
        <w:t>k </w:t>
      </w:r>
      <w:r w:rsidR="00F62814">
        <w:rPr>
          <w:rFonts w:eastAsia="Calibri"/>
          <w:color w:val="000000"/>
          <w:spacing w:val="2"/>
          <w:lang w:eastAsia="en-US"/>
        </w:rPr>
        <w:t>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</w:t>
      </w:r>
      <w:r w:rsidR="00920A20">
        <w:rPr>
          <w:rFonts w:eastAsia="Calibri"/>
          <w:color w:val="000000"/>
          <w:spacing w:val="2"/>
          <w:lang w:eastAsia="en-US"/>
        </w:rPr>
        <w:t>76</w:t>
      </w:r>
      <w:r w:rsidRPr="00EC7804">
        <w:rPr>
          <w:rFonts w:eastAsia="Calibri"/>
          <w:color w:val="000000"/>
          <w:spacing w:val="2"/>
          <w:lang w:eastAsia="en-US"/>
        </w:rPr>
        <w:t xml:space="preserve"> odst. </w:t>
      </w:r>
      <w:r w:rsidR="00920A20">
        <w:rPr>
          <w:rFonts w:eastAsia="Calibri"/>
          <w:color w:val="000000"/>
          <w:spacing w:val="2"/>
          <w:lang w:eastAsia="en-US"/>
        </w:rPr>
        <w:t>7</w:t>
      </w:r>
      <w:r w:rsidRPr="00EC7804">
        <w:rPr>
          <w:rFonts w:eastAsia="Calibri"/>
          <w:color w:val="000000"/>
          <w:spacing w:val="2"/>
          <w:lang w:eastAsia="en-US"/>
        </w:rPr>
        <w:t xml:space="preserve"> energetického zákona, nepodléhající úpravě služebnosti inženýrské sítě v občanském zákoníku (dále též jen „</w:t>
      </w:r>
      <w:r w:rsidRPr="00F07EEF">
        <w:rPr>
          <w:rFonts w:eastAsia="Calibri"/>
          <w:b/>
          <w:color w:val="000000"/>
          <w:spacing w:val="2"/>
          <w:lang w:eastAsia="en-US"/>
        </w:rPr>
        <w:t>věcné břemeno</w:t>
      </w:r>
      <w:r w:rsidRPr="00EC7804">
        <w:rPr>
          <w:rFonts w:eastAsia="Calibri"/>
          <w:color w:val="000000"/>
          <w:spacing w:val="2"/>
          <w:lang w:eastAsia="en-US"/>
        </w:rPr>
        <w:t xml:space="preserve">“). Obsah věcného břemene 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 Věcné břemeno se zřizuje k Pozemk</w:t>
      </w:r>
      <w:r w:rsidR="006626D1">
        <w:rPr>
          <w:rFonts w:eastAsia="Calibri"/>
          <w:color w:val="000000"/>
          <w:spacing w:val="-2"/>
          <w:lang w:eastAsia="en-US"/>
        </w:rPr>
        <w:t>ům</w:t>
      </w:r>
      <w:r w:rsidRPr="00EC7804">
        <w:rPr>
          <w:rFonts w:eastAsia="Calibri"/>
          <w:color w:val="000000"/>
          <w:spacing w:val="-2"/>
          <w:lang w:eastAsia="en-US"/>
        </w:rPr>
        <w:t xml:space="preserve">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</w:t>
      </w:r>
      <w:r w:rsidR="006626D1">
        <w:rPr>
          <w:rFonts w:eastAsia="Calibri"/>
          <w:color w:val="000000"/>
          <w:spacing w:val="-2"/>
          <w:lang w:eastAsia="en-US"/>
        </w:rPr>
        <w:t>,</w:t>
      </w:r>
      <w:r w:rsidR="00917067">
        <w:rPr>
          <w:rFonts w:eastAsia="Calibri"/>
          <w:color w:val="000000"/>
          <w:spacing w:val="-2"/>
          <w:lang w:eastAsia="en-US"/>
        </w:rPr>
        <w:t xml:space="preserve">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</w:t>
      </w:r>
      <w:r w:rsidR="006626D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přísl</w:t>
      </w:r>
      <w:r w:rsidR="006626D1">
        <w:rPr>
          <w:rFonts w:eastAsia="Calibri"/>
          <w:color w:val="000000"/>
          <w:spacing w:val="-2"/>
          <w:lang w:eastAsia="en-US"/>
        </w:rPr>
        <w:t xml:space="preserve">ušných </w:t>
      </w:r>
      <w:r w:rsidRPr="00EC7804">
        <w:rPr>
          <w:rFonts w:eastAsia="Calibri"/>
          <w:color w:val="000000"/>
          <w:spacing w:val="-2"/>
          <w:lang w:eastAsia="en-US"/>
        </w:rPr>
        <w:t>ustanovení energetického zákona.</w:t>
      </w:r>
    </w:p>
    <w:p w:rsidR="00D51BBD" w:rsidRDefault="00D51BBD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6010E" w:rsidRDefault="0056010E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AB1464" w:rsidRDefault="00EC7804" w:rsidP="00AB146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13"/>
          <w:lang w:eastAsia="en-US"/>
        </w:rPr>
        <w:t>3.1.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 strany se dohodly, že Povinný zřizuje k Pozemk</w:t>
      </w:r>
      <w:r w:rsidR="006626D1">
        <w:rPr>
          <w:rFonts w:eastAsia="Calibri"/>
          <w:color w:val="000000"/>
          <w:spacing w:val="-3"/>
          <w:lang w:eastAsia="en-US"/>
        </w:rPr>
        <w:t>ům</w:t>
      </w:r>
      <w:r w:rsidRPr="00EC7804">
        <w:rPr>
          <w:rFonts w:eastAsia="Calibri"/>
          <w:spacing w:val="-3"/>
          <w:lang w:eastAsia="en-US"/>
        </w:rPr>
        <w:t xml:space="preserve"> 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 xml:space="preserve">podle § </w:t>
      </w:r>
      <w:r w:rsidR="00F07EEF">
        <w:rPr>
          <w:rFonts w:eastAsia="Calibri"/>
          <w:color w:val="000000"/>
          <w:spacing w:val="2"/>
          <w:lang w:eastAsia="en-US"/>
        </w:rPr>
        <w:t>76</w:t>
      </w:r>
      <w:r w:rsidRPr="00EC7804">
        <w:rPr>
          <w:rFonts w:eastAsia="Calibri"/>
          <w:color w:val="000000"/>
          <w:spacing w:val="2"/>
          <w:lang w:eastAsia="en-US"/>
        </w:rPr>
        <w:t xml:space="preserve"> odst. </w:t>
      </w:r>
      <w:r w:rsidR="00F07EEF">
        <w:rPr>
          <w:rFonts w:eastAsia="Calibri"/>
          <w:color w:val="000000"/>
          <w:spacing w:val="2"/>
          <w:lang w:eastAsia="en-US"/>
        </w:rPr>
        <w:t>7</w:t>
      </w:r>
      <w:r w:rsidRPr="00EC7804">
        <w:rPr>
          <w:rFonts w:eastAsia="Calibri"/>
          <w:color w:val="000000"/>
          <w:spacing w:val="2"/>
          <w:lang w:eastAsia="en-US"/>
        </w:rPr>
        <w:t xml:space="preserve">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C7804" w:rsidRPr="00F62814" w:rsidRDefault="00AB1464" w:rsidP="00AB146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13"/>
          <w:lang w:eastAsia="en-US"/>
        </w:rPr>
        <w:t>3.</w:t>
      </w:r>
      <w:r>
        <w:rPr>
          <w:rFonts w:eastAsia="Calibri"/>
          <w:color w:val="000000"/>
          <w:spacing w:val="-13"/>
          <w:lang w:eastAsia="en-US"/>
        </w:rPr>
        <w:t>2</w:t>
      </w:r>
      <w:r w:rsidRPr="00EC7804">
        <w:rPr>
          <w:rFonts w:eastAsia="Calibri"/>
          <w:color w:val="000000"/>
          <w:spacing w:val="-13"/>
          <w:lang w:eastAsia="en-US"/>
        </w:rPr>
        <w:t>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Smluvní strany se za účelem </w:t>
      </w:r>
      <w:r w:rsidR="00EC7804" w:rsidRPr="00257A56">
        <w:rPr>
          <w:rFonts w:eastAsia="Calibri"/>
          <w:spacing w:val="-4"/>
          <w:lang w:eastAsia="en-US"/>
        </w:rPr>
        <w:t xml:space="preserve">umístění </w:t>
      </w:r>
      <w:r w:rsidR="00E46C43" w:rsidRPr="00257A56">
        <w:rPr>
          <w:rFonts w:eastAsia="Calibri"/>
          <w:spacing w:val="-4"/>
          <w:lang w:eastAsia="en-US"/>
        </w:rPr>
        <w:t xml:space="preserve">a provozování </w:t>
      </w:r>
      <w:r w:rsidR="00F07EEF" w:rsidRPr="00F07EEF">
        <w:rPr>
          <w:rFonts w:eastAsia="Calibri"/>
          <w:color w:val="000000"/>
          <w:spacing w:val="-6"/>
          <w:lang w:eastAsia="en-US"/>
        </w:rPr>
        <w:t>Součást</w:t>
      </w:r>
      <w:r w:rsidR="00C714DD">
        <w:rPr>
          <w:rFonts w:eastAsia="Calibri"/>
          <w:color w:val="000000"/>
          <w:spacing w:val="-6"/>
          <w:lang w:eastAsia="en-US"/>
        </w:rPr>
        <w:t>í</w:t>
      </w:r>
      <w:r w:rsidR="00F07EEF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– </w:t>
      </w:r>
      <w:r w:rsidR="00F07EEF">
        <w:rPr>
          <w:rFonts w:eastAsia="Calibri"/>
          <w:color w:val="000000"/>
          <w:spacing w:val="-4"/>
          <w:lang w:eastAsia="en-US"/>
        </w:rPr>
        <w:t>přeložky horkovodu</w:t>
      </w:r>
      <w:r w:rsidR="00D56339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(dále jen „</w:t>
      </w:r>
      <w:r w:rsidR="00F07EEF" w:rsidRPr="00F07EEF">
        <w:rPr>
          <w:rFonts w:eastAsia="Calibri"/>
          <w:b/>
          <w:color w:val="000000"/>
          <w:spacing w:val="-6"/>
          <w:lang w:eastAsia="en-US"/>
        </w:rPr>
        <w:t>Součásti rozvodného tepelného zařízení</w:t>
      </w:r>
      <w:r w:rsidR="00EC7804" w:rsidRPr="00EC7804">
        <w:rPr>
          <w:rFonts w:eastAsia="Calibri"/>
          <w:color w:val="000000"/>
          <w:spacing w:val="-4"/>
          <w:lang w:eastAsia="en-US"/>
        </w:rPr>
        <w:t>“)</w:t>
      </w:r>
      <w:r w:rsidR="00E93643">
        <w:rPr>
          <w:rFonts w:eastAsia="Calibri"/>
          <w:color w:val="000000"/>
          <w:spacing w:val="-4"/>
          <w:lang w:eastAsia="en-US"/>
        </w:rPr>
        <w:t>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D56339">
        <w:rPr>
          <w:rFonts w:eastAsia="Calibri"/>
          <w:color w:val="000000"/>
          <w:spacing w:val="-4"/>
          <w:lang w:eastAsia="en-US"/>
        </w:rPr>
        <w:t xml:space="preserve">které </w:t>
      </w:r>
      <w:r w:rsidR="00EC7804" w:rsidRPr="00EC7804">
        <w:rPr>
          <w:rFonts w:eastAsia="Calibri"/>
          <w:spacing w:val="-2"/>
          <w:lang w:eastAsia="en-US"/>
        </w:rPr>
        <w:t>Oprávněný vybudoval a j</w:t>
      </w:r>
      <w:r w:rsidR="00E93643">
        <w:rPr>
          <w:rFonts w:eastAsia="Calibri"/>
          <w:spacing w:val="-2"/>
          <w:lang w:eastAsia="en-US"/>
        </w:rPr>
        <w:t>sou</w:t>
      </w:r>
      <w:r w:rsidR="00EC7804" w:rsidRPr="00EC7804">
        <w:rPr>
          <w:rFonts w:eastAsia="Calibri"/>
          <w:spacing w:val="-2"/>
          <w:lang w:eastAsia="en-US"/>
        </w:rPr>
        <w:t xml:space="preserve"> v jeho vlastnictví,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dohodly na zřízení věcného břemene, jehož obsahem je právo Oprávněného zřídit, provozovat, opravovat a udržovat </w:t>
      </w:r>
      <w:r w:rsidR="00F07EEF" w:rsidRPr="00F07EEF">
        <w:rPr>
          <w:rFonts w:eastAsia="Calibri"/>
          <w:color w:val="000000"/>
          <w:spacing w:val="-6"/>
          <w:lang w:eastAsia="en-US"/>
        </w:rPr>
        <w:t>Součásti rozvodného tepelného zařízení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na Pozem</w:t>
      </w:r>
      <w:r w:rsidR="00D56339">
        <w:rPr>
          <w:rFonts w:eastAsia="Calibri"/>
          <w:color w:val="000000"/>
          <w:spacing w:val="-4"/>
          <w:lang w:eastAsia="en-US"/>
        </w:rPr>
        <w:t>cích</w:t>
      </w:r>
      <w:r w:rsidR="00EC7804" w:rsidRPr="00EC7804">
        <w:rPr>
          <w:rFonts w:eastAsia="Calibri"/>
          <w:spacing w:val="-4"/>
          <w:lang w:eastAsia="en-US"/>
        </w:rPr>
        <w:t>.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Věcné břemeno zahrnuje též právo Oprávněného zřídit, mít a udržovat na </w:t>
      </w:r>
      <w:r w:rsidR="00D56339">
        <w:rPr>
          <w:rFonts w:eastAsia="Calibri"/>
          <w:spacing w:val="-4"/>
          <w:lang w:eastAsia="en-US"/>
        </w:rPr>
        <w:t>Pozemcích</w:t>
      </w:r>
      <w:r w:rsidR="00EC7804" w:rsidRPr="00EC7804">
        <w:rPr>
          <w:rFonts w:eastAsia="Calibri"/>
          <w:spacing w:val="-2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potřebné obslužné zařízení, jakož i právo provádět na </w:t>
      </w:r>
      <w:r w:rsidR="002B715C" w:rsidRPr="002B715C">
        <w:rPr>
          <w:rFonts w:eastAsia="Calibri"/>
          <w:color w:val="000000"/>
          <w:spacing w:val="-6"/>
          <w:lang w:eastAsia="en-US"/>
        </w:rPr>
        <w:t>Součástech rozvodného tepelného zařízení</w:t>
      </w:r>
      <w:r w:rsidR="002B715C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4"/>
          <w:lang w:eastAsia="en-US"/>
        </w:rPr>
        <w:t>úpravy za účelem jej</w:t>
      </w:r>
      <w:r w:rsidR="002B715C">
        <w:rPr>
          <w:rFonts w:eastAsia="Calibri"/>
          <w:color w:val="000000"/>
          <w:spacing w:val="-4"/>
          <w:lang w:eastAsia="en-US"/>
        </w:rPr>
        <w:t>ich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obnovy, výměny, modernizace nebo zlepšení jej</w:t>
      </w:r>
      <w:r w:rsidR="002B715C">
        <w:rPr>
          <w:rFonts w:eastAsia="Calibri"/>
          <w:color w:val="000000"/>
          <w:spacing w:val="-4"/>
          <w:lang w:eastAsia="en-US"/>
        </w:rPr>
        <w:t>ich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výkonnosti, včetně jej</w:t>
      </w:r>
      <w:r w:rsidR="002B715C">
        <w:rPr>
          <w:rFonts w:eastAsia="Calibri"/>
          <w:color w:val="000000"/>
          <w:spacing w:val="-4"/>
          <w:lang w:eastAsia="en-US"/>
        </w:rPr>
        <w:t>ich</w:t>
      </w:r>
      <w:r w:rsidR="00EC7804" w:rsidRPr="00EC7804">
        <w:rPr>
          <w:rFonts w:eastAsia="Calibri"/>
          <w:color w:val="000000"/>
          <w:spacing w:val="-4"/>
          <w:lang w:eastAsia="en-US"/>
        </w:rPr>
        <w:t xml:space="preserve"> odstranění.</w:t>
      </w:r>
    </w:p>
    <w:p w:rsidR="00F62814" w:rsidRPr="00F62814" w:rsidRDefault="002B715C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07EEF">
        <w:rPr>
          <w:rFonts w:eastAsia="Calibri"/>
          <w:color w:val="000000"/>
          <w:spacing w:val="-6"/>
          <w:lang w:eastAsia="en-US"/>
        </w:rPr>
        <w:t>Součásti rozvodného tepelného zařízení</w:t>
      </w:r>
      <w:r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F62814" w:rsidRPr="00F62814">
        <w:rPr>
          <w:rFonts w:eastAsia="Calibri"/>
          <w:color w:val="000000"/>
          <w:spacing w:val="-2"/>
          <w:lang w:eastAsia="en-US"/>
        </w:rPr>
        <w:t xml:space="preserve"> j</w:t>
      </w:r>
      <w:r>
        <w:rPr>
          <w:rFonts w:eastAsia="Calibri"/>
          <w:color w:val="000000"/>
          <w:spacing w:val="-2"/>
          <w:lang w:eastAsia="en-US"/>
        </w:rPr>
        <w:t>sou</w:t>
      </w:r>
      <w:r w:rsidR="00F62814" w:rsidRPr="00F62814">
        <w:rPr>
          <w:rFonts w:eastAsia="Calibri"/>
          <w:color w:val="000000"/>
          <w:spacing w:val="-2"/>
          <w:lang w:eastAsia="en-US"/>
        </w:rPr>
        <w:t xml:space="preserve"> inženýrskou sítí ve smyslu § 509 </w:t>
      </w:r>
      <w:r w:rsidR="00F62814"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EC7804" w:rsidRPr="00EC7804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Rozsah věcného břemene podle této smlouvy je vymezen v</w:t>
      </w:r>
      <w:r w:rsidR="00D56339">
        <w:rPr>
          <w:rFonts w:eastAsia="Calibri"/>
          <w:color w:val="000000"/>
          <w:spacing w:val="-4"/>
          <w:lang w:eastAsia="en-US"/>
        </w:rPr>
        <w:t> geometrickém plánu č.</w:t>
      </w:r>
      <w:r w:rsidR="00D86E0E">
        <w:rPr>
          <w:rFonts w:eastAsia="Calibri"/>
          <w:color w:val="000000"/>
          <w:spacing w:val="-4"/>
          <w:lang w:eastAsia="en-US"/>
        </w:rPr>
        <w:t xml:space="preserve"> 2947-56/2016 ze dne 18.4.2016,</w:t>
      </w:r>
      <w:r w:rsidR="00132CA1">
        <w:rPr>
          <w:rFonts w:eastAsia="Calibri"/>
          <w:color w:val="000000"/>
          <w:spacing w:val="-4"/>
          <w:lang w:eastAsia="en-US"/>
        </w:rPr>
        <w:t xml:space="preserve"> </w:t>
      </w:r>
      <w:r w:rsidR="000A5D32">
        <w:rPr>
          <w:rFonts w:eastAsia="Calibri"/>
          <w:color w:val="000000"/>
          <w:spacing w:val="-4"/>
          <w:lang w:eastAsia="en-US"/>
        </w:rPr>
        <w:t>který</w:t>
      </w:r>
      <w:r w:rsidRPr="00EC7804">
        <w:rPr>
          <w:rFonts w:eastAsia="Calibri"/>
          <w:color w:val="000000"/>
          <w:spacing w:val="-4"/>
          <w:lang w:eastAsia="en-US"/>
        </w:rPr>
        <w:t xml:space="preserve"> je přílohou a nedílnou součástí </w:t>
      </w:r>
      <w:r w:rsidR="00D73C9F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mlouvy.</w:t>
      </w:r>
    </w:p>
    <w:p w:rsidR="00EC7804" w:rsidRPr="00257A56" w:rsidRDefault="00EC780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 xml:space="preserve">mlouvy a energetického zákona a zdržet se veškeré činnosti, která vede k ohrožení </w:t>
      </w:r>
      <w:r w:rsidR="002B715C" w:rsidRPr="00F07EEF">
        <w:rPr>
          <w:rFonts w:eastAsia="Calibri"/>
          <w:color w:val="000000"/>
          <w:spacing w:val="-6"/>
          <w:lang w:eastAsia="en-US"/>
        </w:rPr>
        <w:t>Součást</w:t>
      </w:r>
      <w:r w:rsidR="002B715C">
        <w:rPr>
          <w:rFonts w:eastAsia="Calibri"/>
          <w:color w:val="000000"/>
          <w:spacing w:val="-6"/>
          <w:lang w:eastAsia="en-US"/>
        </w:rPr>
        <w:t>í</w:t>
      </w:r>
      <w:r w:rsidR="002B715C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2B715C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Pr="00EC7804">
        <w:rPr>
          <w:rFonts w:eastAsia="Calibri"/>
          <w:color w:val="000000"/>
          <w:spacing w:val="-4"/>
          <w:lang w:eastAsia="en-US"/>
        </w:rPr>
        <w:t>a omezení výkonu tohoto práva Oprávněného.</w:t>
      </w:r>
    </w:p>
    <w:p w:rsidR="00F62814" w:rsidRPr="00F62814" w:rsidRDefault="00EC7804" w:rsidP="00F6281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>mlouvou, se sjednává jako časově neomezené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EC7804" w:rsidRPr="00EC7804" w:rsidRDefault="00F62814" w:rsidP="00EC780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200"/>
        <w:ind w:left="567" w:hanging="567"/>
        <w:contextualSpacing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6626D1">
        <w:rPr>
          <w:rFonts w:eastAsia="Calibri"/>
          <w:color w:val="000000"/>
          <w:spacing w:val="-3"/>
          <w:lang w:eastAsia="en-US"/>
        </w:rPr>
        <w:t>ů</w:t>
      </w:r>
      <w:r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</w:t>
      </w:r>
      <w:r w:rsidR="006626D1">
        <w:rPr>
          <w:rFonts w:eastAsia="Calibri"/>
          <w:color w:val="000000"/>
          <w:spacing w:val="-3"/>
          <w:lang w:eastAsia="en-US"/>
        </w:rPr>
        <w:t>o břemene, na nabyvatele Pozemků</w:t>
      </w:r>
      <w:r w:rsidRPr="00EC7804">
        <w:rPr>
          <w:rFonts w:eastAsia="Calibri"/>
          <w:color w:val="000000"/>
          <w:spacing w:val="-3"/>
          <w:lang w:eastAsia="en-US"/>
        </w:rPr>
        <w:t>.</w:t>
      </w:r>
    </w:p>
    <w:p w:rsidR="00D51BBD" w:rsidRDefault="00D51BBD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6010E" w:rsidRDefault="0056010E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56010E" w:rsidRDefault="0056010E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IV.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má ve vztahu k</w:t>
      </w:r>
      <w:r w:rsidR="00682F32">
        <w:rPr>
          <w:rFonts w:eastAsia="Calibri"/>
          <w:color w:val="000000"/>
          <w:spacing w:val="-2"/>
          <w:lang w:eastAsia="en-US"/>
        </w:rPr>
        <w:t xml:space="preserve"> Pozemkům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</w:t>
      </w:r>
      <w:r w:rsidR="002C02CC">
        <w:rPr>
          <w:rFonts w:eastAsia="Calibri"/>
          <w:color w:val="000000"/>
          <w:spacing w:val="-2"/>
          <w:lang w:eastAsia="en-US"/>
        </w:rPr>
        <w:t xml:space="preserve">provozovateli </w:t>
      </w:r>
      <w:r w:rsidR="00940DBD">
        <w:rPr>
          <w:rFonts w:eastAsia="Calibri"/>
          <w:color w:val="000000"/>
          <w:spacing w:val="-2"/>
          <w:lang w:eastAsia="en-US"/>
        </w:rPr>
        <w:t xml:space="preserve"> rozvodného tepelného zařízení</w:t>
      </w:r>
      <w:r w:rsidR="005D38A2">
        <w:rPr>
          <w:rFonts w:eastAsia="Calibri"/>
          <w:color w:val="000000"/>
          <w:spacing w:val="-2"/>
          <w:lang w:eastAsia="en-US"/>
        </w:rPr>
        <w:t>,</w:t>
      </w:r>
      <w:r w:rsidR="002C02CC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§ </w:t>
      </w:r>
      <w:r w:rsidR="00940DBD">
        <w:rPr>
          <w:rFonts w:eastAsia="Calibri"/>
          <w:color w:val="000000"/>
          <w:spacing w:val="-2"/>
          <w:lang w:eastAsia="en-US"/>
        </w:rPr>
        <w:t>76</w:t>
      </w:r>
      <w:r w:rsidRPr="00EC7804">
        <w:rPr>
          <w:rFonts w:eastAsia="Calibri"/>
          <w:color w:val="000000"/>
          <w:spacing w:val="-2"/>
          <w:lang w:eastAsia="en-US"/>
        </w:rPr>
        <w:t xml:space="preserve"> odst. </w:t>
      </w:r>
      <w:r w:rsidR="00940DBD">
        <w:rPr>
          <w:rFonts w:eastAsia="Calibri"/>
          <w:color w:val="000000"/>
          <w:spacing w:val="-2"/>
          <w:lang w:eastAsia="en-US"/>
        </w:rPr>
        <w:t>5</w:t>
      </w:r>
      <w:r w:rsidRPr="00EC7804">
        <w:rPr>
          <w:rFonts w:eastAsia="Calibri"/>
          <w:color w:val="000000"/>
          <w:spacing w:val="-2"/>
          <w:lang w:eastAsia="en-US"/>
        </w:rPr>
        <w:t xml:space="preserve"> energeti</w:t>
      </w:r>
      <w:r w:rsidR="002C02CC">
        <w:rPr>
          <w:rFonts w:eastAsia="Calibri"/>
          <w:color w:val="000000"/>
          <w:spacing w:val="-2"/>
          <w:lang w:eastAsia="en-US"/>
        </w:rPr>
        <w:t>ckého zákona, především pak:</w:t>
      </w:r>
    </w:p>
    <w:p w:rsidR="00EC7804" w:rsidRPr="00EC7804" w:rsidRDefault="00EC7804" w:rsidP="00EC7804">
      <w:pPr>
        <w:numPr>
          <w:ilvl w:val="0"/>
          <w:numId w:val="3"/>
        </w:numPr>
        <w:shd w:val="clear" w:color="auto" w:fill="FFFFFF"/>
        <w:spacing w:before="120" w:after="120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>vstupovat a vjíždět na Pozem</w:t>
      </w:r>
      <w:r w:rsidR="006626D1">
        <w:rPr>
          <w:rFonts w:eastAsia="Calibri"/>
          <w:color w:val="000000"/>
          <w:spacing w:val="-2"/>
          <w:lang w:eastAsia="en-US"/>
        </w:rPr>
        <w:t>ky</w:t>
      </w:r>
      <w:r w:rsidR="000117BB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2C02CC">
        <w:rPr>
          <w:rFonts w:eastAsia="Calibri"/>
          <w:color w:val="000000"/>
          <w:spacing w:val="-2"/>
          <w:lang w:eastAsia="en-US"/>
        </w:rPr>
        <w:t xml:space="preserve"> z věcného břemene.</w:t>
      </w:r>
    </w:p>
    <w:p w:rsidR="00EC7804" w:rsidRDefault="00EC7804" w:rsidP="00EC7804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EC7804">
        <w:rPr>
          <w:rFonts w:eastAsiaTheme="minorHAnsi"/>
          <w:lang w:eastAsia="en-US"/>
        </w:rPr>
        <w:t xml:space="preserve">Oprávněný jako </w:t>
      </w:r>
      <w:r w:rsidR="00940DBD">
        <w:rPr>
          <w:rFonts w:eastAsiaTheme="minorHAnsi"/>
          <w:lang w:eastAsia="en-US"/>
        </w:rPr>
        <w:t>provozovatel rozvodného tepelného zařízení</w:t>
      </w:r>
      <w:r w:rsidRPr="00EC7804">
        <w:rPr>
          <w:rFonts w:eastAsiaTheme="minorHAnsi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>je povinen při výkonu svých oprávnění, popsaných shora, postupovat ve smyslu §</w:t>
      </w:r>
      <w:r w:rsidR="00940DBD">
        <w:rPr>
          <w:rFonts w:eastAsia="Calibri"/>
          <w:color w:val="000000"/>
          <w:spacing w:val="-2"/>
          <w:lang w:eastAsia="en-US"/>
        </w:rPr>
        <w:t>76</w:t>
      </w:r>
      <w:r w:rsidRPr="00EC7804">
        <w:rPr>
          <w:rFonts w:eastAsia="Calibri"/>
          <w:color w:val="000000"/>
          <w:spacing w:val="-2"/>
          <w:lang w:eastAsia="en-US"/>
        </w:rPr>
        <w:t xml:space="preserve"> odst. 8 energetického zákona, tj. co nejvíce šetřit práva Povinného a vstup na Pozem</w:t>
      </w:r>
      <w:r w:rsidR="00682F32">
        <w:rPr>
          <w:rFonts w:eastAsia="Calibri"/>
          <w:color w:val="000000"/>
          <w:spacing w:val="-2"/>
          <w:lang w:eastAsia="en-US"/>
        </w:rPr>
        <w:t xml:space="preserve">ky </w:t>
      </w:r>
      <w:r w:rsidRPr="00EC7804">
        <w:rPr>
          <w:rFonts w:eastAsia="Calibri"/>
          <w:color w:val="000000"/>
          <w:spacing w:val="-2"/>
          <w:lang w:eastAsia="en-US"/>
        </w:rPr>
        <w:t>mu bezprostředně oznámit. Po skončení prací je povinen uvést Pozem</w:t>
      </w:r>
      <w:r w:rsidR="00682F32">
        <w:rPr>
          <w:rFonts w:eastAsia="Calibri"/>
          <w:color w:val="000000"/>
          <w:spacing w:val="-2"/>
          <w:lang w:eastAsia="en-US"/>
        </w:rPr>
        <w:t>ky</w:t>
      </w:r>
      <w:r w:rsidRPr="00EC7804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682F32">
        <w:rPr>
          <w:rFonts w:eastAsia="Calibri"/>
          <w:color w:val="000000"/>
          <w:spacing w:val="-2"/>
          <w:lang w:eastAsia="en-US"/>
        </w:rPr>
        <w:t xml:space="preserve">ů </w:t>
      </w:r>
      <w:r w:rsidRPr="00EC7804">
        <w:rPr>
          <w:rFonts w:eastAsia="Calibri"/>
          <w:color w:val="000000"/>
          <w:spacing w:val="-2"/>
          <w:lang w:eastAsia="en-US"/>
        </w:rPr>
        <w:t>a bezprostředně oznámit tuto skutečnost Povinnému</w:t>
      </w:r>
      <w:r w:rsidR="002C02CC">
        <w:rPr>
          <w:rFonts w:eastAsia="Calibri"/>
          <w:color w:val="000000"/>
          <w:spacing w:val="-2"/>
          <w:lang w:eastAsia="en-US"/>
        </w:rPr>
        <w:t>.</w:t>
      </w:r>
    </w:p>
    <w:p w:rsidR="002C02CC" w:rsidRDefault="002C02CC" w:rsidP="002C02CC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4.3. </w:t>
      </w:r>
      <w:r w:rsidR="005360B3">
        <w:rPr>
          <w:rFonts w:eastAsia="Calibri"/>
          <w:color w:val="000000"/>
          <w:spacing w:val="-2"/>
          <w:lang w:eastAsia="en-US"/>
        </w:rPr>
        <w:tab/>
      </w:r>
      <w:r>
        <w:rPr>
          <w:rFonts w:eastAsia="Calibri"/>
          <w:color w:val="000000"/>
          <w:spacing w:val="-2"/>
          <w:lang w:eastAsia="en-US"/>
        </w:rPr>
        <w:t xml:space="preserve">Náklady spojené s provozem, obsluhou, údržbou, opravami a případnými rekonstrukcemi </w:t>
      </w:r>
      <w:r w:rsidR="00940DBD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940DBD" w:rsidRPr="00F07EEF">
        <w:rPr>
          <w:rFonts w:eastAsia="Calibri"/>
          <w:color w:val="000000"/>
          <w:spacing w:val="-6"/>
          <w:lang w:eastAsia="en-US"/>
        </w:rPr>
        <w:t>Součást</w:t>
      </w:r>
      <w:r w:rsidR="00B77CF9">
        <w:rPr>
          <w:rFonts w:eastAsia="Calibri"/>
          <w:color w:val="000000"/>
          <w:spacing w:val="-6"/>
          <w:lang w:eastAsia="en-US"/>
        </w:rPr>
        <w:t>í</w:t>
      </w:r>
      <w:r w:rsidR="00940DBD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940DBD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B77CF9">
        <w:rPr>
          <w:rFonts w:eastAsia="Calibri"/>
          <w:color w:val="000000"/>
          <w:spacing w:val="-4"/>
          <w:lang w:eastAsia="en-US"/>
        </w:rPr>
        <w:t xml:space="preserve">na </w:t>
      </w:r>
      <w:r w:rsidR="00682F32">
        <w:rPr>
          <w:rFonts w:eastAsia="Calibri"/>
          <w:color w:val="000000"/>
          <w:spacing w:val="-2"/>
          <w:lang w:eastAsia="en-US"/>
        </w:rPr>
        <w:t>Pozemcích</w:t>
      </w:r>
      <w:r>
        <w:rPr>
          <w:rFonts w:eastAsia="Calibri"/>
          <w:color w:val="000000"/>
          <w:spacing w:val="-2"/>
          <w:lang w:eastAsia="en-US"/>
        </w:rPr>
        <w:t xml:space="preserve"> 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>právněný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FE641E" w:rsidRDefault="002C02CC" w:rsidP="00FE641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4.4.</w:t>
      </w:r>
      <w:r>
        <w:rPr>
          <w:rFonts w:eastAsia="Calibri"/>
          <w:color w:val="000000"/>
          <w:spacing w:val="-2"/>
          <w:lang w:eastAsia="en-US"/>
        </w:rPr>
        <w:tab/>
        <w:t xml:space="preserve">Náklady spojené s případnou škodou, vzniklé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 xml:space="preserve">ovinnému v souvislosti s umístěním a provozem </w:t>
      </w:r>
      <w:r w:rsidR="00B77CF9" w:rsidRPr="00F07EEF">
        <w:rPr>
          <w:rFonts w:eastAsia="Calibri"/>
          <w:color w:val="000000"/>
          <w:spacing w:val="-6"/>
          <w:lang w:eastAsia="en-US"/>
        </w:rPr>
        <w:t>Součást</w:t>
      </w:r>
      <w:r w:rsidR="00B77CF9">
        <w:rPr>
          <w:rFonts w:eastAsia="Calibri"/>
          <w:color w:val="000000"/>
          <w:spacing w:val="-6"/>
          <w:lang w:eastAsia="en-US"/>
        </w:rPr>
        <w:t>í</w:t>
      </w:r>
      <w:r w:rsidR="00B77CF9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B77CF9" w:rsidRPr="00EC7804">
        <w:rPr>
          <w:rFonts w:eastAsia="Calibri"/>
          <w:color w:val="000000"/>
          <w:spacing w:val="-4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 xml:space="preserve">uhradí </w:t>
      </w:r>
      <w:r w:rsidR="0076445B">
        <w:rPr>
          <w:rFonts w:eastAsia="Calibri"/>
          <w:color w:val="000000"/>
          <w:spacing w:val="-2"/>
          <w:lang w:eastAsia="en-US"/>
        </w:rPr>
        <w:t>O</w:t>
      </w:r>
      <w:r>
        <w:rPr>
          <w:rFonts w:eastAsia="Calibri"/>
          <w:color w:val="000000"/>
          <w:spacing w:val="-2"/>
          <w:lang w:eastAsia="en-US"/>
        </w:rPr>
        <w:t xml:space="preserve">právněný neprodleně po prokázání škody, na základě písemného požadavku </w:t>
      </w:r>
      <w:r w:rsidR="0076445B">
        <w:rPr>
          <w:rFonts w:eastAsia="Calibri"/>
          <w:color w:val="000000"/>
          <w:spacing w:val="-2"/>
          <w:lang w:eastAsia="en-US"/>
        </w:rPr>
        <w:t>P</w:t>
      </w:r>
      <w:r>
        <w:rPr>
          <w:rFonts w:eastAsia="Calibri"/>
          <w:color w:val="000000"/>
          <w:spacing w:val="-2"/>
          <w:lang w:eastAsia="en-US"/>
        </w:rPr>
        <w:t>ovinného</w:t>
      </w:r>
      <w:r w:rsidR="00682F32">
        <w:rPr>
          <w:rFonts w:eastAsia="Calibri"/>
          <w:color w:val="000000"/>
          <w:spacing w:val="-2"/>
          <w:lang w:eastAsia="en-US"/>
        </w:rPr>
        <w:t>.</w:t>
      </w:r>
    </w:p>
    <w:p w:rsidR="0056010E" w:rsidRPr="00FE641E" w:rsidRDefault="005360B3" w:rsidP="00FE641E">
      <w:pPr>
        <w:shd w:val="clear" w:color="auto" w:fill="FFFFFF"/>
        <w:spacing w:before="120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4.5.</w:t>
      </w:r>
      <w:r>
        <w:rPr>
          <w:rFonts w:eastAsia="Calibri"/>
          <w:color w:val="000000"/>
          <w:spacing w:val="-2"/>
          <w:lang w:eastAsia="en-US"/>
        </w:rPr>
        <w:tab/>
      </w:r>
      <w:r w:rsidR="00FE641E" w:rsidRPr="00FE641E">
        <w:rPr>
          <w:rFonts w:eastAsia="Calibri"/>
          <w:color w:val="000000"/>
          <w:spacing w:val="-2"/>
          <w:lang w:eastAsia="en-US"/>
        </w:rPr>
        <w:t xml:space="preserve">Povinný bere na vědomí, že v ochranném pásmu kolem horkovodu, stanoveném zák. č. 458/2000 Sb., je zakázáno provádět činnosti, které by mohly mít za následek ohrožení života, zdraví či majetku osob, bezpečnosti a spolehlivosti provozu </w:t>
      </w:r>
      <w:r w:rsidR="00FE641E" w:rsidRPr="00F07EEF">
        <w:rPr>
          <w:rFonts w:eastAsia="Calibri"/>
          <w:color w:val="000000"/>
          <w:spacing w:val="-6"/>
          <w:lang w:eastAsia="en-US"/>
        </w:rPr>
        <w:t>Součást</w:t>
      </w:r>
      <w:r w:rsidR="00FE641E">
        <w:rPr>
          <w:rFonts w:eastAsia="Calibri"/>
          <w:color w:val="000000"/>
          <w:spacing w:val="-6"/>
          <w:lang w:eastAsia="en-US"/>
        </w:rPr>
        <w:t>í</w:t>
      </w:r>
      <w:r w:rsidR="00FE641E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FE641E">
        <w:rPr>
          <w:rFonts w:eastAsia="Calibri"/>
          <w:color w:val="000000"/>
          <w:spacing w:val="-2"/>
          <w:lang w:eastAsia="en-US"/>
        </w:rPr>
        <w:t xml:space="preserve"> </w:t>
      </w:r>
      <w:r w:rsidR="00FE641E" w:rsidRPr="00FE641E">
        <w:rPr>
          <w:rFonts w:eastAsia="Calibri"/>
          <w:color w:val="000000"/>
          <w:spacing w:val="-2"/>
          <w:lang w:eastAsia="en-US"/>
        </w:rPr>
        <w:t xml:space="preserve"> a nebo znemožňující či podstatně znesnadňující je</w:t>
      </w:r>
      <w:r w:rsidR="00FE641E">
        <w:rPr>
          <w:rFonts w:eastAsia="Calibri"/>
          <w:color w:val="000000"/>
          <w:spacing w:val="-2"/>
          <w:lang w:eastAsia="en-US"/>
        </w:rPr>
        <w:t>jich</w:t>
      </w:r>
      <w:r w:rsidR="00FE641E" w:rsidRPr="00FE641E">
        <w:rPr>
          <w:rFonts w:eastAsia="Calibri"/>
          <w:color w:val="000000"/>
          <w:spacing w:val="-2"/>
          <w:lang w:eastAsia="en-US"/>
        </w:rPr>
        <w:t xml:space="preserve"> údržbu.</w:t>
      </w:r>
    </w:p>
    <w:p w:rsidR="00DB27C5" w:rsidRPr="00EC7804" w:rsidRDefault="00DB27C5" w:rsidP="00917067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EC7804" w:rsidRPr="00EC7804" w:rsidRDefault="00F5611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B26499" w:rsidRPr="00611385" w:rsidRDefault="00EC7804" w:rsidP="00B77CF9">
      <w:pPr>
        <w:shd w:val="clear" w:color="auto" w:fill="FFFFFF"/>
        <w:spacing w:before="120" w:after="120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5.1.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B77CF9" w:rsidRDefault="005D5367" w:rsidP="00B77CF9">
      <w:pPr>
        <w:spacing w:after="120"/>
        <w:ind w:left="567" w:hanging="567"/>
        <w:jc w:val="both"/>
      </w:pPr>
      <w:r w:rsidRPr="00611385">
        <w:t>5.</w:t>
      </w:r>
      <w:r w:rsidR="00C714DD">
        <w:t>2</w:t>
      </w:r>
      <w:r w:rsidR="00F732CD">
        <w:t>.</w:t>
      </w:r>
      <w:r w:rsidR="00F732CD">
        <w:tab/>
      </w:r>
      <w:r w:rsidR="00B77CF9" w:rsidRPr="00611385">
        <w:t>J</w:t>
      </w:r>
      <w:r w:rsidR="00B77CF9" w:rsidRPr="00611385">
        <w:rPr>
          <w:iCs/>
        </w:rPr>
        <w:t>ednorázovou</w:t>
      </w:r>
      <w:r w:rsidR="00B77CF9" w:rsidRPr="00611385">
        <w:t xml:space="preserve"> náhradu za zřízení výše uvedeného Věcného břemene sjednávají Smluvní strany </w:t>
      </w:r>
      <w:r w:rsidR="00B77CF9">
        <w:t xml:space="preserve">dohodou </w:t>
      </w:r>
      <w:r w:rsidR="00B77CF9" w:rsidRPr="00611385">
        <w:t>ve výši</w:t>
      </w:r>
      <w:r w:rsidR="00B77CF9">
        <w:t xml:space="preserve"> 1000,-K</w:t>
      </w:r>
      <w:r w:rsidR="00B77CF9" w:rsidRPr="00611385">
        <w:t>č</w:t>
      </w:r>
      <w:r w:rsidR="00B77CF9">
        <w:t xml:space="preserve"> </w:t>
      </w:r>
      <w:r w:rsidR="00B77CF9" w:rsidRPr="00611385">
        <w:t>(slovy:</w:t>
      </w:r>
      <w:r w:rsidR="00EA1635">
        <w:t xml:space="preserve"> </w:t>
      </w:r>
      <w:r w:rsidR="00B77CF9">
        <w:t xml:space="preserve">jedentisíc </w:t>
      </w:r>
      <w:r w:rsidR="00B77CF9" w:rsidRPr="00611385">
        <w:t>korun českých) bez DPH</w:t>
      </w:r>
      <w:r w:rsidR="00B77CF9">
        <w:t xml:space="preserve">.  </w:t>
      </w:r>
      <w:r w:rsidR="00B77CF9" w:rsidRPr="00611385">
        <w:t xml:space="preserve">K této ceně bude připočtena sazba DPH v zákonné výši. </w:t>
      </w:r>
      <w:r w:rsidR="00B77CF9">
        <w:t>Úhrada bude provedena na základě d</w:t>
      </w:r>
      <w:r w:rsidR="00B77CF9" w:rsidRPr="00611385">
        <w:t>aňov</w:t>
      </w:r>
      <w:r w:rsidR="00B77CF9">
        <w:t>ého</w:t>
      </w:r>
      <w:r w:rsidR="00B77CF9" w:rsidRPr="00611385">
        <w:t xml:space="preserve"> doklad</w:t>
      </w:r>
      <w:r w:rsidR="00B77CF9">
        <w:t xml:space="preserve">u vystaveného Povinným s </w:t>
      </w:r>
      <w:r w:rsidR="00B77CF9" w:rsidRPr="00611385">
        <w:t>náležitost</w:t>
      </w:r>
      <w:r w:rsidR="00B77CF9">
        <w:t>mi</w:t>
      </w:r>
      <w:r w:rsidR="00B77CF9" w:rsidRPr="00611385">
        <w:t xml:space="preserve"> dle § 29 zákona č. 235/2004 Sb., o dani z přidané hodnoty</w:t>
      </w:r>
      <w:r w:rsidR="00B77CF9">
        <w:t xml:space="preserve">, </w:t>
      </w:r>
      <w:r w:rsidR="006A411C" w:rsidRPr="0051481D">
        <w:rPr>
          <w:color w:val="000000" w:themeColor="text1"/>
        </w:rPr>
        <w:t>v platném znění</w:t>
      </w:r>
      <w:r w:rsidR="006A411C">
        <w:t xml:space="preserve">, </w:t>
      </w:r>
      <w:r w:rsidR="00B77CF9">
        <w:t>bezhotovostním převodem na účet uvedený v záhlaví této smlouvy do 30 dnů ode dne doručení daňového dokladu na adresu Oprávněného uvedenou v záhlaví této smlouvy.</w:t>
      </w:r>
      <w:r w:rsidR="00B77CF9" w:rsidRPr="00611385">
        <w:t xml:space="preserve"> Za den uskutečnění zdanitelného plnění bude považován den právních účinků vkladu do </w:t>
      </w:r>
      <w:r w:rsidR="00B77CF9">
        <w:t xml:space="preserve">příslušného katastru nemovitostí, </w:t>
      </w:r>
      <w:r w:rsidR="00B77CF9" w:rsidRPr="00611385">
        <w:t>tj. den</w:t>
      </w:r>
      <w:r w:rsidR="00B77CF9">
        <w:t>,</w:t>
      </w:r>
      <w:r w:rsidR="00B77CF9" w:rsidRPr="00611385">
        <w:t xml:space="preserve"> který je shodný se dnem podání návrhu na vklad do </w:t>
      </w:r>
      <w:r w:rsidR="00B77CF9">
        <w:t>příslušného katastru nemovitostí.</w:t>
      </w:r>
    </w:p>
    <w:p w:rsidR="00EA1635" w:rsidRDefault="00541423" w:rsidP="0068552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t>5.3</w:t>
      </w:r>
      <w:r w:rsidR="005D38A2">
        <w:t>.</w:t>
      </w:r>
      <w:r w:rsidR="00EA1635" w:rsidRPr="00EA1635">
        <w:rPr>
          <w:rFonts w:eastAsia="Calibri"/>
          <w:color w:val="000000"/>
          <w:spacing w:val="-3"/>
          <w:lang w:eastAsia="en-US"/>
        </w:rPr>
        <w:tab/>
        <w:t xml:space="preserve">Faktura musí být vystavena a mít náležitosti daňového dokladu podle ustanovení § 26 a násl. zákona č. 235/2004 Sb. v platném znění a musí obsahovat číslo objednávky 460000xxxx, které je totožné s číslem této smlouvy. Faktura bude vystavena a </w:t>
      </w:r>
      <w:r w:rsidR="006A411C" w:rsidRPr="0051481D">
        <w:rPr>
          <w:rFonts w:eastAsia="Calibri"/>
          <w:color w:val="000000" w:themeColor="text1"/>
          <w:spacing w:val="-3"/>
          <w:lang w:eastAsia="en-US"/>
        </w:rPr>
        <w:t>O</w:t>
      </w:r>
      <w:r w:rsidR="00EA1635" w:rsidRPr="00EA1635">
        <w:rPr>
          <w:rFonts w:eastAsia="Calibri"/>
          <w:color w:val="000000"/>
          <w:spacing w:val="-3"/>
          <w:lang w:eastAsia="en-US"/>
        </w:rPr>
        <w:t>právněnému doručena v listinné podobě.</w:t>
      </w:r>
    </w:p>
    <w:p w:rsidR="00EA1635" w:rsidRDefault="005D38A2" w:rsidP="005360B3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5.4.</w:t>
      </w:r>
      <w:r>
        <w:rPr>
          <w:rFonts w:eastAsia="Calibri"/>
          <w:color w:val="000000"/>
          <w:spacing w:val="-3"/>
          <w:lang w:eastAsia="en-US"/>
        </w:rPr>
        <w:tab/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Oprávněný si vyhrazuje právo vrátit bez zaplacení fakturu, která není vystavena </w:t>
      </w:r>
      <w:r w:rsidR="006A411C" w:rsidRPr="0051481D">
        <w:rPr>
          <w:rFonts w:eastAsia="Calibri"/>
          <w:color w:val="000000" w:themeColor="text1"/>
          <w:spacing w:val="-3"/>
          <w:lang w:eastAsia="en-US"/>
        </w:rPr>
        <w:t>v souladu s bodem 5.3. nebo</w:t>
      </w:r>
      <w:r w:rsidR="00EA1635" w:rsidRPr="0051481D">
        <w:rPr>
          <w:rFonts w:eastAsia="Calibri"/>
          <w:color w:val="000000" w:themeColor="text1"/>
          <w:spacing w:val="-3"/>
          <w:lang w:eastAsia="en-US"/>
        </w:rPr>
        <w:t xml:space="preserve"> </w:t>
      </w:r>
      <w:r w:rsidR="006A411C" w:rsidRPr="0051481D">
        <w:rPr>
          <w:rFonts w:eastAsia="Calibri"/>
          <w:color w:val="000000" w:themeColor="text1"/>
          <w:spacing w:val="-3"/>
          <w:lang w:eastAsia="en-US"/>
        </w:rPr>
        <w:t>neobsahuje všechny náležitosti uvedené v bodě 5.3. nebo není-li vystavena v listinné podobě</w:t>
      </w:r>
      <w:r w:rsidR="00EA1635" w:rsidRPr="0051481D">
        <w:rPr>
          <w:rFonts w:eastAsia="Calibri"/>
          <w:color w:val="000000" w:themeColor="text1"/>
          <w:spacing w:val="-3"/>
          <w:lang w:eastAsia="en-US"/>
        </w:rPr>
        <w:t xml:space="preserve"> nebo je jinak chybná. Vrácením faktury přestane </w:t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běžet původní lhůta splatnosti. Po opravě faktury </w:t>
      </w:r>
      <w:r w:rsidR="0057651C">
        <w:rPr>
          <w:rFonts w:eastAsia="Calibri"/>
          <w:color w:val="000000"/>
          <w:spacing w:val="-3"/>
          <w:lang w:eastAsia="en-US"/>
        </w:rPr>
        <w:t>P</w:t>
      </w:r>
      <w:r w:rsidR="00EA1635" w:rsidRPr="00EA1635">
        <w:rPr>
          <w:rFonts w:eastAsia="Calibri"/>
          <w:color w:val="000000"/>
          <w:spacing w:val="-3"/>
          <w:lang w:eastAsia="en-US"/>
        </w:rPr>
        <w:t>ovinným  běží nová lhůta splatnosti 21 dní ode dne doručení opravené nebo nově vyhotovené faktury.</w:t>
      </w:r>
    </w:p>
    <w:p w:rsidR="00EA1635" w:rsidRDefault="00AB1464" w:rsidP="00685524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5.5.</w:t>
      </w:r>
      <w:r>
        <w:rPr>
          <w:rFonts w:eastAsia="Calibri"/>
          <w:color w:val="000000"/>
          <w:spacing w:val="-3"/>
          <w:lang w:eastAsia="en-US"/>
        </w:rPr>
        <w:tab/>
      </w:r>
      <w:r w:rsidR="00EA1635" w:rsidRPr="00EA1635">
        <w:rPr>
          <w:rFonts w:eastAsia="Calibri"/>
          <w:color w:val="000000"/>
          <w:spacing w:val="-3"/>
          <w:lang w:eastAsia="en-US"/>
        </w:rPr>
        <w:t>Povinný se zavazuje v souladu s § 21 zákona č. 235/2004 Sb. v platném znění uhradit příslušnému finančnímu úřadu DPH uvedenou na faktuře.</w:t>
      </w:r>
    </w:p>
    <w:p w:rsidR="00AB1464" w:rsidRDefault="00AB1464" w:rsidP="00FE641E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lastRenderedPageBreak/>
        <w:t>5.6.</w:t>
      </w:r>
      <w:r>
        <w:rPr>
          <w:rFonts w:eastAsia="Calibri"/>
          <w:color w:val="000000"/>
          <w:spacing w:val="-3"/>
          <w:lang w:eastAsia="en-US"/>
        </w:rPr>
        <w:tab/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Povinný prohlašuje, že bankovní účet uvedený v záhlaví této smlouvy je účtem zveřejněným správcem daně způsobem umožňujícím dálkový přístup v souladu se zákonem č. 235/2004 Sb., v platném znění. Povinný se zavazuje, že dojde-li k případné změně takového účtu, tuto skutečnost </w:t>
      </w:r>
      <w:r w:rsidR="0057651C">
        <w:rPr>
          <w:rFonts w:eastAsia="Calibri"/>
          <w:color w:val="000000"/>
          <w:spacing w:val="-3"/>
          <w:lang w:eastAsia="en-US"/>
        </w:rPr>
        <w:t xml:space="preserve">Oprávněnému </w:t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neprodleně oznámí a uzavře s oprávněným </w:t>
      </w:r>
      <w:r w:rsidR="0057651C">
        <w:rPr>
          <w:rFonts w:eastAsia="Calibri"/>
          <w:color w:val="000000"/>
          <w:spacing w:val="-3"/>
          <w:lang w:eastAsia="en-US"/>
        </w:rPr>
        <w:t>d</w:t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odatek k této smlouvě. Obsahem takového dodatku bude nastavení postupů předjímaných v § 109a zákona č. 235/2004 Sb., v platném znění, či sjednání práva </w:t>
      </w:r>
      <w:r w:rsidR="0057651C">
        <w:rPr>
          <w:rFonts w:eastAsia="Calibri"/>
          <w:color w:val="000000"/>
          <w:spacing w:val="-3"/>
          <w:lang w:eastAsia="en-US"/>
        </w:rPr>
        <w:t>O</w:t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právněného </w:t>
      </w:r>
      <w:r w:rsidR="0057651C">
        <w:rPr>
          <w:rFonts w:eastAsia="Calibri"/>
          <w:color w:val="000000"/>
          <w:spacing w:val="-3"/>
          <w:lang w:eastAsia="en-US"/>
        </w:rPr>
        <w:t xml:space="preserve"> </w:t>
      </w:r>
      <w:r w:rsidR="00EA1635" w:rsidRPr="00EA1635">
        <w:rPr>
          <w:rFonts w:eastAsia="Calibri"/>
          <w:color w:val="000000"/>
          <w:spacing w:val="-3"/>
          <w:lang w:eastAsia="en-US"/>
        </w:rPr>
        <w:t xml:space="preserve"> zadržet částku odpovídající výši zdanitelného plnění do doby splnění daňové povinnosti </w:t>
      </w:r>
      <w:r w:rsidR="0057651C">
        <w:rPr>
          <w:rFonts w:eastAsia="Calibri"/>
          <w:color w:val="000000"/>
          <w:spacing w:val="-3"/>
          <w:lang w:eastAsia="en-US"/>
        </w:rPr>
        <w:t>P</w:t>
      </w:r>
      <w:r w:rsidR="00EA1635" w:rsidRPr="00EA1635">
        <w:rPr>
          <w:rFonts w:eastAsia="Calibri"/>
          <w:color w:val="000000"/>
          <w:spacing w:val="-3"/>
          <w:lang w:eastAsia="en-US"/>
        </w:rPr>
        <w:t>ovinným</w:t>
      </w:r>
      <w:r w:rsidR="0057651C">
        <w:rPr>
          <w:rFonts w:eastAsia="Calibri"/>
          <w:color w:val="000000"/>
          <w:spacing w:val="-3"/>
          <w:lang w:eastAsia="en-US"/>
        </w:rPr>
        <w:t xml:space="preserve">. </w:t>
      </w:r>
    </w:p>
    <w:p w:rsidR="00FE641E" w:rsidRDefault="00AB1464" w:rsidP="00FE641E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5.7.</w:t>
      </w:r>
      <w:r>
        <w:rPr>
          <w:rFonts w:eastAsia="Calibri"/>
          <w:color w:val="000000"/>
          <w:spacing w:val="-3"/>
          <w:lang w:eastAsia="en-US"/>
        </w:rPr>
        <w:tab/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Povinný prohlašuje, že ke dni podpisu této smlouvy není vůči němu správcem daně vydáno rozhodnutí o nespolehlivém plátci ve smyslu § 106a zákona č. 235/2004 Sb., v platném znění, že takové řízení není vůči němu zahájeno ani vedeno a že u něho nejsou dány podmínky pro zahájení řízení o nespolehlivosti plátce u příslušného správce daně. Povinný se zavazuje, že bude-li vůči němu do doby splnění jeho povinnosti k odvodu daně z přidané hodnoty zahájeno řízení o vyslovení nespolehlivosti plátce, tuto skutečnost </w:t>
      </w:r>
      <w:r w:rsidR="0057651C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>právněnému neprodleně oznámí a uzavře s </w:t>
      </w:r>
      <w:r w:rsidR="0057651C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právněným dodatek k této smlouvě. Obsahem takového dodatku bude nastavení postupů předjímaných § 109a zákona č. 235/2004 Sb., v platném znění, či sjednání práva </w:t>
      </w:r>
      <w:r w:rsidR="0057651C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právněného zadržet částku odpovídající výši zdanitelného plnění do doby splnění daňové povinnosti </w:t>
      </w:r>
      <w:r w:rsidR="0051481D">
        <w:rPr>
          <w:rFonts w:eastAsia="Calibri"/>
          <w:color w:val="000000"/>
          <w:spacing w:val="-3"/>
          <w:lang w:eastAsia="en-US"/>
        </w:rPr>
        <w:t>P</w:t>
      </w:r>
      <w:r w:rsidR="00FE641E" w:rsidRPr="00FE641E">
        <w:rPr>
          <w:rFonts w:eastAsia="Calibri"/>
          <w:color w:val="000000"/>
          <w:spacing w:val="-3"/>
          <w:lang w:eastAsia="en-US"/>
        </w:rPr>
        <w:t>ovinným</w:t>
      </w:r>
      <w:r w:rsidR="0051481D">
        <w:rPr>
          <w:rFonts w:eastAsia="Calibri"/>
          <w:color w:val="000000"/>
          <w:spacing w:val="-3"/>
          <w:lang w:eastAsia="en-US"/>
        </w:rPr>
        <w:t>.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 </w:t>
      </w:r>
      <w:r w:rsidR="0051481D">
        <w:rPr>
          <w:rFonts w:eastAsia="Calibri"/>
          <w:color w:val="000000"/>
          <w:spacing w:val="-3"/>
          <w:lang w:eastAsia="en-US"/>
        </w:rPr>
        <w:t xml:space="preserve"> </w:t>
      </w:r>
    </w:p>
    <w:p w:rsidR="00FE641E" w:rsidRDefault="00AB1464" w:rsidP="00FE641E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5.8.</w:t>
      </w:r>
      <w:r>
        <w:rPr>
          <w:rFonts w:eastAsia="Calibri"/>
          <w:color w:val="000000"/>
          <w:spacing w:val="-3"/>
          <w:lang w:eastAsia="en-US"/>
        </w:rPr>
        <w:tab/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Pro odstranění pochybností smluvní strany sjednávají, že za oznámení neprodleně učiněné je považováno takové oznámení, které je </w:t>
      </w:r>
      <w:r w:rsidR="0051481D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>právněnému doručeno nejpozději do 10 dnů ode dne, kdy rozhodná skutečnost nastala.</w:t>
      </w:r>
    </w:p>
    <w:p w:rsidR="002E58B1" w:rsidRDefault="00AB1464" w:rsidP="00FE641E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5.9.</w:t>
      </w:r>
      <w:r>
        <w:rPr>
          <w:rFonts w:eastAsia="Calibri"/>
          <w:color w:val="000000"/>
          <w:spacing w:val="-3"/>
          <w:lang w:eastAsia="en-US"/>
        </w:rPr>
        <w:tab/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Ukáže-li se prohlášení </w:t>
      </w:r>
      <w:r w:rsidR="0051481D">
        <w:rPr>
          <w:rFonts w:eastAsia="Calibri"/>
          <w:color w:val="000000"/>
          <w:spacing w:val="-3"/>
          <w:lang w:eastAsia="en-US"/>
        </w:rPr>
        <w:t>P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ovinného uvedené v bodech </w:t>
      </w:r>
      <w:r w:rsidR="0051481D">
        <w:rPr>
          <w:rFonts w:eastAsia="Calibri"/>
          <w:color w:val="000000"/>
          <w:spacing w:val="-3"/>
          <w:lang w:eastAsia="en-US"/>
        </w:rPr>
        <w:t>5.6. a 5.7.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 tohoto článku nepravdivým, či dojde-li ke změně bankovního účtu, či stane-li se </w:t>
      </w:r>
      <w:r w:rsidR="0051481D">
        <w:rPr>
          <w:rFonts w:eastAsia="Calibri"/>
          <w:color w:val="000000"/>
          <w:spacing w:val="-3"/>
          <w:lang w:eastAsia="en-US"/>
        </w:rPr>
        <w:t>P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ovinný nespolehlivým plátcem a tuto skutečnost v rozporu s předchozími body tohoto článku smlouvy </w:t>
      </w:r>
      <w:r w:rsidR="0051481D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právněnému neoznámí, či s ním ani následně neuzavře dodatek ke smlouvě, sjednávají strany právo </w:t>
      </w:r>
      <w:r w:rsidR="0051481D">
        <w:rPr>
          <w:rFonts w:eastAsia="Calibri"/>
          <w:color w:val="000000"/>
          <w:spacing w:val="-3"/>
          <w:lang w:eastAsia="en-US"/>
        </w:rPr>
        <w:t>O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právněného postupovat v souladu s § 109a zákona č. 235/2004 Sb., v platném znění, a uhradit správci daně daň za </w:t>
      </w:r>
      <w:r w:rsidR="0051481D">
        <w:rPr>
          <w:rFonts w:eastAsia="Calibri"/>
          <w:color w:val="000000"/>
          <w:spacing w:val="-3"/>
          <w:lang w:eastAsia="en-US"/>
        </w:rPr>
        <w:t>P</w:t>
      </w:r>
      <w:r w:rsidR="00FE641E" w:rsidRPr="00FE641E">
        <w:rPr>
          <w:rFonts w:eastAsia="Calibri"/>
          <w:color w:val="000000"/>
          <w:spacing w:val="-3"/>
          <w:lang w:eastAsia="en-US"/>
        </w:rPr>
        <w:t>ovinného</w:t>
      </w:r>
      <w:r w:rsidR="0051481D">
        <w:rPr>
          <w:rFonts w:eastAsia="Calibri"/>
          <w:color w:val="000000"/>
          <w:spacing w:val="-3"/>
          <w:lang w:eastAsia="en-US"/>
        </w:rPr>
        <w:t>.</w:t>
      </w:r>
      <w:r w:rsidR="00FE641E" w:rsidRPr="00FE641E">
        <w:rPr>
          <w:rFonts w:eastAsia="Calibri"/>
          <w:color w:val="000000"/>
          <w:spacing w:val="-3"/>
          <w:lang w:eastAsia="en-US"/>
        </w:rPr>
        <w:t xml:space="preserve">  </w:t>
      </w:r>
    </w:p>
    <w:p w:rsidR="005D38A2" w:rsidRPr="00685524" w:rsidRDefault="00AB1464" w:rsidP="005D38A2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5.10.</w:t>
      </w:r>
      <w:r>
        <w:rPr>
          <w:rFonts w:eastAsia="Calibri"/>
          <w:color w:val="000000"/>
          <w:spacing w:val="-3"/>
          <w:lang w:eastAsia="en-US"/>
        </w:rPr>
        <w:tab/>
      </w:r>
      <w:r w:rsidR="005D38A2" w:rsidRPr="00EA1635">
        <w:rPr>
          <w:rFonts w:eastAsia="Calibri"/>
          <w:color w:val="000000"/>
          <w:spacing w:val="-3"/>
          <w:lang w:eastAsia="en-US"/>
        </w:rPr>
        <w:t>Úplata za věcné břemeno a správní poplatek za vklad práva odpovídajícího věcnému břemenu do katastru nemovitostí jdou k tíži investora stavby</w:t>
      </w:r>
      <w:r w:rsidR="005D38A2">
        <w:rPr>
          <w:rFonts w:eastAsia="Calibri"/>
          <w:color w:val="000000"/>
          <w:spacing w:val="-3"/>
          <w:lang w:eastAsia="en-US"/>
        </w:rPr>
        <w:t xml:space="preserve"> „MŠ V Zahrádkách, č.parc. 3235 a 3236, k.ú. Žižkov“</w:t>
      </w:r>
      <w:r w:rsidR="005D38A2" w:rsidRPr="00EA1635">
        <w:rPr>
          <w:rFonts w:eastAsia="Calibri"/>
          <w:color w:val="000000"/>
          <w:spacing w:val="-3"/>
          <w:lang w:eastAsia="en-US"/>
        </w:rPr>
        <w:t xml:space="preserve">, </w:t>
      </w:r>
      <w:r w:rsidR="005D38A2">
        <w:rPr>
          <w:rFonts w:eastAsia="Calibri"/>
          <w:color w:val="000000"/>
          <w:spacing w:val="-3"/>
          <w:lang w:eastAsia="en-US"/>
        </w:rPr>
        <w:t xml:space="preserve">která přeložku horkovodu - </w:t>
      </w:r>
      <w:r w:rsidR="005D38A2" w:rsidRPr="00F07EEF">
        <w:rPr>
          <w:rFonts w:eastAsia="Calibri"/>
          <w:color w:val="000000"/>
          <w:spacing w:val="-6"/>
          <w:lang w:eastAsia="en-US"/>
        </w:rPr>
        <w:t>Součást</w:t>
      </w:r>
      <w:r w:rsidR="005D38A2">
        <w:rPr>
          <w:rFonts w:eastAsia="Calibri"/>
          <w:color w:val="000000"/>
          <w:spacing w:val="-6"/>
          <w:lang w:eastAsia="en-US"/>
        </w:rPr>
        <w:t>í</w:t>
      </w:r>
      <w:r w:rsidR="005D38A2" w:rsidRPr="00F07EEF">
        <w:rPr>
          <w:rFonts w:eastAsia="Calibri"/>
          <w:color w:val="000000"/>
          <w:spacing w:val="-6"/>
          <w:lang w:eastAsia="en-US"/>
        </w:rPr>
        <w:t xml:space="preserve"> rozvodného tepelného zařízení</w:t>
      </w:r>
      <w:r w:rsidR="005D38A2" w:rsidRPr="00EC7804">
        <w:rPr>
          <w:rFonts w:eastAsia="Calibri"/>
          <w:color w:val="000000"/>
          <w:spacing w:val="-4"/>
          <w:lang w:eastAsia="en-US"/>
        </w:rPr>
        <w:t xml:space="preserve"> </w:t>
      </w:r>
      <w:r w:rsidR="005D38A2">
        <w:rPr>
          <w:rFonts w:eastAsia="Calibri"/>
          <w:color w:val="000000"/>
          <w:spacing w:val="-4"/>
          <w:lang w:eastAsia="en-US"/>
        </w:rPr>
        <w:t xml:space="preserve">vyvolala, a </w:t>
      </w:r>
      <w:r w:rsidR="0051481D">
        <w:rPr>
          <w:rFonts w:eastAsia="Calibri"/>
          <w:color w:val="000000"/>
          <w:spacing w:val="-4"/>
          <w:lang w:eastAsia="en-US"/>
        </w:rPr>
        <w:t xml:space="preserve"> </w:t>
      </w:r>
      <w:r w:rsidR="005D38A2">
        <w:rPr>
          <w:rFonts w:eastAsia="Calibri"/>
          <w:color w:val="000000"/>
          <w:spacing w:val="-4"/>
          <w:lang w:eastAsia="en-US"/>
        </w:rPr>
        <w:t>to</w:t>
      </w:r>
      <w:r w:rsidR="0051481D">
        <w:rPr>
          <w:rFonts w:eastAsia="Calibri"/>
          <w:color w:val="000000"/>
          <w:spacing w:val="-4"/>
          <w:lang w:eastAsia="en-US"/>
        </w:rPr>
        <w:t xml:space="preserve"> </w:t>
      </w:r>
      <w:r w:rsidR="005D38A2">
        <w:rPr>
          <w:rFonts w:eastAsia="Calibri"/>
          <w:color w:val="000000"/>
          <w:spacing w:val="-4"/>
          <w:lang w:eastAsia="en-US"/>
        </w:rPr>
        <w:t xml:space="preserve"> v </w:t>
      </w:r>
      <w:r w:rsidR="005D38A2" w:rsidRPr="00EA1635">
        <w:rPr>
          <w:rFonts w:eastAsia="Calibri"/>
          <w:color w:val="000000"/>
          <w:spacing w:val="-3"/>
          <w:lang w:eastAsia="en-US"/>
        </w:rPr>
        <w:t>souladu s ustanoveními Smlouvy o provedení přeložky rozvodného tepelného zařízení č. 4400002437, 2013/00898/10, kterou MČ Praha 3 jako investor a Pražská teplárenská, IČ 45273 600, uzavřely dne 15.5.2013. Investor stavby</w:t>
      </w:r>
      <w:r w:rsidR="005D38A2">
        <w:rPr>
          <w:rFonts w:eastAsia="Calibri"/>
          <w:color w:val="000000"/>
          <w:spacing w:val="-3"/>
          <w:lang w:eastAsia="en-US"/>
        </w:rPr>
        <w:t xml:space="preserve"> - MČ Praha 3 </w:t>
      </w:r>
      <w:r w:rsidR="005D38A2" w:rsidRPr="00EA1635">
        <w:rPr>
          <w:rFonts w:eastAsia="Calibri"/>
          <w:color w:val="000000"/>
          <w:spacing w:val="-3"/>
          <w:lang w:eastAsia="en-US"/>
        </w:rPr>
        <w:t xml:space="preserve"> je současně </w:t>
      </w:r>
      <w:r w:rsidR="0051481D">
        <w:rPr>
          <w:rFonts w:eastAsia="Calibri"/>
          <w:color w:val="000000"/>
          <w:spacing w:val="-3"/>
          <w:lang w:eastAsia="en-US"/>
        </w:rPr>
        <w:t>P</w:t>
      </w:r>
      <w:r w:rsidR="005D38A2" w:rsidRPr="00EA1635">
        <w:rPr>
          <w:rFonts w:eastAsia="Calibri"/>
          <w:color w:val="000000"/>
          <w:spacing w:val="-3"/>
          <w:lang w:eastAsia="en-US"/>
        </w:rPr>
        <w:t>ovinným</w:t>
      </w:r>
      <w:r w:rsidR="0051481D">
        <w:rPr>
          <w:rFonts w:eastAsia="Calibri"/>
          <w:color w:val="000000"/>
          <w:spacing w:val="-3"/>
          <w:lang w:eastAsia="en-US"/>
        </w:rPr>
        <w:t>.</w:t>
      </w:r>
      <w:r w:rsidR="005D38A2" w:rsidRPr="00EA1635">
        <w:rPr>
          <w:rFonts w:eastAsia="Calibri"/>
          <w:color w:val="000000"/>
          <w:spacing w:val="-3"/>
          <w:lang w:eastAsia="en-US"/>
        </w:rPr>
        <w:t xml:space="preserve"> </w:t>
      </w:r>
      <w:r w:rsidR="0051481D">
        <w:rPr>
          <w:rFonts w:eastAsia="Calibri"/>
          <w:color w:val="000000"/>
          <w:spacing w:val="-3"/>
          <w:lang w:eastAsia="en-US"/>
        </w:rPr>
        <w:t xml:space="preserve"> </w:t>
      </w:r>
      <w:r w:rsidR="005D38A2" w:rsidRPr="00EA1635">
        <w:rPr>
          <w:rFonts w:eastAsia="Calibri"/>
          <w:color w:val="000000"/>
          <w:spacing w:val="-3"/>
          <w:lang w:eastAsia="en-US"/>
        </w:rPr>
        <w:t xml:space="preserve"> </w:t>
      </w:r>
      <w:r w:rsidR="0051481D">
        <w:rPr>
          <w:rFonts w:eastAsia="Calibri"/>
          <w:color w:val="000000"/>
          <w:spacing w:val="-3"/>
          <w:lang w:eastAsia="en-US"/>
        </w:rPr>
        <w:t xml:space="preserve"> </w:t>
      </w:r>
    </w:p>
    <w:p w:rsidR="005D38A2" w:rsidRDefault="005D38A2" w:rsidP="00FE641E">
      <w:pPr>
        <w:shd w:val="clear" w:color="auto" w:fill="FFFFFF"/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</w:p>
    <w:p w:rsidR="00EC7804" w:rsidRPr="00EC7804" w:rsidRDefault="00EC7804" w:rsidP="00EC7804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VI.</w:t>
      </w:r>
    </w:p>
    <w:p w:rsidR="00EC7804" w:rsidRPr="00EC7804" w:rsidRDefault="00EC7804" w:rsidP="00EC7804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2E58B1" w:rsidRPr="009C0EE8" w:rsidRDefault="00EC7804" w:rsidP="002E58B1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</w:t>
      </w:r>
      <w:r w:rsidR="002E58B1">
        <w:rPr>
          <w:rFonts w:eastAsia="Calibri"/>
          <w:color w:val="000000"/>
          <w:spacing w:val="-3"/>
          <w:lang w:eastAsia="en-US"/>
        </w:rPr>
        <w:t>.</w:t>
      </w:r>
      <w:r w:rsidR="002E58B1">
        <w:rPr>
          <w:rFonts w:eastAsia="Calibri"/>
          <w:color w:val="000000"/>
          <w:spacing w:val="-3"/>
          <w:lang w:eastAsia="en-US"/>
        </w:rPr>
        <w:tab/>
        <w:t>Sjednává se, že společný návrh obou smluvních stran na vklad p</w:t>
      </w:r>
      <w:r w:rsidR="00DF1391">
        <w:rPr>
          <w:rFonts w:eastAsia="Calibri"/>
          <w:color w:val="000000"/>
          <w:spacing w:val="-3"/>
          <w:lang w:eastAsia="en-US"/>
        </w:rPr>
        <w:t xml:space="preserve">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>
        <w:rPr>
          <w:rFonts w:eastAsia="Calibri"/>
          <w:color w:val="000000"/>
          <w:spacing w:val="-3"/>
          <w:lang w:eastAsia="en-US"/>
        </w:rPr>
        <w:t xml:space="preserve">do katastru nemovitostí, který vyhotoví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 xml:space="preserve">ovinný a podepíší jej obě smluvní strany, si ponechá </w:t>
      </w:r>
      <w:r w:rsidR="002632B0">
        <w:rPr>
          <w:rFonts w:eastAsia="Calibri"/>
          <w:color w:val="000000"/>
          <w:spacing w:val="-3"/>
          <w:lang w:eastAsia="en-US"/>
        </w:rPr>
        <w:t>P</w:t>
      </w:r>
      <w:r w:rsidR="002E58B1">
        <w:rPr>
          <w:rFonts w:eastAsia="Calibri"/>
          <w:color w:val="000000"/>
          <w:spacing w:val="-3"/>
          <w:lang w:eastAsia="en-US"/>
        </w:rPr>
        <w:t>ovinný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. Návrh na vklad </w:t>
      </w:r>
      <w:r w:rsidR="00DF1391" w:rsidRPr="009C0EE8">
        <w:rPr>
          <w:rFonts w:eastAsia="Calibri"/>
          <w:color w:val="000000"/>
          <w:spacing w:val="-3"/>
          <w:lang w:eastAsia="en-US"/>
        </w:rPr>
        <w:t xml:space="preserve">práva odpovídajícího </w:t>
      </w:r>
      <w:r w:rsidR="00F732CD">
        <w:rPr>
          <w:rFonts w:eastAsia="Calibri"/>
          <w:color w:val="000000"/>
          <w:spacing w:val="-3"/>
          <w:lang w:eastAsia="en-US"/>
        </w:rPr>
        <w:t xml:space="preserve">věcnému břemenu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je oprávněn podat výlučně </w:t>
      </w:r>
      <w:r w:rsidR="002632B0" w:rsidRPr="009C0EE8">
        <w:rPr>
          <w:rFonts w:eastAsia="Calibri"/>
          <w:color w:val="000000"/>
          <w:spacing w:val="-3"/>
          <w:lang w:eastAsia="en-US"/>
        </w:rPr>
        <w:t>P</w:t>
      </w:r>
      <w:r w:rsidR="002E58B1" w:rsidRPr="009C0EE8">
        <w:rPr>
          <w:rFonts w:eastAsia="Calibri"/>
          <w:color w:val="000000"/>
          <w:spacing w:val="-3"/>
          <w:lang w:eastAsia="en-US"/>
        </w:rPr>
        <w:t>ovinný</w:t>
      </w:r>
      <w:r w:rsidR="00C714DD">
        <w:rPr>
          <w:rFonts w:eastAsia="Calibri"/>
          <w:color w:val="000000"/>
          <w:spacing w:val="-3"/>
          <w:lang w:eastAsia="en-US"/>
        </w:rPr>
        <w:t xml:space="preserve">. </w:t>
      </w:r>
      <w:r w:rsidR="002E58B1" w:rsidRPr="009C0EE8">
        <w:rPr>
          <w:rFonts w:eastAsia="Calibri"/>
          <w:color w:val="000000"/>
          <w:spacing w:val="-3"/>
          <w:lang w:eastAsia="en-US"/>
        </w:rPr>
        <w:t>Povinný upozor</w:t>
      </w:r>
      <w:r w:rsidR="002632B0" w:rsidRPr="009C0EE8">
        <w:rPr>
          <w:rFonts w:eastAsia="Calibri"/>
          <w:color w:val="000000"/>
          <w:spacing w:val="-3"/>
          <w:lang w:eastAsia="en-US"/>
        </w:rPr>
        <w:t>ňuje O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právněného na to, že je povinen před podáním návrhu o povolení vkladu do katastru nemovitostí předložit </w:t>
      </w:r>
      <w:r w:rsidR="00A02B96">
        <w:rPr>
          <w:rFonts w:eastAsia="Calibri"/>
          <w:color w:val="000000"/>
          <w:spacing w:val="-3"/>
          <w:lang w:eastAsia="en-US"/>
        </w:rPr>
        <w:t xml:space="preserve">tento návrh </w:t>
      </w:r>
      <w:r w:rsidR="002E58B1" w:rsidRPr="009C0EE8">
        <w:rPr>
          <w:rFonts w:eastAsia="Calibri"/>
          <w:color w:val="000000"/>
          <w:spacing w:val="-3"/>
          <w:lang w:eastAsia="en-US"/>
        </w:rPr>
        <w:t xml:space="preserve">Magistrátu hlavního města Prahy k potvrzení </w:t>
      </w:r>
      <w:r w:rsidR="00A02B96">
        <w:rPr>
          <w:rFonts w:eastAsia="Calibri"/>
          <w:color w:val="000000"/>
          <w:spacing w:val="-3"/>
          <w:lang w:eastAsia="en-US"/>
        </w:rPr>
        <w:t>jeho správnosti.</w:t>
      </w:r>
    </w:p>
    <w:p w:rsidR="002E58B1" w:rsidRDefault="002E58B1" w:rsidP="002E58B1">
      <w:pPr>
        <w:shd w:val="clear" w:color="auto" w:fill="FFFFFF"/>
        <w:ind w:left="567"/>
        <w:jc w:val="both"/>
        <w:rPr>
          <w:rFonts w:eastAsia="Calibri"/>
          <w:color w:val="000000"/>
          <w:spacing w:val="-3"/>
          <w:lang w:eastAsia="en-US"/>
        </w:rPr>
      </w:pPr>
      <w:r w:rsidRPr="009C0EE8">
        <w:rPr>
          <w:rFonts w:eastAsia="Calibri"/>
          <w:color w:val="000000"/>
          <w:spacing w:val="-3"/>
          <w:lang w:eastAsia="en-US"/>
        </w:rPr>
        <w:t xml:space="preserve">Poplatky s tím spojené ponese ve smyslu zákona ČNR č. 634/2004 Sb., o správních poplatcích vybíraných správními orgány České republiky, ve znění pozdějších předpisů, </w:t>
      </w:r>
      <w:r w:rsidR="00FA59BD">
        <w:rPr>
          <w:rFonts w:eastAsia="Calibri"/>
          <w:color w:val="000000"/>
          <w:spacing w:val="-3"/>
          <w:lang w:eastAsia="en-US"/>
        </w:rPr>
        <w:t>Povinný</w:t>
      </w:r>
      <w:r w:rsidR="002632B0" w:rsidRPr="009C0EE8">
        <w:rPr>
          <w:rFonts w:eastAsia="Calibri"/>
          <w:color w:val="000000"/>
          <w:spacing w:val="-3"/>
          <w:lang w:eastAsia="en-US"/>
        </w:rPr>
        <w:t>.</w:t>
      </w:r>
    </w:p>
    <w:p w:rsidR="00EC7804" w:rsidRDefault="002632B0" w:rsidP="00EC7804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6.2.</w:t>
      </w:r>
      <w:r>
        <w:rPr>
          <w:rFonts w:eastAsia="Calibri"/>
          <w:color w:val="000000"/>
          <w:spacing w:val="-3"/>
          <w:lang w:eastAsia="en-US"/>
        </w:rPr>
        <w:tab/>
      </w:r>
      <w:r>
        <w:rPr>
          <w:rFonts w:eastAsia="Calibri"/>
          <w:color w:val="000000"/>
          <w:spacing w:val="-3"/>
          <w:lang w:eastAsia="en-US"/>
        </w:rPr>
        <w:tab/>
      </w:r>
      <w:r w:rsidR="00EC7804" w:rsidRPr="00EC7804">
        <w:rPr>
          <w:rFonts w:eastAsia="Calibri"/>
          <w:color w:val="000000"/>
          <w:spacing w:val="-3"/>
          <w:lang w:eastAsia="en-US"/>
        </w:rPr>
        <w:t>Věcné břemeno podle této smlouvy vzniká v souladu s ustanovením občanského zákoníku zápisem do veřejného seznamu (katastr nemovitostí).</w:t>
      </w:r>
    </w:p>
    <w:p w:rsidR="008E66D3" w:rsidRDefault="008E66D3" w:rsidP="008E66D3">
      <w:pPr>
        <w:shd w:val="clear" w:color="auto" w:fill="FFFFFF"/>
        <w:tabs>
          <w:tab w:val="left" w:pos="360"/>
        </w:tabs>
        <w:spacing w:before="120"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6.3.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</w:t>
      </w:r>
      <w:r w:rsidRPr="00EC7804">
        <w:rPr>
          <w:iCs/>
        </w:rPr>
        <w:lastRenderedPageBreak/>
        <w:t xml:space="preserve">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EC7804" w:rsidRDefault="008E66D3" w:rsidP="00D55805">
      <w:pPr>
        <w:spacing w:after="120"/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>6.4.</w:t>
      </w:r>
      <w:r w:rsidR="002632B0">
        <w:rPr>
          <w:rFonts w:eastAsia="Calibri"/>
          <w:color w:val="000000"/>
          <w:spacing w:val="-3"/>
          <w:lang w:eastAsia="en-US"/>
        </w:rPr>
        <w:tab/>
      </w:r>
      <w:r w:rsidRPr="00EC7804">
        <w:rPr>
          <w:iCs/>
        </w:rPr>
        <w:t>Pokud katastrální úřad přeruší, a to z jakéhokoliv důvodu</w:t>
      </w:r>
      <w:r w:rsidR="00A02B96">
        <w:rPr>
          <w:iCs/>
        </w:rPr>
        <w:t>,</w:t>
      </w:r>
      <w:r w:rsidRPr="00EC7804">
        <w:rPr>
          <w:iCs/>
        </w:rPr>
        <w:t xml:space="preserve"> řízení o povolení vkladu věcného práva, zavazují se Smluvní strany k odstranění katastrálním úřadem uvedených vad ve lhůtách stanovených katastrálním úřadem</w:t>
      </w:r>
      <w:r w:rsidR="00D51BBD">
        <w:rPr>
          <w:iCs/>
        </w:rPr>
        <w:t>.</w:t>
      </w:r>
    </w:p>
    <w:p w:rsidR="00D51BBD" w:rsidRPr="00D55805" w:rsidRDefault="00D51BBD" w:rsidP="00D55805">
      <w:pPr>
        <w:spacing w:after="120"/>
        <w:ind w:left="567" w:hanging="567"/>
        <w:jc w:val="both"/>
        <w:rPr>
          <w:iCs/>
        </w:rPr>
      </w:pPr>
    </w:p>
    <w:p w:rsidR="00EC7804" w:rsidRPr="00EC7804" w:rsidRDefault="00EC7804" w:rsidP="00D55805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EC7804" w:rsidRPr="00EC7804" w:rsidRDefault="00FA0063" w:rsidP="00D55805">
      <w:pPr>
        <w:shd w:val="clear" w:color="auto" w:fill="FFFFFF"/>
        <w:spacing w:after="240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nabývá účinnosti dnem podpisu oběma Smluvními stranami. Pro případ, že tato Smlouva není uzavírána za přítomnosti obou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 w:rsidR="00FD0213"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 w:rsidR="00FA5391"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:rsidR="00FA0063" w:rsidRPr="00FA0063" w:rsidRDefault="00FA0063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FA0063" w:rsidRPr="006C7D8E" w:rsidRDefault="00FA0063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 w:rsidR="00FD0213"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 xml:space="preserve">nedostatků </w:t>
      </w:r>
      <w:r w:rsidR="00FD0213" w:rsidRPr="006C7D8E">
        <w:rPr>
          <w:iCs/>
        </w:rPr>
        <w:t>S</w:t>
      </w:r>
      <w:r w:rsidRPr="006C7D8E">
        <w:rPr>
          <w:iCs/>
        </w:rPr>
        <w:t>mlouvy či souvisejících ujednání.</w:t>
      </w:r>
    </w:p>
    <w:p w:rsidR="006C7D8E" w:rsidRPr="006C7D8E" w:rsidRDefault="006C7D8E" w:rsidP="006C7D8E">
      <w:pPr>
        <w:pStyle w:val="Zkladntextodsazen"/>
        <w:numPr>
          <w:ilvl w:val="0"/>
          <w:numId w:val="7"/>
        </w:numPr>
        <w:spacing w:after="100"/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6C7D8E" w:rsidRPr="00B7395F" w:rsidRDefault="006C7D8E" w:rsidP="006C7D8E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B7395F" w:rsidRPr="00B7395F" w:rsidRDefault="00B7395F" w:rsidP="00B7395F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</w:pPr>
      <w:r>
        <w:t>Podepsáním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 a uveřejnění bez stanovení jakýchkoliv dalších podmínek.</w:t>
      </w:r>
    </w:p>
    <w:p w:rsidR="00EC7804" w:rsidRPr="002632B0" w:rsidRDefault="00EC7804" w:rsidP="00FA0063">
      <w:pPr>
        <w:pStyle w:val="Odstavecseseznamem"/>
        <w:numPr>
          <w:ilvl w:val="0"/>
          <w:numId w:val="7"/>
        </w:numPr>
        <w:shd w:val="clear" w:color="auto" w:fill="FFFFFF"/>
        <w:spacing w:before="120" w:after="120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 xml:space="preserve">Smlouva je sepsána ve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čtyřech originálních </w:t>
      </w:r>
      <w:r w:rsidRPr="002632B0">
        <w:rPr>
          <w:rFonts w:eastAsia="Calibri"/>
          <w:color w:val="000000"/>
          <w:spacing w:val="-3"/>
          <w:lang w:eastAsia="en-US"/>
        </w:rPr>
        <w:t xml:space="preserve">stejnopisech, z nichž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dvě </w:t>
      </w:r>
      <w:r w:rsidRPr="002632B0">
        <w:rPr>
          <w:rFonts w:eastAsia="Calibri"/>
          <w:color w:val="000000"/>
          <w:spacing w:val="-3"/>
          <w:lang w:eastAsia="en-US"/>
        </w:rPr>
        <w:t xml:space="preserve">obdrží Povinný a </w:t>
      </w:r>
      <w:r w:rsidR="002632B0" w:rsidRPr="002632B0">
        <w:rPr>
          <w:rFonts w:eastAsia="Calibri"/>
          <w:color w:val="000000"/>
          <w:spacing w:val="-3"/>
          <w:lang w:eastAsia="en-US"/>
        </w:rPr>
        <w:t xml:space="preserve">jedno </w:t>
      </w:r>
      <w:r w:rsidRPr="002632B0">
        <w:rPr>
          <w:rFonts w:eastAsia="Calibri"/>
          <w:color w:val="000000"/>
          <w:spacing w:val="-3"/>
          <w:lang w:eastAsia="en-US"/>
        </w:rPr>
        <w:t xml:space="preserve">Oprávněný a jeden stejnopis bude použit pro účely příslušného řízení o povolení vkladu věcného břemene do katastru nemovitostí. </w:t>
      </w:r>
    </w:p>
    <w:p w:rsidR="00EC7804" w:rsidRPr="00FA0063" w:rsidRDefault="00EC7804" w:rsidP="00FA0063">
      <w:pPr>
        <w:pStyle w:val="Odstavecseseznamem"/>
        <w:numPr>
          <w:ilvl w:val="0"/>
          <w:numId w:val="7"/>
        </w:numPr>
        <w:spacing w:after="100"/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</w:t>
      </w:r>
      <w:r w:rsidRPr="00FA0063">
        <w:rPr>
          <w:rFonts w:eastAsia="Calibri"/>
          <w:color w:val="000000"/>
          <w:spacing w:val="-3"/>
          <w:lang w:eastAsia="en-US"/>
        </w:rPr>
        <w:lastRenderedPageBreak/>
        <w:t xml:space="preserve">představuje úplnou dohodu o veškerých jejích náležitostech a neexistují náležitosti, které by smluvní strany neujednaly. </w:t>
      </w:r>
    </w:p>
    <w:p w:rsidR="00FE641E" w:rsidRDefault="00FE641E" w:rsidP="005360B3">
      <w:pPr>
        <w:shd w:val="clear" w:color="auto" w:fill="FFFFFF"/>
        <w:tabs>
          <w:tab w:val="left" w:pos="732"/>
        </w:tabs>
        <w:jc w:val="both"/>
        <w:rPr>
          <w:rFonts w:eastAsia="Calibri"/>
          <w:color w:val="000000"/>
          <w:spacing w:val="-2"/>
          <w:lang w:eastAsia="en-US"/>
        </w:rPr>
      </w:pPr>
    </w:p>
    <w:p w:rsidR="00DB27C5" w:rsidRDefault="001F0077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Příloh</w:t>
      </w:r>
      <w:r w:rsidR="00DB27C5">
        <w:rPr>
          <w:rFonts w:eastAsia="Calibri"/>
          <w:color w:val="000000"/>
          <w:spacing w:val="-2"/>
          <w:lang w:eastAsia="en-US"/>
        </w:rPr>
        <w:t>y</w:t>
      </w:r>
      <w:r>
        <w:rPr>
          <w:rFonts w:eastAsia="Calibri"/>
          <w:color w:val="000000"/>
          <w:spacing w:val="-2"/>
          <w:lang w:eastAsia="en-US"/>
        </w:rPr>
        <w:t>:</w:t>
      </w:r>
      <w:r w:rsidR="00DB27C5">
        <w:rPr>
          <w:rFonts w:eastAsia="Calibri"/>
          <w:color w:val="000000"/>
          <w:spacing w:val="-2"/>
          <w:lang w:eastAsia="en-US"/>
        </w:rPr>
        <w:t xml:space="preserve"> 1.</w:t>
      </w:r>
      <w:r>
        <w:rPr>
          <w:rFonts w:eastAsia="Calibri"/>
          <w:color w:val="000000"/>
          <w:spacing w:val="-2"/>
          <w:lang w:eastAsia="en-US"/>
        </w:rPr>
        <w:t xml:space="preserve"> </w:t>
      </w:r>
      <w:r w:rsidR="00720086">
        <w:rPr>
          <w:rFonts w:eastAsia="Calibri"/>
          <w:color w:val="000000"/>
          <w:spacing w:val="-2"/>
          <w:lang w:eastAsia="en-US"/>
        </w:rPr>
        <w:t>Geometrický plán č.</w:t>
      </w:r>
      <w:r w:rsidR="00D86E0E">
        <w:rPr>
          <w:rFonts w:eastAsia="Calibri"/>
          <w:color w:val="000000"/>
          <w:spacing w:val="-2"/>
          <w:lang w:eastAsia="en-US"/>
        </w:rPr>
        <w:t xml:space="preserve"> 2947-56/2016  </w:t>
      </w:r>
      <w:r w:rsidR="00132CA1">
        <w:rPr>
          <w:rFonts w:eastAsia="Calibri"/>
          <w:color w:val="000000"/>
          <w:spacing w:val="-2"/>
          <w:lang w:eastAsia="en-US"/>
        </w:rPr>
        <w:t xml:space="preserve"> </w:t>
      </w:r>
    </w:p>
    <w:p w:rsidR="00DB27C5" w:rsidRDefault="00DB27C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         2. Pověření pro Ing. Ladislava </w:t>
      </w:r>
      <w:r w:rsidR="0093505D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Moravce ze dne</w:t>
      </w:r>
      <w:r w:rsidR="00D86E0E">
        <w:rPr>
          <w:rFonts w:eastAsia="Calibri"/>
          <w:color w:val="000000"/>
          <w:spacing w:val="-2"/>
          <w:lang w:eastAsia="en-US"/>
        </w:rPr>
        <w:t xml:space="preserve"> 24.11.2015</w:t>
      </w:r>
    </w:p>
    <w:p w:rsidR="001F0077" w:rsidRDefault="00DB27C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ab/>
      </w:r>
      <w:r w:rsidR="00D86E0E">
        <w:rPr>
          <w:rFonts w:eastAsia="Calibri"/>
          <w:color w:val="000000"/>
          <w:spacing w:val="-2"/>
          <w:lang w:eastAsia="en-US"/>
        </w:rPr>
        <w:t xml:space="preserve">    </w:t>
      </w:r>
      <w:r>
        <w:rPr>
          <w:rFonts w:eastAsia="Calibri"/>
          <w:color w:val="000000"/>
          <w:spacing w:val="-2"/>
          <w:lang w:eastAsia="en-US"/>
        </w:rPr>
        <w:t>3. Pověření pro Ing. Petra Smolku ze dne</w:t>
      </w:r>
      <w:r w:rsidR="00D86E0E">
        <w:rPr>
          <w:rFonts w:eastAsia="Calibri"/>
          <w:color w:val="000000"/>
          <w:spacing w:val="-2"/>
          <w:lang w:eastAsia="en-US"/>
        </w:rPr>
        <w:t xml:space="preserve"> 24.11.2015 </w:t>
      </w:r>
      <w:r w:rsidR="00132CA1">
        <w:rPr>
          <w:rFonts w:eastAsia="Calibri"/>
          <w:color w:val="000000"/>
          <w:spacing w:val="-2"/>
          <w:lang w:eastAsia="en-US"/>
        </w:rPr>
        <w:t xml:space="preserve">        </w:t>
      </w:r>
    </w:p>
    <w:p w:rsidR="00D55805" w:rsidRDefault="00D5580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D55805" w:rsidRDefault="00D5580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D55805" w:rsidRPr="00EC7804" w:rsidRDefault="00D55805" w:rsidP="00FA0063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D55805" w:rsidRDefault="00EC7804" w:rsidP="00D86E0E">
      <w:pPr>
        <w:spacing w:before="144"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="003A7C4D"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EC7804">
        <w:rPr>
          <w:iCs/>
        </w:rPr>
        <w:instrText xml:space="preserve"> FORMTEXT </w:instrText>
      </w:r>
      <w:r w:rsidR="003A7C4D" w:rsidRPr="00EC7804">
        <w:rPr>
          <w:iCs/>
        </w:rPr>
      </w:r>
      <w:r w:rsidR="003A7C4D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3A7C4D" w:rsidRPr="00EC7804">
        <w:rPr>
          <w:iCs/>
        </w:rPr>
        <w:fldChar w:fldCharType="end"/>
      </w:r>
      <w:bookmarkEnd w:id="1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="003A7C4D"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="003A7C4D" w:rsidRPr="00EC7804">
        <w:rPr>
          <w:iCs/>
        </w:rPr>
      </w:r>
      <w:r w:rsidR="003A7C4D"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="003A7C4D" w:rsidRPr="00EC7804">
        <w:rPr>
          <w:iCs/>
        </w:rPr>
        <w:fldChar w:fldCharType="end"/>
      </w:r>
    </w:p>
    <w:p w:rsidR="00D55805" w:rsidRDefault="00D55805" w:rsidP="00EC7804">
      <w:pPr>
        <w:rPr>
          <w:iCs/>
        </w:rPr>
      </w:pPr>
    </w:p>
    <w:p w:rsidR="00D55805" w:rsidRPr="00EC7804" w:rsidRDefault="00D55805" w:rsidP="00EC7804">
      <w:pPr>
        <w:rPr>
          <w:iCs/>
        </w:rPr>
      </w:pPr>
    </w:p>
    <w:p w:rsidR="00EC7804" w:rsidRPr="00EC7804" w:rsidRDefault="00EC7804" w:rsidP="00EC7804">
      <w:pPr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                       Oprávněný</w:t>
      </w:r>
      <w:r w:rsidR="00D51BBD">
        <w:rPr>
          <w:iCs/>
        </w:rPr>
        <w:t>:</w:t>
      </w:r>
    </w:p>
    <w:p w:rsidR="00EC7804" w:rsidRPr="00EC7804" w:rsidRDefault="001F0077" w:rsidP="00EC7804">
      <w:pPr>
        <w:rPr>
          <w:iCs/>
        </w:rPr>
      </w:pPr>
      <w:r>
        <w:rPr>
          <w:iCs/>
        </w:rPr>
        <w:t>Městská část Praha 3</w:t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</w:r>
      <w:r w:rsidR="00EC7804" w:rsidRPr="00EC7804">
        <w:rPr>
          <w:iCs/>
        </w:rPr>
        <w:tab/>
        <w:t>P</w:t>
      </w:r>
      <w:r w:rsidR="00FA59BD">
        <w:rPr>
          <w:iCs/>
        </w:rPr>
        <w:t>ražská teplárenská</w:t>
      </w:r>
      <w:r w:rsidR="00EC7804" w:rsidRPr="00EC7804">
        <w:rPr>
          <w:iCs/>
        </w:rPr>
        <w:t>, a.s.</w:t>
      </w:r>
    </w:p>
    <w:p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iCs/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</w:p>
    <w:p w:rsidR="00EC7804" w:rsidRPr="00EC7804" w:rsidRDefault="00EC7804" w:rsidP="00EC7804">
      <w:pPr>
        <w:tabs>
          <w:tab w:val="center" w:pos="7560"/>
        </w:tabs>
        <w:rPr>
          <w:sz w:val="22"/>
          <w:szCs w:val="20"/>
        </w:rPr>
      </w:pPr>
      <w:r w:rsidRPr="00EC7804">
        <w:rPr>
          <w:sz w:val="22"/>
          <w:szCs w:val="20"/>
        </w:rPr>
        <w:t>……………………………………                                              …………………………………..</w:t>
      </w:r>
    </w:p>
    <w:p w:rsidR="00FA59BD" w:rsidRDefault="001F0077" w:rsidP="00FA59BD">
      <w:r>
        <w:t xml:space="preserve">    Ing. Vladislava Hujová</w:t>
      </w:r>
      <w:r w:rsidR="00EC7804" w:rsidRPr="00EC7804">
        <w:tab/>
        <w:t xml:space="preserve">                       </w:t>
      </w:r>
      <w:r w:rsidR="00EC7804" w:rsidRPr="00EC7804">
        <w:tab/>
      </w:r>
      <w:r w:rsidR="00EC7804" w:rsidRPr="00EC7804">
        <w:tab/>
      </w:r>
      <w:r w:rsidR="00EC7804" w:rsidRPr="00EC7804">
        <w:tab/>
        <w:t xml:space="preserve">   Ing. </w:t>
      </w:r>
      <w:r w:rsidR="00FA59BD">
        <w:t xml:space="preserve">Ladislav Moravec </w:t>
      </w:r>
      <w:r w:rsidR="00FA59BD">
        <w:tab/>
      </w:r>
    </w:p>
    <w:p w:rsidR="00EC7804" w:rsidRPr="00EC7804" w:rsidRDefault="00F732CD" w:rsidP="00FA59BD">
      <w:r>
        <w:t xml:space="preserve">          </w:t>
      </w:r>
      <w:r w:rsidR="00EC7804" w:rsidRPr="00EC7804">
        <w:t xml:space="preserve">  </w:t>
      </w:r>
      <w:r w:rsidR="00FA59BD">
        <w:t xml:space="preserve">  </w:t>
      </w:r>
      <w:r w:rsidR="001F0077">
        <w:t>starostka</w:t>
      </w:r>
      <w:r w:rsidR="00EC7804" w:rsidRPr="00EC7804">
        <w:t xml:space="preserve">                                   </w:t>
      </w:r>
      <w:r w:rsidR="001F0077">
        <w:t xml:space="preserve">                     </w:t>
      </w:r>
      <w:r w:rsidR="002632B0">
        <w:t xml:space="preserve">        </w:t>
      </w:r>
      <w:r>
        <w:tab/>
        <w:t xml:space="preserve">   </w:t>
      </w:r>
      <w:r w:rsidR="00FA59BD">
        <w:t xml:space="preserve">  generální ředitel</w:t>
      </w:r>
    </w:p>
    <w:p w:rsidR="00EC7804" w:rsidRPr="00EC7804" w:rsidRDefault="00EC7804" w:rsidP="00EC7804">
      <w:pPr>
        <w:jc w:val="both"/>
      </w:pPr>
      <w:r w:rsidRPr="00EC7804">
        <w:t xml:space="preserve">            </w:t>
      </w:r>
    </w:p>
    <w:p w:rsidR="00EC7804" w:rsidRPr="00EC7804" w:rsidRDefault="00EC7804" w:rsidP="00EC7804">
      <w:pPr>
        <w:jc w:val="both"/>
      </w:pPr>
    </w:p>
    <w:p w:rsidR="00EC7804" w:rsidRPr="00EC7804" w:rsidRDefault="00EC7804" w:rsidP="00EC7804">
      <w:pPr>
        <w:jc w:val="both"/>
      </w:pPr>
    </w:p>
    <w:p w:rsidR="00EC7804" w:rsidRPr="00EC7804" w:rsidRDefault="00EC7804" w:rsidP="00EC7804">
      <w:pPr>
        <w:tabs>
          <w:tab w:val="left" w:pos="0"/>
        </w:tabs>
        <w:jc w:val="both"/>
      </w:pPr>
      <w:r w:rsidRPr="00EC7804">
        <w:tab/>
      </w:r>
      <w:r w:rsidRPr="00EC7804">
        <w:tab/>
      </w:r>
      <w:r w:rsidRPr="00EC7804">
        <w:tab/>
        <w:t xml:space="preserve">   </w:t>
      </w:r>
      <w:r w:rsidRPr="00EC7804">
        <w:tab/>
      </w:r>
      <w:r w:rsidRPr="00EC7804">
        <w:tab/>
      </w:r>
      <w:r w:rsidRPr="00EC7804">
        <w:tab/>
        <w:t xml:space="preserve">  </w:t>
      </w:r>
      <w:r w:rsidRPr="00EC7804">
        <w:tab/>
        <w:t xml:space="preserve">           ………………………………..</w:t>
      </w:r>
    </w:p>
    <w:p w:rsidR="00EC7804" w:rsidRPr="00EC7804" w:rsidRDefault="00EC7804" w:rsidP="00EC7804">
      <w:pPr>
        <w:ind w:left="705" w:hanging="705"/>
        <w:jc w:val="both"/>
      </w:pPr>
      <w:r w:rsidRPr="00EC7804">
        <w:t xml:space="preserve">    </w:t>
      </w:r>
      <w:r w:rsidRPr="00EC7804">
        <w:rPr>
          <w:b/>
        </w:rPr>
        <w:t xml:space="preserve"> </w:t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rPr>
          <w:b/>
        </w:rPr>
        <w:tab/>
      </w:r>
      <w:r w:rsidRPr="00EC7804">
        <w:tab/>
      </w:r>
      <w:r w:rsidRPr="00EC7804">
        <w:tab/>
      </w:r>
      <w:r w:rsidRPr="00EC7804">
        <w:tab/>
        <w:t xml:space="preserve">                   </w:t>
      </w:r>
      <w:r w:rsidR="00FA59BD">
        <w:t xml:space="preserve">Ing. Petr Smolka </w:t>
      </w:r>
    </w:p>
    <w:p w:rsidR="00394CF1" w:rsidRDefault="00F732CD" w:rsidP="00E42F64">
      <w:pPr>
        <w:ind w:left="4956" w:hanging="4672"/>
      </w:pPr>
      <w:r>
        <w:t xml:space="preserve">  </w:t>
      </w:r>
      <w:r>
        <w:tab/>
        <w:t xml:space="preserve">         </w:t>
      </w:r>
      <w:r w:rsidR="00FA59BD">
        <w:t xml:space="preserve">            </w:t>
      </w:r>
      <w:r>
        <w:t xml:space="preserve">  </w:t>
      </w:r>
      <w:r w:rsidR="00FA59BD">
        <w:t xml:space="preserve">správní ředitel </w:t>
      </w:r>
    </w:p>
    <w:sectPr w:rsidR="00394CF1" w:rsidSect="0056010E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AB" w:rsidRDefault="00A11AAB" w:rsidP="001727C2">
      <w:r>
        <w:separator/>
      </w:r>
    </w:p>
  </w:endnote>
  <w:endnote w:type="continuationSeparator" w:id="0">
    <w:p w:rsidR="00A11AAB" w:rsidRDefault="00A11AAB" w:rsidP="001727C2">
      <w:r>
        <w:continuationSeparator/>
      </w:r>
    </w:p>
  </w:endnote>
  <w:endnote w:type="continuationNotice" w:id="1">
    <w:p w:rsidR="00A11AAB" w:rsidRDefault="00A1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259903"/>
      <w:docPartObj>
        <w:docPartGallery w:val="Page Numbers (Bottom of Page)"/>
        <w:docPartUnique/>
      </w:docPartObj>
    </w:sdtPr>
    <w:sdtEndPr/>
    <w:sdtContent>
      <w:p w:rsidR="0056010E" w:rsidRDefault="003A7C4D">
        <w:pPr>
          <w:pStyle w:val="Zpat"/>
          <w:jc w:val="center"/>
        </w:pPr>
        <w:r>
          <w:fldChar w:fldCharType="begin"/>
        </w:r>
        <w:r w:rsidR="0056010E">
          <w:instrText>PAGE   \* MERGEFORMAT</w:instrText>
        </w:r>
        <w:r>
          <w:fldChar w:fldCharType="separate"/>
        </w:r>
        <w:r w:rsidR="00291769">
          <w:rPr>
            <w:noProof/>
          </w:rPr>
          <w:t>2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AB" w:rsidRDefault="00A11AAB" w:rsidP="001727C2">
      <w:r>
        <w:separator/>
      </w:r>
    </w:p>
  </w:footnote>
  <w:footnote w:type="continuationSeparator" w:id="0">
    <w:p w:rsidR="00A11AAB" w:rsidRDefault="00A11AAB" w:rsidP="001727C2">
      <w:r>
        <w:continuationSeparator/>
      </w:r>
    </w:p>
  </w:footnote>
  <w:footnote w:type="continuationNotice" w:id="1">
    <w:p w:rsidR="00A11AAB" w:rsidRDefault="00A11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20" w:rsidRDefault="008C1FBF" w:rsidP="00132CA1">
    <w:pPr>
      <w:pStyle w:val="Zhlav"/>
    </w:pPr>
    <w:r>
      <w:tab/>
    </w:r>
    <w:r w:rsidR="00790691">
      <w:tab/>
    </w:r>
    <w:r w:rsidR="0079069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91" w:rsidRDefault="0079069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F77"/>
    <w:multiLevelType w:val="hybridMultilevel"/>
    <w:tmpl w:val="DEB44AD4"/>
    <w:lvl w:ilvl="0" w:tplc="FE64C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239A5"/>
    <w:multiLevelType w:val="hybridMultilevel"/>
    <w:tmpl w:val="3BA6B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117BB"/>
    <w:rsid w:val="00024974"/>
    <w:rsid w:val="00054020"/>
    <w:rsid w:val="00082B7B"/>
    <w:rsid w:val="000A5D32"/>
    <w:rsid w:val="000B196F"/>
    <w:rsid w:val="000C36A2"/>
    <w:rsid w:val="000F307E"/>
    <w:rsid w:val="00102EE3"/>
    <w:rsid w:val="001211C8"/>
    <w:rsid w:val="00121C51"/>
    <w:rsid w:val="00132CA1"/>
    <w:rsid w:val="001526A1"/>
    <w:rsid w:val="001703AC"/>
    <w:rsid w:val="001727C2"/>
    <w:rsid w:val="001A2A28"/>
    <w:rsid w:val="001B2107"/>
    <w:rsid w:val="001C43BE"/>
    <w:rsid w:val="001C5B91"/>
    <w:rsid w:val="001F0077"/>
    <w:rsid w:val="00206A90"/>
    <w:rsid w:val="002233E9"/>
    <w:rsid w:val="002460F1"/>
    <w:rsid w:val="00257A56"/>
    <w:rsid w:val="002632B0"/>
    <w:rsid w:val="002647AB"/>
    <w:rsid w:val="002801B3"/>
    <w:rsid w:val="00291769"/>
    <w:rsid w:val="00294906"/>
    <w:rsid w:val="002B715C"/>
    <w:rsid w:val="002C02CC"/>
    <w:rsid w:val="002D1F9C"/>
    <w:rsid w:val="002E58B1"/>
    <w:rsid w:val="00343560"/>
    <w:rsid w:val="00343E9E"/>
    <w:rsid w:val="00356F3A"/>
    <w:rsid w:val="003673DB"/>
    <w:rsid w:val="0037231C"/>
    <w:rsid w:val="00394CF1"/>
    <w:rsid w:val="003A7C4D"/>
    <w:rsid w:val="003C1C12"/>
    <w:rsid w:val="003C5F92"/>
    <w:rsid w:val="003E128C"/>
    <w:rsid w:val="003F37A0"/>
    <w:rsid w:val="003F6B94"/>
    <w:rsid w:val="004157B7"/>
    <w:rsid w:val="004223AE"/>
    <w:rsid w:val="00476AB6"/>
    <w:rsid w:val="004A0AF3"/>
    <w:rsid w:val="004F420F"/>
    <w:rsid w:val="00512D65"/>
    <w:rsid w:val="0051481D"/>
    <w:rsid w:val="0053008B"/>
    <w:rsid w:val="005360B3"/>
    <w:rsid w:val="00541423"/>
    <w:rsid w:val="0056010E"/>
    <w:rsid w:val="0057651C"/>
    <w:rsid w:val="00591D71"/>
    <w:rsid w:val="005B434E"/>
    <w:rsid w:val="005D38A2"/>
    <w:rsid w:val="005D5367"/>
    <w:rsid w:val="005D667E"/>
    <w:rsid w:val="005E0D81"/>
    <w:rsid w:val="005E16F0"/>
    <w:rsid w:val="005E1F2F"/>
    <w:rsid w:val="005E201A"/>
    <w:rsid w:val="0060448B"/>
    <w:rsid w:val="00611385"/>
    <w:rsid w:val="0061277B"/>
    <w:rsid w:val="006626D1"/>
    <w:rsid w:val="0066463D"/>
    <w:rsid w:val="0067716D"/>
    <w:rsid w:val="00682F32"/>
    <w:rsid w:val="00685524"/>
    <w:rsid w:val="00686458"/>
    <w:rsid w:val="006A411C"/>
    <w:rsid w:val="006A46E9"/>
    <w:rsid w:val="006C7D8E"/>
    <w:rsid w:val="006F33E3"/>
    <w:rsid w:val="00700E54"/>
    <w:rsid w:val="007100B8"/>
    <w:rsid w:val="00720086"/>
    <w:rsid w:val="00724BF8"/>
    <w:rsid w:val="00730928"/>
    <w:rsid w:val="00752809"/>
    <w:rsid w:val="0076445B"/>
    <w:rsid w:val="007728B9"/>
    <w:rsid w:val="007872D7"/>
    <w:rsid w:val="00790691"/>
    <w:rsid w:val="007D0139"/>
    <w:rsid w:val="007D442D"/>
    <w:rsid w:val="007E543C"/>
    <w:rsid w:val="007E6921"/>
    <w:rsid w:val="0081125A"/>
    <w:rsid w:val="00813FD4"/>
    <w:rsid w:val="0081634F"/>
    <w:rsid w:val="00823A5C"/>
    <w:rsid w:val="008922E8"/>
    <w:rsid w:val="008C1FBF"/>
    <w:rsid w:val="008C7639"/>
    <w:rsid w:val="008D4A9B"/>
    <w:rsid w:val="008E66D3"/>
    <w:rsid w:val="009143F4"/>
    <w:rsid w:val="00917067"/>
    <w:rsid w:val="009170A1"/>
    <w:rsid w:val="00920A20"/>
    <w:rsid w:val="0093505D"/>
    <w:rsid w:val="00940DBD"/>
    <w:rsid w:val="00942D39"/>
    <w:rsid w:val="00955BAA"/>
    <w:rsid w:val="00961BED"/>
    <w:rsid w:val="00990A03"/>
    <w:rsid w:val="009C0EE8"/>
    <w:rsid w:val="009E41DB"/>
    <w:rsid w:val="009E4914"/>
    <w:rsid w:val="00A02B96"/>
    <w:rsid w:val="00A10842"/>
    <w:rsid w:val="00A11AAB"/>
    <w:rsid w:val="00A1375F"/>
    <w:rsid w:val="00A1761B"/>
    <w:rsid w:val="00A608ED"/>
    <w:rsid w:val="00A63EAE"/>
    <w:rsid w:val="00A7103C"/>
    <w:rsid w:val="00A815EE"/>
    <w:rsid w:val="00AA6987"/>
    <w:rsid w:val="00AB1464"/>
    <w:rsid w:val="00AE28EE"/>
    <w:rsid w:val="00AF62C2"/>
    <w:rsid w:val="00B042BA"/>
    <w:rsid w:val="00B211A6"/>
    <w:rsid w:val="00B26499"/>
    <w:rsid w:val="00B32F3C"/>
    <w:rsid w:val="00B35565"/>
    <w:rsid w:val="00B7395F"/>
    <w:rsid w:val="00B77A40"/>
    <w:rsid w:val="00B77CF9"/>
    <w:rsid w:val="00B81355"/>
    <w:rsid w:val="00B90A82"/>
    <w:rsid w:val="00BC1CC9"/>
    <w:rsid w:val="00C112B7"/>
    <w:rsid w:val="00C349C0"/>
    <w:rsid w:val="00C40460"/>
    <w:rsid w:val="00C714DD"/>
    <w:rsid w:val="00C74A96"/>
    <w:rsid w:val="00C90C3A"/>
    <w:rsid w:val="00CE33AD"/>
    <w:rsid w:val="00CE524A"/>
    <w:rsid w:val="00CF57A3"/>
    <w:rsid w:val="00D2594C"/>
    <w:rsid w:val="00D35A82"/>
    <w:rsid w:val="00D51BBD"/>
    <w:rsid w:val="00D55805"/>
    <w:rsid w:val="00D56339"/>
    <w:rsid w:val="00D73C9F"/>
    <w:rsid w:val="00D74FEE"/>
    <w:rsid w:val="00D81E5C"/>
    <w:rsid w:val="00D86E0E"/>
    <w:rsid w:val="00D944CB"/>
    <w:rsid w:val="00DB27C5"/>
    <w:rsid w:val="00DB4690"/>
    <w:rsid w:val="00DC61F5"/>
    <w:rsid w:val="00DC7B55"/>
    <w:rsid w:val="00DE38A7"/>
    <w:rsid w:val="00DF1391"/>
    <w:rsid w:val="00DF42DB"/>
    <w:rsid w:val="00DF7F12"/>
    <w:rsid w:val="00E02783"/>
    <w:rsid w:val="00E15701"/>
    <w:rsid w:val="00E25BC0"/>
    <w:rsid w:val="00E37294"/>
    <w:rsid w:val="00E42F64"/>
    <w:rsid w:val="00E46C43"/>
    <w:rsid w:val="00E763B3"/>
    <w:rsid w:val="00E915FB"/>
    <w:rsid w:val="00E93643"/>
    <w:rsid w:val="00EA1635"/>
    <w:rsid w:val="00EB1BDE"/>
    <w:rsid w:val="00EC7804"/>
    <w:rsid w:val="00ED2720"/>
    <w:rsid w:val="00EE7681"/>
    <w:rsid w:val="00EF4CC8"/>
    <w:rsid w:val="00F01AEC"/>
    <w:rsid w:val="00F07EEF"/>
    <w:rsid w:val="00F10315"/>
    <w:rsid w:val="00F51CD5"/>
    <w:rsid w:val="00F56114"/>
    <w:rsid w:val="00F62814"/>
    <w:rsid w:val="00F732CD"/>
    <w:rsid w:val="00F80B6E"/>
    <w:rsid w:val="00F869EE"/>
    <w:rsid w:val="00F87161"/>
    <w:rsid w:val="00FA0063"/>
    <w:rsid w:val="00FA15DB"/>
    <w:rsid w:val="00FA5391"/>
    <w:rsid w:val="00FA576A"/>
    <w:rsid w:val="00FA59BD"/>
    <w:rsid w:val="00FD0213"/>
    <w:rsid w:val="00FD05D8"/>
    <w:rsid w:val="00FE641E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9B465-71AD-4543-BBD4-BCFDB04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C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Revize">
    <w:name w:val="Revision"/>
    <w:hidden/>
    <w:uiPriority w:val="99"/>
    <w:semiHidden/>
    <w:rsid w:val="007D442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C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279E-1910-4FE3-981F-23AF6B37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Hejnová Jana, JUDr.</dc:creator>
  <cp:lastModifiedBy>Šafránková Zuzana ing. (ÚMČ Praha 3)</cp:lastModifiedBy>
  <cp:revision>2</cp:revision>
  <cp:lastPrinted>2016-07-13T11:30:00Z</cp:lastPrinted>
  <dcterms:created xsi:type="dcterms:W3CDTF">2016-10-31T12:43:00Z</dcterms:created>
  <dcterms:modified xsi:type="dcterms:W3CDTF">2016-10-31T12:43:00Z</dcterms:modified>
</cp:coreProperties>
</file>