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5B" w:rsidRDefault="00875EAC">
      <w:pPr>
        <w:spacing w:after="330" w:line="216" w:lineRule="auto"/>
        <w:ind w:left="777" w:right="842" w:firstLine="0"/>
        <w:jc w:val="center"/>
      </w:pPr>
      <w:r>
        <w:rPr>
          <w:sz w:val="42"/>
        </w:rPr>
        <w:t xml:space="preserve">SMLOUVA O NÁJMU NEBYTOVÝCH PROSTOR </w:t>
      </w:r>
      <w:r>
        <w:rPr>
          <w:sz w:val="42"/>
        </w:rPr>
        <w:t>č, 004/2005</w:t>
      </w:r>
    </w:p>
    <w:p w:rsidR="00136E5B" w:rsidRDefault="00875EAC">
      <w:pPr>
        <w:spacing w:after="1066" w:line="250" w:lineRule="auto"/>
        <w:ind w:left="60" w:right="784" w:hanging="10"/>
        <w:jc w:val="left"/>
      </w:pPr>
      <w:r>
        <w:rPr>
          <w:sz w:val="26"/>
        </w:rPr>
        <w:t>Smluvní strany:</w:t>
      </w:r>
    </w:p>
    <w:p w:rsidR="00136E5B" w:rsidRDefault="00875EAC">
      <w:pPr>
        <w:spacing w:line="250" w:lineRule="auto"/>
        <w:ind w:left="2504" w:right="784" w:hanging="2454"/>
        <w:jc w:val="left"/>
      </w:pPr>
      <w:r>
        <w:rPr>
          <w:sz w:val="26"/>
        </w:rPr>
        <w:t>Zdravotní ústav se sídlem v Liberci, příspěvková organizace zřízená podle ustanovení S 86 odstavec 1 zákona č. 258/2000 Sb.,</w:t>
      </w:r>
    </w:p>
    <w:p w:rsidR="00136E5B" w:rsidRDefault="00875EAC">
      <w:pPr>
        <w:spacing w:after="173" w:line="250" w:lineRule="auto"/>
        <w:ind w:left="2500" w:right="784" w:hanging="10"/>
        <w:jc w:val="left"/>
      </w:pPr>
      <w:r>
        <w:rPr>
          <w:sz w:val="26"/>
        </w:rPr>
        <w:t>o ochraně veřejného zdraví ve znění pozdějších předpisů</w:t>
      </w:r>
    </w:p>
    <w:p w:rsidR="00136E5B" w:rsidRDefault="00875EAC">
      <w:pPr>
        <w:ind w:left="14"/>
      </w:pPr>
      <w:r>
        <w:t>se sídlem U Sila 1139, 463 11 Liberec 30 jednající Ing. Petrem Parmou, ředitelem</w:t>
      </w:r>
    </w:p>
    <w:p w:rsidR="00136E5B" w:rsidRDefault="00875EAC">
      <w:pPr>
        <w:spacing w:after="96" w:line="249" w:lineRule="auto"/>
        <w:ind w:left="2493" w:right="0" w:hanging="3"/>
        <w:jc w:val="left"/>
      </w:pPr>
      <w:r>
        <w:t>710 09 434</w:t>
      </w:r>
    </w:p>
    <w:p w:rsidR="00136E5B" w:rsidRDefault="00875EAC">
      <w:pPr>
        <w:spacing w:after="199"/>
        <w:ind w:left="2461" w:right="180" w:hanging="2447"/>
      </w:pPr>
      <w:r>
        <w:t xml:space="preserve">Bankovní </w:t>
      </w:r>
      <w:proofErr w:type="gramStart"/>
      <w:r>
        <w:t>spojení :</w:t>
      </w:r>
      <w:proofErr w:type="gramEnd"/>
      <w:r>
        <w:tab/>
        <w:t xml:space="preserve">Česká spořitelna, a.s., oblastní pobočka v Liberci, </w:t>
      </w:r>
      <w:r>
        <w:t>986289399/0800,</w:t>
      </w:r>
    </w:p>
    <w:p w:rsidR="00136E5B" w:rsidRDefault="00875EAC">
      <w:pPr>
        <w:spacing w:after="655"/>
        <w:ind w:left="14" w:right="79"/>
      </w:pPr>
      <w:r>
        <w:t>(dále jen „pronajímatel”)</w:t>
      </w:r>
    </w:p>
    <w:p w:rsidR="00136E5B" w:rsidRDefault="00875EAC">
      <w:pPr>
        <w:spacing w:line="250" w:lineRule="auto"/>
        <w:ind w:left="60" w:right="784" w:hanging="10"/>
        <w:jc w:val="left"/>
      </w:pPr>
      <w:r>
        <w:rPr>
          <w:sz w:val="26"/>
        </w:rPr>
        <w:t>Privátní veterinární ošetřovna</w:t>
      </w:r>
    </w:p>
    <w:p w:rsidR="00136E5B" w:rsidRDefault="00875EAC">
      <w:pPr>
        <w:pStyle w:val="Nadpis1"/>
      </w:pPr>
      <w:r>
        <w:t>U Sila 1139</w:t>
      </w:r>
    </w:p>
    <w:p w:rsidR="00136E5B" w:rsidRDefault="00875EAC">
      <w:pPr>
        <w:ind w:left="14" w:right="79" w:firstLine="2454"/>
      </w:pPr>
      <w:r>
        <w:t xml:space="preserve">463 11 Liberec 30 </w:t>
      </w:r>
      <w:proofErr w:type="gramStart"/>
      <w:r>
        <w:t>jednající :</w:t>
      </w:r>
      <w:proofErr w:type="gramEnd"/>
      <w:r>
        <w:t xml:space="preserve"> panem MVDr. Milošem Havlíčkem a panem MVDr. Miroslavem</w:t>
      </w:r>
    </w:p>
    <w:p w:rsidR="00136E5B" w:rsidRDefault="00875EAC">
      <w:pPr>
        <w:spacing w:line="250" w:lineRule="auto"/>
        <w:ind w:left="2521" w:right="784" w:hanging="10"/>
        <w:jc w:val="left"/>
      </w:pPr>
      <w:proofErr w:type="spellStart"/>
      <w:r>
        <w:rPr>
          <w:sz w:val="26"/>
        </w:rPr>
        <w:t>Chlupsou</w:t>
      </w:r>
      <w:proofErr w:type="spellEnd"/>
    </w:p>
    <w:p w:rsidR="00136E5B" w:rsidRDefault="00875EAC">
      <w:pPr>
        <w:spacing w:after="406" w:line="249" w:lineRule="auto"/>
        <w:ind w:left="2514" w:right="0" w:hanging="3"/>
        <w:jc w:val="left"/>
      </w:pPr>
      <w:r>
        <w:t>42134412</w:t>
      </w:r>
    </w:p>
    <w:p w:rsidR="00136E5B" w:rsidRDefault="00875EAC">
      <w:pPr>
        <w:spacing w:after="464"/>
        <w:ind w:left="79" w:right="79"/>
      </w:pPr>
      <w:r>
        <w:t>(dále jen „nájemce”)</w:t>
      </w:r>
    </w:p>
    <w:p w:rsidR="00136E5B" w:rsidRDefault="00875EAC">
      <w:pPr>
        <w:spacing w:after="203"/>
        <w:ind w:left="79" w:right="79"/>
      </w:pPr>
      <w:r>
        <w:t xml:space="preserve">uzavřely níže uvedeného dne, měsíce a roku </w:t>
      </w:r>
      <w:proofErr w:type="spellStart"/>
      <w:r>
        <w:t>podte</w:t>
      </w:r>
      <w:proofErr w:type="spellEnd"/>
      <w:r>
        <w:t xml:space="preserve"> ustanovení zákona č. 219/2000 Sb. a dále </w:t>
      </w:r>
      <w:proofErr w:type="spellStart"/>
      <w:r>
        <w:t>dfe</w:t>
      </w:r>
      <w:proofErr w:type="spellEnd"/>
      <w:r>
        <w:t xml:space="preserve"> vyhlášky č. 62/2001 Sb. tuto</w:t>
      </w:r>
    </w:p>
    <w:p w:rsidR="00136E5B" w:rsidRDefault="00875EAC">
      <w:pPr>
        <w:spacing w:after="701" w:line="259" w:lineRule="auto"/>
        <w:ind w:left="14" w:right="0" w:firstLine="0"/>
        <w:jc w:val="center"/>
      </w:pPr>
      <w:r>
        <w:t>nájemní s</w:t>
      </w:r>
      <w:r>
        <w:t>mlouvu:</w:t>
      </w:r>
    </w:p>
    <w:p w:rsidR="00136E5B" w:rsidRDefault="00875EAC">
      <w:pPr>
        <w:pStyle w:val="Nadpis2"/>
        <w:spacing w:after="100"/>
        <w:ind w:left="154" w:right="94"/>
      </w:pPr>
      <w:r>
        <w:t>Předmět a úče! této smlouvy</w:t>
      </w:r>
    </w:p>
    <w:p w:rsidR="00136E5B" w:rsidRDefault="00875EAC">
      <w:pPr>
        <w:ind w:left="94" w:right="79"/>
      </w:pPr>
      <w:r>
        <w:t>Předmětem této smlouvy je nájemní vztah mezi smluvními stranami, přičemž účelem této smlouvy je upravení tohoto smluvního vztahu v souladu s vůli stran a obecně závaznými právními předpisy.</w:t>
      </w:r>
    </w:p>
    <w:p w:rsidR="00136E5B" w:rsidRDefault="00875EAC">
      <w:pPr>
        <w:ind w:left="94" w:right="79"/>
      </w:pPr>
      <w:r>
        <w:t xml:space="preserve">Pronajímatel, který hospodaří </w:t>
      </w:r>
      <w:r>
        <w:t>s majetkem státu, jenž je předmětem nájmu, pronajímá v souladu s touto smlouvou a obecně závaznými předpisy předmět nájmu nájemci.</w:t>
      </w:r>
    </w:p>
    <w:p w:rsidR="00136E5B" w:rsidRDefault="00875EAC">
      <w:pPr>
        <w:ind w:left="101" w:right="0"/>
      </w:pPr>
      <w:r>
        <w:t>Nájemce najímá od pronajímatele v souladu s touto smlouvou a obecně závaznými předpisy předmět nájmu.</w:t>
      </w:r>
    </w:p>
    <w:p w:rsidR="00136E5B" w:rsidRDefault="00875EAC">
      <w:pPr>
        <w:pStyle w:val="Nadpis2"/>
        <w:ind w:left="154" w:right="14"/>
      </w:pPr>
      <w:r>
        <w:lastRenderedPageBreak/>
        <w:t>Předmět nájmu</w:t>
      </w:r>
    </w:p>
    <w:p w:rsidR="00136E5B" w:rsidRDefault="00875EAC">
      <w:pPr>
        <w:spacing w:after="170"/>
        <w:ind w:left="122" w:right="79"/>
      </w:pPr>
      <w:r>
        <w:t xml:space="preserve">Předmětem této smlouvy je nájem nebytových prostor v areálu pronajímatele, na adrese U Sila 11391 463 11 Liberec </w:t>
      </w:r>
      <w:proofErr w:type="gramStart"/>
      <w:r>
        <w:t>XXX- Vratislavice</w:t>
      </w:r>
      <w:proofErr w:type="gramEnd"/>
      <w:r>
        <w:t xml:space="preserve"> nad Nisou.</w:t>
      </w:r>
    </w:p>
    <w:p w:rsidR="00136E5B" w:rsidRDefault="00875EAC">
      <w:pPr>
        <w:spacing w:after="253"/>
        <w:ind w:left="122" w:right="79"/>
      </w:pPr>
      <w:r>
        <w:t>Nebytové prostory, které jsou předmětem nájmu jsou v přístavku hlavní budovy:</w:t>
      </w:r>
    </w:p>
    <w:p w:rsidR="00136E5B" w:rsidRDefault="00875EAC">
      <w:pPr>
        <w:spacing w:after="216"/>
        <w:ind w:left="122" w:right="1828"/>
      </w:pPr>
      <w:r>
        <w:t>prostory určené k provozování ordina</w:t>
      </w:r>
      <w:r>
        <w:t>ce + kanceláře o ploše: 53,2 rn</w:t>
      </w:r>
      <w:r>
        <w:rPr>
          <w:vertAlign w:val="superscript"/>
        </w:rPr>
        <w:t xml:space="preserve">2 </w:t>
      </w:r>
      <w:r>
        <w:t xml:space="preserve">prostory určené ke skladování </w:t>
      </w:r>
      <w:proofErr w:type="spellStart"/>
      <w:r>
        <w:t>féků</w:t>
      </w:r>
      <w:proofErr w:type="spellEnd"/>
      <w:r>
        <w:t xml:space="preserve"> o ploše: </w:t>
      </w:r>
      <w:r>
        <w:t xml:space="preserve">23,98 </w:t>
      </w:r>
      <w:r>
        <w:rPr>
          <w:noProof/>
        </w:rPr>
        <w:drawing>
          <wp:inline distT="0" distB="0" distL="0" distR="0">
            <wp:extent cx="109662" cy="82226"/>
            <wp:effectExtent l="0" t="0" r="0" b="0"/>
            <wp:docPr id="3500" name="Picture 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" name="Picture 35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662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společné prostory o ploše:</w:t>
      </w:r>
      <w:r>
        <w:tab/>
        <w:t>86,92 rn</w:t>
      </w:r>
      <w:r>
        <w:rPr>
          <w:vertAlign w:val="superscript"/>
        </w:rPr>
        <w:t>2</w:t>
      </w:r>
    </w:p>
    <w:p w:rsidR="00136E5B" w:rsidRDefault="00875EAC">
      <w:pPr>
        <w:spacing w:after="197"/>
        <w:ind w:left="130" w:right="79"/>
      </w:pPr>
      <w:r>
        <w:t>Předmětem nájmu jsou i zařizovací předměty umístěné v pronajatých prostorách a sepsané na seznamu, který je přílohou č. 2 této smlouvy.</w:t>
      </w:r>
    </w:p>
    <w:p w:rsidR="00136E5B" w:rsidRDefault="00875EAC">
      <w:pPr>
        <w:spacing w:after="468"/>
        <w:ind w:left="130" w:right="79"/>
      </w:pPr>
      <w:r>
        <w:t>Uvedené nebytové prostory i zařizovací předměty jsou ve stavu způsobilém ke smluvenému užívání.</w:t>
      </w:r>
    </w:p>
    <w:p w:rsidR="00136E5B" w:rsidRDefault="00875EAC">
      <w:pPr>
        <w:pStyle w:val="Nadpis2"/>
        <w:ind w:left="154" w:right="22"/>
      </w:pPr>
      <w:r>
        <w:t>Účel nájmu</w:t>
      </w:r>
    </w:p>
    <w:p w:rsidR="00136E5B" w:rsidRDefault="00875EAC">
      <w:pPr>
        <w:spacing w:after="189"/>
        <w:ind w:left="130" w:right="79"/>
      </w:pPr>
      <w:r>
        <w:t>Předmět nájmu bude nájemcem užíván k jeho činnosti vymezené právními předpisy, konkrétně k provozování veterinární ošetřovny.</w:t>
      </w:r>
    </w:p>
    <w:p w:rsidR="00136E5B" w:rsidRDefault="00875EAC">
      <w:pPr>
        <w:spacing w:after="216"/>
        <w:ind w:left="130" w:right="14"/>
      </w:pPr>
      <w:r>
        <w:t>Nájemce se zavazuje, ž</w:t>
      </w:r>
      <w:r>
        <w:t>e nebytové prostory bude užívat v souladu s jejich stavebně technickým určením a obecně závaznými právními předpisy, zejména se týkajícími ochrany životního prostředí, dále protipožárními předpisy, bezpečnostními předpisy a právními předpisy o ochraně veře</w:t>
      </w:r>
      <w:r>
        <w:t>jného zdraví. Pokud by bylo během nájmu nutno měnit stavebně — '</w:t>
      </w:r>
      <w:proofErr w:type="spellStart"/>
      <w:r>
        <w:t>eohnické</w:t>
      </w:r>
      <w:proofErr w:type="spellEnd"/>
      <w:r>
        <w:t xml:space="preserve"> určení jednotlivých místnosti, požádá nájemce pronajímatele o předchozí písemný souhlas.</w:t>
      </w:r>
    </w:p>
    <w:p w:rsidR="00136E5B" w:rsidRDefault="00875EAC">
      <w:pPr>
        <w:spacing w:after="191"/>
        <w:ind w:left="137" w:right="79"/>
      </w:pPr>
      <w:r>
        <w:t xml:space="preserve">Nájemce je </w:t>
      </w:r>
      <w:proofErr w:type="spellStart"/>
      <w:r>
        <w:t>povinnen</w:t>
      </w:r>
      <w:proofErr w:type="spellEnd"/>
      <w:r>
        <w:t xml:space="preserve"> předem oznámit záměr výkonu činnosti s vysokým nebo zvýšeným požárním </w:t>
      </w:r>
      <w:proofErr w:type="spellStart"/>
      <w:r>
        <w:t>nebe</w:t>
      </w:r>
      <w:r>
        <w:t>peöím</w:t>
      </w:r>
      <w:proofErr w:type="spellEnd"/>
      <w:r>
        <w:t xml:space="preserve"> ve smyslu zákona o požární ochraně.</w:t>
      </w:r>
    </w:p>
    <w:p w:rsidR="00136E5B" w:rsidRDefault="00875EAC">
      <w:pPr>
        <w:spacing w:after="219"/>
        <w:ind w:left="122" w:right="79"/>
      </w:pPr>
      <w:r>
        <w:t>Pokud jde o zařizovací předměty, nájemce se zavazuje užívat je v souladu s návodem vydaným výrobcem.</w:t>
      </w:r>
    </w:p>
    <w:p w:rsidR="00136E5B" w:rsidRDefault="00875EAC">
      <w:pPr>
        <w:spacing w:after="0" w:line="259" w:lineRule="auto"/>
        <w:ind w:left="161" w:right="0" w:hanging="10"/>
        <w:jc w:val="center"/>
      </w:pPr>
      <w:r>
        <w:rPr>
          <w:sz w:val="28"/>
        </w:rPr>
        <w:t>IV.</w:t>
      </w:r>
    </w:p>
    <w:p w:rsidR="00136E5B" w:rsidRDefault="00875EAC">
      <w:pPr>
        <w:pStyle w:val="Nadpis2"/>
        <w:spacing w:after="57"/>
        <w:ind w:left="154"/>
      </w:pPr>
      <w:r>
        <w:t>Práva a povinnosti pronajímatele</w:t>
      </w:r>
    </w:p>
    <w:p w:rsidR="00136E5B" w:rsidRDefault="00875EAC">
      <w:pPr>
        <w:numPr>
          <w:ilvl w:val="0"/>
          <w:numId w:val="1"/>
        </w:numPr>
        <w:ind w:right="7" w:hanging="367"/>
      </w:pPr>
      <w:r>
        <w:t xml:space="preserve">Pronajímatel je povinen předat předmět nájmu nájemci ke dni podpisu této smlouvy, a to ve stavu </w:t>
      </w:r>
      <w:proofErr w:type="spellStart"/>
      <w:r>
        <w:t>způsobitém</w:t>
      </w:r>
      <w:proofErr w:type="spellEnd"/>
      <w:r>
        <w:t xml:space="preserve"> ke smluvenému užívání. Převzetí předmětu nájmu, včetně jeho stavu a počtu předaných klíčů od budovy a jednotlivých místností, bude popsán v předávací</w:t>
      </w:r>
      <w:r>
        <w:t>m protokolu.</w:t>
      </w:r>
    </w:p>
    <w:p w:rsidR="00136E5B" w:rsidRDefault="00875EAC">
      <w:pPr>
        <w:numPr>
          <w:ilvl w:val="0"/>
          <w:numId w:val="1"/>
        </w:numPr>
        <w:ind w:right="7" w:hanging="367"/>
      </w:pPr>
      <w:r>
        <w:t>Pronajímatel se zavazuje zajistit řádný a nerušený výkon nájemních práv nájemce po celou dobu nájemního vztahu.</w:t>
      </w:r>
    </w:p>
    <w:p w:rsidR="00136E5B" w:rsidRDefault="00875EAC">
      <w:pPr>
        <w:numPr>
          <w:ilvl w:val="0"/>
          <w:numId w:val="1"/>
        </w:numPr>
        <w:ind w:right="7" w:hanging="367"/>
      </w:pPr>
      <w:r>
        <w:t>Zaměstnanci pronajímatele jsou oprávněni vstoupit do předmětu nájmu spotu s osobou oprávněnou jednat jménem nájemce, a to zejména z</w:t>
      </w:r>
      <w:r>
        <w:t>a účelem kontroly dodržování podmínek této smlouvy, jestliže je to zapotřebí. V případě havárie a v jiných výjimečných případech jsou zaměstnanci pronajímatele oprávněni vstoupit do pronajatých prostor i v nepřítomnosti osoby oprávněné jednat jménem nájemc</w:t>
      </w:r>
      <w:r>
        <w:t>e. O tom bude nájemce neprodleně vyrozuměn. V této souvislosti bere nájemce na vědomí, že pronajímatel bude mít v držení náhradní klíče k pronajatým prostorám a že nájemce není oprávněn provést bez souhlasu pronajímatele výměnu zámků. Pronajímatel se zavaz</w:t>
      </w:r>
      <w:r>
        <w:t>uje, že své právo provádět kontrolu bude využívat jen v nutném rozsahu tak, aby se co nejméně narušila činnost nájemce.</w:t>
      </w:r>
    </w:p>
    <w:p w:rsidR="00136E5B" w:rsidRDefault="00875EAC">
      <w:pPr>
        <w:numPr>
          <w:ilvl w:val="0"/>
          <w:numId w:val="1"/>
        </w:numPr>
        <w:spacing w:after="37"/>
        <w:ind w:right="7" w:hanging="367"/>
      </w:pPr>
      <w:r>
        <w:t>Pronajímatel pojistil nemovitost a po dobu nájmu bude hradit pojištění nemovitosti.</w:t>
      </w:r>
    </w:p>
    <w:p w:rsidR="00136E5B" w:rsidRDefault="00875EAC">
      <w:pPr>
        <w:pStyle w:val="Nadpis2"/>
        <w:spacing w:after="352"/>
        <w:ind w:left="154" w:right="209"/>
      </w:pPr>
      <w:r>
        <w:lastRenderedPageBreak/>
        <w:t>Práva a povinnosti nájemce</w:t>
      </w:r>
    </w:p>
    <w:p w:rsidR="00136E5B" w:rsidRDefault="00875EAC">
      <w:pPr>
        <w:ind w:left="359" w:right="79" w:hanging="345"/>
      </w:pPr>
      <w:proofErr w:type="gramStart"/>
      <w:r>
        <w:t>I .</w:t>
      </w:r>
      <w:proofErr w:type="gramEnd"/>
      <w:r>
        <w:t xml:space="preserve"> Nájemce je oprávněn užívat předmět nájmu v rozsahu a k účelu sjednanému touto smlouvou, a to po celou dobu nájemního vztahu. Změny předmětu nájmu lze provádět pouze s předchozím písemným souhlasem pronajímatele.</w:t>
      </w:r>
    </w:p>
    <w:p w:rsidR="00136E5B" w:rsidRDefault="00875EAC">
      <w:pPr>
        <w:numPr>
          <w:ilvl w:val="0"/>
          <w:numId w:val="2"/>
        </w:numPr>
        <w:spacing w:after="37"/>
        <w:ind w:right="79" w:hanging="374"/>
      </w:pPr>
      <w:r>
        <w:t xml:space="preserve">Nájemce není oprávněn přenechat předmět </w:t>
      </w:r>
      <w:r>
        <w:t>nájmu, jakož i jeho část do podnájmu.</w:t>
      </w:r>
    </w:p>
    <w:p w:rsidR="00136E5B" w:rsidRDefault="00875EAC">
      <w:pPr>
        <w:numPr>
          <w:ilvl w:val="0"/>
          <w:numId w:val="2"/>
        </w:numPr>
        <w:spacing w:after="49"/>
        <w:ind w:right="79" w:hanging="374"/>
      </w:pPr>
      <w:r>
        <w:t>Nájemce je povinen hradit nájemné a zálohy za služby dle níže uvedených ustanovení této smlouvy.</w:t>
      </w:r>
    </w:p>
    <w:p w:rsidR="00136E5B" w:rsidRDefault="00875EAC">
      <w:pPr>
        <w:numPr>
          <w:ilvl w:val="0"/>
          <w:numId w:val="2"/>
        </w:numPr>
        <w:spacing w:after="27"/>
        <w:ind w:right="79" w:hanging="374"/>
      </w:pPr>
      <w:r>
        <w:t>Nájemce je povinen vlastním nákladem udržovat předmět nájmu včetně zařizovacích předmětů, uvedených v příloze č. 2 ve sta</w:t>
      </w:r>
      <w:r>
        <w:t>vu způsobilém vymezenému užívání. Přitom bude nájemce dbát pokynů pronajímatele.</w:t>
      </w:r>
    </w:p>
    <w:p w:rsidR="00136E5B" w:rsidRDefault="00875EAC">
      <w:pPr>
        <w:numPr>
          <w:ilvl w:val="0"/>
          <w:numId w:val="2"/>
        </w:numPr>
        <w:spacing w:after="37"/>
        <w:ind w:right="79" w:hanging="374"/>
      </w:pPr>
      <w:r>
        <w:t>Nájemce je povinen zajišťovat řádný úklid a drobnou údržbu pronajatých prostor.</w:t>
      </w:r>
    </w:p>
    <w:p w:rsidR="00136E5B" w:rsidRDefault="00875EAC">
      <w:pPr>
        <w:numPr>
          <w:ilvl w:val="0"/>
          <w:numId w:val="2"/>
        </w:numPr>
        <w:spacing w:after="36"/>
        <w:ind w:right="79" w:hanging="374"/>
      </w:pPr>
      <w:r>
        <w:t>Nájemce je oprávněn odstoupit od smlouvy, pokud pronajímatel nedodržuje ustanovení této smlouvy</w:t>
      </w:r>
      <w:r>
        <w:t>, nebo pokud se předmět nájmu i bez přičinění pronajímatele stane nezpůsobilým užívání.</w:t>
      </w:r>
    </w:p>
    <w:p w:rsidR="00136E5B" w:rsidRDefault="00875EAC">
      <w:pPr>
        <w:numPr>
          <w:ilvl w:val="0"/>
          <w:numId w:val="2"/>
        </w:numPr>
        <w:spacing w:after="56"/>
        <w:ind w:right="79" w:hanging="374"/>
      </w:pPr>
      <w:r>
        <w:t>Nájemce je povinen bez zbytečného odkladu oznámit pronajímateli potřeby oprav, které má provést pronajímatel. Při porušení této povinnosti odpovídá nájemce za škodu tím</w:t>
      </w:r>
      <w:r>
        <w:t xml:space="preserve"> způsobenou.</w:t>
      </w:r>
    </w:p>
    <w:p w:rsidR="00136E5B" w:rsidRDefault="00875EAC">
      <w:pPr>
        <w:numPr>
          <w:ilvl w:val="0"/>
          <w:numId w:val="2"/>
        </w:numPr>
        <w:ind w:right="79" w:hanging="374"/>
      </w:pPr>
      <w:r>
        <w:t>Nájemce je povinen snášet omezení v užívání pronajatých nebytových prostor v rozsahu nezbytném pro provedení oprav a udržování.</w:t>
      </w:r>
    </w:p>
    <w:p w:rsidR="00136E5B" w:rsidRDefault="00875EAC">
      <w:pPr>
        <w:numPr>
          <w:ilvl w:val="0"/>
          <w:numId w:val="2"/>
        </w:numPr>
        <w:ind w:right="79" w:hanging="374"/>
      </w:pPr>
      <w:r>
        <w:t>Nájemce je povinen vyžádat si předchozí písemný souhlas pronajímatele k umístění nového přístrojového vybavení a předložit pronajímateli zprávu oprávněné osoby o nezávadnosti daného přístroje.</w:t>
      </w:r>
    </w:p>
    <w:p w:rsidR="00136E5B" w:rsidRDefault="00875EAC">
      <w:pPr>
        <w:numPr>
          <w:ilvl w:val="0"/>
          <w:numId w:val="2"/>
        </w:numPr>
        <w:spacing w:after="465"/>
        <w:ind w:right="79" w:hanging="374"/>
      </w:pPr>
      <w:r>
        <w:t>Nájemce je povinen předat vjednom vyhotovení všechny revize a k</w:t>
      </w:r>
      <w:r>
        <w:t>ontroly nově pořízených vyhrazených technických zařízení pronajímateli.</w:t>
      </w:r>
    </w:p>
    <w:p w:rsidR="00136E5B" w:rsidRDefault="00875EAC">
      <w:pPr>
        <w:pStyle w:val="Nadpis2"/>
        <w:ind w:left="154" w:right="237"/>
      </w:pPr>
      <w:r>
        <w:t>Stavební a jiné úpravy</w:t>
      </w:r>
    </w:p>
    <w:p w:rsidR="00136E5B" w:rsidRDefault="00875EAC">
      <w:pPr>
        <w:numPr>
          <w:ilvl w:val="0"/>
          <w:numId w:val="3"/>
        </w:numPr>
        <w:ind w:left="367" w:right="79" w:hanging="353"/>
      </w:pPr>
      <w:r>
        <w:t>Nájemce je oprávněn provádět v předmětu nájmu této smlouvy jakékoli stavební či jiné úpravy trvalého charakteru jen na základě výslovného, předchozího a písemnéh</w:t>
      </w:r>
      <w:r>
        <w:t>o souhlasu pronajímatele.</w:t>
      </w:r>
    </w:p>
    <w:p w:rsidR="00136E5B" w:rsidRDefault="00875EAC">
      <w:pPr>
        <w:numPr>
          <w:ilvl w:val="0"/>
          <w:numId w:val="3"/>
        </w:numPr>
        <w:ind w:left="367" w:right="79" w:hanging="353"/>
      </w:pPr>
      <w:r>
        <w:t>Ve sporném případě se má za to, že souhlas vyžadují veškeré změny zasahující do stavební a architektonické podstaty předmětu nájmu podstatně měnící předmět nájmu, či pevná instalace jakýchkoli zařízení.</w:t>
      </w:r>
    </w:p>
    <w:p w:rsidR="00136E5B" w:rsidRDefault="00875EAC">
      <w:pPr>
        <w:numPr>
          <w:ilvl w:val="0"/>
          <w:numId w:val="3"/>
        </w:numPr>
        <w:spacing w:after="461"/>
        <w:ind w:left="367" w:right="79" w:hanging="353"/>
      </w:pPr>
      <w:r>
        <w:t xml:space="preserve">Nedohodnou — </w:t>
      </w:r>
      <w:proofErr w:type="spellStart"/>
      <w:r>
        <w:t>li</w:t>
      </w:r>
      <w:proofErr w:type="spellEnd"/>
      <w:r>
        <w:t xml:space="preserve"> se smluvní </w:t>
      </w:r>
      <w:r>
        <w:t>strany jinak, je nájemce povinen po skončení nájemního vztahu odevzdat předmět nájmu ve stavu odpovídajícím běžnému opotřebení.</w:t>
      </w:r>
    </w:p>
    <w:p w:rsidR="00136E5B" w:rsidRDefault="00875EAC">
      <w:pPr>
        <w:spacing w:after="0" w:line="259" w:lineRule="auto"/>
        <w:ind w:left="161" w:right="266" w:hanging="10"/>
        <w:jc w:val="center"/>
      </w:pPr>
      <w:r>
        <w:rPr>
          <w:sz w:val="28"/>
        </w:rPr>
        <w:t>VII.</w:t>
      </w:r>
    </w:p>
    <w:p w:rsidR="00136E5B" w:rsidRDefault="00875EAC">
      <w:pPr>
        <w:pStyle w:val="Nadpis2"/>
        <w:spacing w:after="226"/>
        <w:ind w:left="154" w:right="245"/>
      </w:pPr>
      <w:r>
        <w:t>Nájemné</w:t>
      </w:r>
    </w:p>
    <w:p w:rsidR="00136E5B" w:rsidRDefault="00875EAC">
      <w:pPr>
        <w:spacing w:after="195"/>
        <w:ind w:left="14" w:right="79"/>
      </w:pPr>
      <w:proofErr w:type="gramStart"/>
      <w:r>
        <w:t>1 .</w:t>
      </w:r>
      <w:proofErr w:type="gramEnd"/>
      <w:r>
        <w:t xml:space="preserve"> </w:t>
      </w:r>
      <w:r>
        <w:t>Smluvní strany si sjednaly nájemné ve výši:</w:t>
      </w:r>
    </w:p>
    <w:p w:rsidR="00136E5B" w:rsidRDefault="00875EAC">
      <w:pPr>
        <w:ind w:left="446" w:right="79"/>
      </w:pPr>
      <w:r>
        <w:t>450,- Kč/rok/m</w:t>
      </w:r>
      <w:r>
        <w:rPr>
          <w:vertAlign w:val="superscript"/>
        </w:rPr>
        <w:t xml:space="preserve">2 </w:t>
      </w:r>
      <w:r>
        <w:t xml:space="preserve">u hlavní užívané plochy, tj. 23 940,-Kč ročně, 200 </w:t>
      </w:r>
      <w:r>
        <w:t>Kč/rok/m</w:t>
      </w:r>
      <w:r>
        <w:rPr>
          <w:vertAlign w:val="superscript"/>
        </w:rPr>
        <w:t xml:space="preserve">2 </w:t>
      </w:r>
      <w:r>
        <w:t>u skladu léků, tj. 4 796,-Kč ročně a 200 Kč/rok/m</w:t>
      </w:r>
      <w:r>
        <w:rPr>
          <w:vertAlign w:val="superscript"/>
        </w:rPr>
        <w:t xml:space="preserve">2 </w:t>
      </w:r>
      <w:r>
        <w:t>u ostatních ploch, tj. 17 384,-Kč ročně. Nájemné činí celkem 46 120,- Kč ročně. Podle ustanovení S 56 odstavec zákona 235/2004 Sb., o dani z přidané hodnoty ve znění pozdějších předpisů, je nájem</w:t>
      </w:r>
      <w:r>
        <w:t>né za užívání nebytových prostor ve stanovené výši osvobozeno od DPH. Takto je nájemné smluveno na prvních 12 měsíců smluvního vztahu.</w:t>
      </w:r>
    </w:p>
    <w:p w:rsidR="00136E5B" w:rsidRDefault="00875EAC">
      <w:pPr>
        <w:ind w:left="431" w:right="79" w:hanging="417"/>
      </w:pPr>
      <w:r>
        <w:lastRenderedPageBreak/>
        <w:t xml:space="preserve">2. </w:t>
      </w:r>
      <w:r>
        <w:t xml:space="preserve">Smluvní strany se zavazují o výši nájemného na další období jednat a dohodnout tržní nájemné </w:t>
      </w:r>
      <w:proofErr w:type="spellStart"/>
      <w:r>
        <w:t>obvykté</w:t>
      </w:r>
      <w:proofErr w:type="spellEnd"/>
      <w:r>
        <w:t xml:space="preserve"> pro obdobné prost</w:t>
      </w:r>
      <w:r>
        <w:t>ory v daném čase a místě.</w:t>
      </w:r>
    </w:p>
    <w:p w:rsidR="00136E5B" w:rsidRDefault="00875EAC">
      <w:pPr>
        <w:ind w:left="439" w:right="79"/>
      </w:pPr>
      <w:r>
        <w:t>Roční výše záloh za energie a služby činí celkem 63 205,-Kč. Zálohy za energie a služby budou placeny měsíčně současně s nájemným za nebytové prostory a zařizovací předměty. Výše záloh a výše nákladů na elektrickou energii, teplo, vodu, TUV a ostatní služb</w:t>
      </w:r>
      <w:r>
        <w:t>y se sjednává jako poměrná část nákladů objektu vztažená k 1 m</w:t>
      </w:r>
      <w:r>
        <w:rPr>
          <w:vertAlign w:val="superscript"/>
        </w:rPr>
        <w:t xml:space="preserve">2 </w:t>
      </w:r>
      <w:r>
        <w:t xml:space="preserve">pronajaté plochy upravená koeficienty. Vyúčtování služeb a energií za kalendářní rok provede pronajímatel do konce dubna následujícího roku. Pronajímatel stanoví zálohy na služby a energie na </w:t>
      </w:r>
      <w:r>
        <w:t xml:space="preserve">další rok vždy podle skutečnosti roku </w:t>
      </w:r>
      <w:proofErr w:type="gramStart"/>
      <w:r>
        <w:t>předchozího</w:t>
      </w:r>
      <w:proofErr w:type="gramEnd"/>
      <w:r>
        <w:t xml:space="preserve"> a to nejpozději do 31.5. běžného kalendářního roku s účinnosti na období dalších 12 měsíců.</w:t>
      </w:r>
    </w:p>
    <w:p w:rsidR="00136E5B" w:rsidRDefault="00875EAC">
      <w:pPr>
        <w:numPr>
          <w:ilvl w:val="0"/>
          <w:numId w:val="4"/>
        </w:numPr>
        <w:spacing w:after="37"/>
        <w:ind w:right="79" w:hanging="374"/>
      </w:pPr>
      <w:r>
        <w:t>Nájemné za zařizovací předměty se stanovuje dohodou ve výši O Kč měsíčně.</w:t>
      </w:r>
    </w:p>
    <w:p w:rsidR="00136E5B" w:rsidRDefault="00875EAC">
      <w:pPr>
        <w:numPr>
          <w:ilvl w:val="0"/>
          <w:numId w:val="4"/>
        </w:numPr>
        <w:ind w:right="79" w:hanging="374"/>
      </w:pPr>
      <w:r>
        <w:t>Nájemce se zavazuje, že pronajímateli uh</w:t>
      </w:r>
      <w:r>
        <w:t xml:space="preserve">radí náklady vynaložené za hovory realizované nájemcem prostřednictvím telefonní ústředny pronajímatele. Hovorné bude pronajímatel účtovat zvláštní fakturou podle tarifikace pobočkové telefonní ústředny. Přílohou faktury bude přehled realizovaných hovorů. </w:t>
      </w:r>
      <w:r>
        <w:t>Nájemce se zavazuje uhradit předloženou fakturu do 15 dnů ode dne jejího vystavení.</w:t>
      </w:r>
    </w:p>
    <w:p w:rsidR="00136E5B" w:rsidRDefault="00875EAC">
      <w:pPr>
        <w:numPr>
          <w:ilvl w:val="0"/>
          <w:numId w:val="4"/>
        </w:numPr>
        <w:ind w:right="79" w:hanging="374"/>
      </w:pPr>
      <w:r>
        <w:t>Nájemné za nebytové prostory, za zařizovací předměty a měsíční zálohy za energie a služby poskytované v souvislosti s nájmem jsou splatné, nejpozději 15. dne příslušného ka</w:t>
      </w:r>
      <w:r>
        <w:t>lendářního měsíce na účet pronajímatele uvedený v této smlouvě. Variabilním symbolem je číslo vystavené faktury.</w:t>
      </w:r>
    </w:p>
    <w:p w:rsidR="00136E5B" w:rsidRDefault="00875EAC">
      <w:pPr>
        <w:numPr>
          <w:ilvl w:val="0"/>
          <w:numId w:val="4"/>
        </w:numPr>
        <w:ind w:right="79" w:hanging="374"/>
      </w:pPr>
      <w:r>
        <w:t>Pro případ prodlení s úhradou plateb nájemného a záloh za služby si smluvní strany sjednávají úrok z prodlení ve výši 10 % ročně.</w:t>
      </w:r>
    </w:p>
    <w:p w:rsidR="00136E5B" w:rsidRDefault="00875EAC">
      <w:pPr>
        <w:numPr>
          <w:ilvl w:val="0"/>
          <w:numId w:val="4"/>
        </w:numPr>
        <w:spacing w:after="418" w:line="250" w:lineRule="auto"/>
        <w:ind w:right="79" w:hanging="374"/>
      </w:pPr>
      <w:r>
        <w:rPr>
          <w:sz w:val="26"/>
        </w:rPr>
        <w:t>Úhrada za náj</w:t>
      </w:r>
      <w:r>
        <w:rPr>
          <w:sz w:val="26"/>
        </w:rPr>
        <w:t>emné a za zálohy na energie a služby činí celkem 109 325,-Kč/rok, tj. 9 110,-Kč měsíčně.</w:t>
      </w:r>
    </w:p>
    <w:p w:rsidR="00136E5B" w:rsidRDefault="00875EAC">
      <w:pPr>
        <w:pStyle w:val="Nadpis2"/>
        <w:ind w:left="154" w:right="187"/>
      </w:pPr>
      <w:r>
        <w:t>Doba trvání nájmu</w:t>
      </w:r>
    </w:p>
    <w:p w:rsidR="00136E5B" w:rsidRDefault="00875EAC">
      <w:pPr>
        <w:spacing w:after="44"/>
        <w:ind w:left="367" w:right="79" w:hanging="353"/>
      </w:pPr>
      <w:proofErr w:type="gramStart"/>
      <w:r>
        <w:t>1 .</w:t>
      </w:r>
      <w:proofErr w:type="gramEnd"/>
      <w:r>
        <w:t xml:space="preserve"> </w:t>
      </w:r>
      <w:r>
        <w:t>Smlouva se uzavírá na dobu neurčitou. Nájemní vztah mezi smluvními stranami vzniká ode dne 1.11.2005.</w:t>
      </w:r>
    </w:p>
    <w:p w:rsidR="00136E5B" w:rsidRDefault="00875EAC">
      <w:pPr>
        <w:ind w:left="381" w:right="79" w:hanging="367"/>
      </w:pPr>
      <w:r>
        <w:t xml:space="preserve">2, </w:t>
      </w:r>
      <w:r>
        <w:t xml:space="preserve">Nájem může kterákoli ze smluvních stran </w:t>
      </w:r>
      <w:r>
        <w:t>písemně vypovědět bez udání důvodu s 3 měsíční výpovědní lhůtou, která počíná běžet prvním dnem kalendářního měsíce následujícího po doručení výpovědi.</w:t>
      </w:r>
    </w:p>
    <w:p w:rsidR="00136E5B" w:rsidRDefault="00875EAC">
      <w:pPr>
        <w:numPr>
          <w:ilvl w:val="0"/>
          <w:numId w:val="5"/>
        </w:numPr>
        <w:spacing w:after="37"/>
        <w:ind w:right="79" w:hanging="374"/>
      </w:pPr>
      <w:r>
        <w:t>Nájemní vztah zaniká dnem následujícím po zániku předmětu nájmu.</w:t>
      </w:r>
    </w:p>
    <w:p w:rsidR="00136E5B" w:rsidRDefault="00875EAC">
      <w:pPr>
        <w:numPr>
          <w:ilvl w:val="0"/>
          <w:numId w:val="5"/>
        </w:numPr>
        <w:spacing w:after="39"/>
        <w:ind w:right="79" w:hanging="374"/>
      </w:pPr>
      <w:r>
        <w:t>Smluvní strany si dohodly právo pronají</w:t>
      </w:r>
      <w:r>
        <w:t xml:space="preserve">matele odstoupit od smlouvy, jestliže bude nájemce v prodlení s </w:t>
      </w:r>
      <w:proofErr w:type="spellStart"/>
      <w:r>
        <w:t>ptacením</w:t>
      </w:r>
      <w:proofErr w:type="spellEnd"/>
      <w:r>
        <w:t xml:space="preserve"> nájemného delším než 3 měsíce. Nájemce je oprávněn odstoupit od smlouvy v případě, že se předmět nájmu stane nezpůsobilým ke smluvenému užívání. Odstoupení od smlouvy je účinné, jakmi</w:t>
      </w:r>
      <w:r>
        <w:t>le je jeho písemné vyhotovení doručeno druhé smluvní straně.</w:t>
      </w:r>
    </w:p>
    <w:p w:rsidR="00136E5B" w:rsidRDefault="00875EAC">
      <w:pPr>
        <w:spacing w:after="217"/>
        <w:ind w:left="381" w:right="79" w:hanging="367"/>
      </w:pPr>
      <w:r>
        <w:t xml:space="preserve">5, </w:t>
      </w:r>
      <w:r>
        <w:t xml:space="preserve">Nájemce se zavazuje předat do 15 dnů po zániku nájmu protokolárně předmět nájmu pronajímateli. Pokud nájemce nedodrží povinnost, uvedenou v předchozím odstavci, zavazuje se nahradit škody tím </w:t>
      </w:r>
      <w:r>
        <w:t>vzniklé a prohlašuje, že uhradí veškeré zničené a odcizené zařizovací předměty, které budou při předání bez jeho přítomnosti zjištěny.</w:t>
      </w:r>
    </w:p>
    <w:p w:rsidR="00136E5B" w:rsidRDefault="00875EAC">
      <w:pPr>
        <w:spacing w:after="0" w:line="259" w:lineRule="auto"/>
        <w:ind w:left="29" w:right="0" w:firstLine="0"/>
        <w:jc w:val="center"/>
      </w:pPr>
      <w:r>
        <w:rPr>
          <w:sz w:val="30"/>
        </w:rPr>
        <w:t>IX.</w:t>
      </w:r>
    </w:p>
    <w:p w:rsidR="00136E5B" w:rsidRDefault="00875EAC">
      <w:pPr>
        <w:pStyle w:val="Nadpis2"/>
        <w:spacing w:after="189"/>
        <w:ind w:left="154" w:right="115"/>
      </w:pPr>
      <w:r>
        <w:t>Závěrečná ujednání</w:t>
      </w:r>
    </w:p>
    <w:p w:rsidR="00136E5B" w:rsidRDefault="00875EAC">
      <w:pPr>
        <w:ind w:left="439" w:right="79" w:hanging="345"/>
      </w:pPr>
      <w:proofErr w:type="gramStart"/>
      <w:r>
        <w:t>1 .</w:t>
      </w:r>
      <w:proofErr w:type="gramEnd"/>
      <w:r>
        <w:t xml:space="preserve"> </w:t>
      </w:r>
      <w:r>
        <w:t>Tato smlouva je vyhotovena ve 2 exemplářích, z nichž každá smluvní strana obdrží 1 vyhotovení. Veškeré změny a doplňky této smlouvy mohou být realizovány pouze formou číslovaných písemných dodatků.</w:t>
      </w:r>
    </w:p>
    <w:p w:rsidR="00136E5B" w:rsidRDefault="00875EAC">
      <w:pPr>
        <w:numPr>
          <w:ilvl w:val="0"/>
          <w:numId w:val="6"/>
        </w:numPr>
        <w:ind w:right="79" w:hanging="360"/>
      </w:pPr>
      <w:r>
        <w:lastRenderedPageBreak/>
        <w:t>Osoby jednající jménem smluvních stran prohlašují, že jsou</w:t>
      </w:r>
      <w:r>
        <w:t xml:space="preserve"> oprávněny jednat jménem smluvních stran, že jsou způsobilé k právním úkonům v rozsahu této smlouvy a že jim nejsou známy žádné právní ani faktické překážky bránící jejímu uzavření.</w:t>
      </w:r>
    </w:p>
    <w:p w:rsidR="00136E5B" w:rsidRDefault="00875EAC">
      <w:pPr>
        <w:numPr>
          <w:ilvl w:val="0"/>
          <w:numId w:val="6"/>
        </w:numPr>
        <w:ind w:right="79" w:hanging="360"/>
      </w:pPr>
      <w:r>
        <w:t>Smluvní strany se dále zavazují, že veškeré neshody budou řešit nejprve sp</w:t>
      </w:r>
      <w:r>
        <w:t xml:space="preserve">olečným jednáním, pokud by byla podána soudní žaloba bez </w:t>
      </w:r>
      <w:proofErr w:type="spellStart"/>
      <w:r>
        <w:t>POkUSU</w:t>
      </w:r>
      <w:proofErr w:type="spellEnd"/>
      <w:r>
        <w:t xml:space="preserve"> o toto jednání, má se za to, že ji druhá strana nezavinila.</w:t>
      </w:r>
    </w:p>
    <w:p w:rsidR="00136E5B" w:rsidRDefault="00875EAC">
      <w:pPr>
        <w:ind w:left="388" w:right="79" w:hanging="374"/>
      </w:pPr>
      <w:r>
        <w:t xml:space="preserve">4, </w:t>
      </w:r>
      <w:r>
        <w:t>Smluvní strany si dohodly, že veškeré písemnosti, adresované na známou adresu druhé strany, jsou doručeny jejich uložením na pošt</w:t>
      </w:r>
      <w:r>
        <w:t>ě, když se o tom adresát nedozvěděl.</w:t>
      </w:r>
    </w:p>
    <w:p w:rsidR="00136E5B" w:rsidRDefault="00875EAC">
      <w:pPr>
        <w:spacing w:after="196"/>
        <w:ind w:left="4274" w:right="1317" w:hanging="4260"/>
      </w:pPr>
      <w:r>
        <w:t xml:space="preserve">Adresa pronajímatele pro doručování </w:t>
      </w:r>
      <w:proofErr w:type="gramStart"/>
      <w:r>
        <w:t>je :</w:t>
      </w:r>
      <w:proofErr w:type="gramEnd"/>
      <w:r>
        <w:t xml:space="preserve"> Zdravotní ústav se sídlem v Liberci, U Sila 1139, 463 11 Liberec</w:t>
      </w:r>
    </w:p>
    <w:p w:rsidR="00136E5B" w:rsidRDefault="00875EAC">
      <w:pPr>
        <w:tabs>
          <w:tab w:val="center" w:pos="5721"/>
        </w:tabs>
        <w:spacing w:after="37"/>
        <w:ind w:left="0" w:right="0" w:firstLine="0"/>
        <w:jc w:val="left"/>
      </w:pPr>
      <w:r>
        <w:t>Adresa nájemce pro doručování je:</w:t>
      </w:r>
      <w:r>
        <w:tab/>
        <w:t>Privátní veterinární ošetřovna</w:t>
      </w:r>
    </w:p>
    <w:p w:rsidR="00136E5B" w:rsidRDefault="00875EAC">
      <w:pPr>
        <w:spacing w:after="212" w:line="250" w:lineRule="auto"/>
        <w:ind w:left="4299" w:right="784" w:hanging="10"/>
        <w:jc w:val="left"/>
      </w:pPr>
      <w:r>
        <w:rPr>
          <w:sz w:val="26"/>
        </w:rPr>
        <w:t>U Sila 1139, 463 11 Liberec 30</w:t>
      </w:r>
    </w:p>
    <w:p w:rsidR="00136E5B" w:rsidRDefault="00875EAC">
      <w:pPr>
        <w:numPr>
          <w:ilvl w:val="0"/>
          <w:numId w:val="7"/>
        </w:numPr>
        <w:spacing w:after="75"/>
        <w:ind w:right="79" w:hanging="360"/>
      </w:pPr>
      <w:r>
        <w:t>Smluvní strany se zavazují, že si budou vzájemně oznamovat změny své právní subjektivity a adresy sídla tak, aby nevznikly problémy s doručováním písemností, nebo placením nájemného.</w:t>
      </w:r>
    </w:p>
    <w:p w:rsidR="00136E5B" w:rsidRDefault="00875EAC">
      <w:pPr>
        <w:numPr>
          <w:ilvl w:val="0"/>
          <w:numId w:val="7"/>
        </w:numPr>
        <w:ind w:right="79" w:hanging="360"/>
      </w:pPr>
      <w:r>
        <w:t>Smluvní strany dále prohlašují, že si tuto smlouvu před jejím podpisem přečetly, že byla uzavřena po vzájemném projednání podle jejich pravé a svobodné vůle, určitě, vážně a srozumitelně, nikoli v tísni nebo za jinak nápadně nevýhodných podmínek.</w:t>
      </w:r>
    </w:p>
    <w:p w:rsidR="00136E5B" w:rsidRDefault="00875EAC">
      <w:pPr>
        <w:numPr>
          <w:ilvl w:val="0"/>
          <w:numId w:val="7"/>
        </w:numPr>
        <w:spacing w:after="1192"/>
        <w:ind w:right="79" w:hanging="360"/>
      </w:pPr>
      <w:r>
        <w:t>Autentičn</w:t>
      </w:r>
      <w:r>
        <w:t>ost této smlouvy stvrzují svými podpisy</w:t>
      </w:r>
    </w:p>
    <w:p w:rsidR="00136E5B" w:rsidRDefault="00875EAC">
      <w:pPr>
        <w:tabs>
          <w:tab w:val="center" w:pos="7149"/>
        </w:tabs>
        <w:spacing w:after="37"/>
        <w:ind w:left="0" w:right="0" w:firstLine="0"/>
        <w:jc w:val="left"/>
      </w:pPr>
      <w:r>
        <w:t xml:space="preserve">V Liberci, </w:t>
      </w:r>
      <w:proofErr w:type="spellStart"/>
      <w:proofErr w:type="gramStart"/>
      <w:r>
        <w:t>dnsf</w:t>
      </w:r>
      <w:proofErr w:type="spellEnd"/>
      <w:r>
        <w:t xml:space="preserve"> .listopadu</w:t>
      </w:r>
      <w:proofErr w:type="gramEnd"/>
      <w:r>
        <w:t xml:space="preserve"> 2005</w:t>
      </w:r>
      <w:r>
        <w:tab/>
        <w:t>V Liberci, dne(• listopadu 2005</w:t>
      </w:r>
    </w:p>
    <w:p w:rsidR="00136E5B" w:rsidRDefault="00136E5B">
      <w:pPr>
        <w:sectPr w:rsidR="00136E5B">
          <w:footerReference w:type="even" r:id="rId8"/>
          <w:footerReference w:type="default" r:id="rId9"/>
          <w:footerReference w:type="first" r:id="rId10"/>
          <w:pgSz w:w="11909" w:h="16841"/>
          <w:pgMar w:top="1122" w:right="1338" w:bottom="1166" w:left="1382" w:header="708" w:footer="863" w:gutter="0"/>
          <w:cols w:space="708"/>
        </w:sectPr>
      </w:pPr>
    </w:p>
    <w:p w:rsidR="00136E5B" w:rsidRDefault="00875EAC">
      <w:pPr>
        <w:spacing w:after="0" w:line="259" w:lineRule="auto"/>
        <w:ind w:left="0" w:right="626" w:firstLine="0"/>
        <w:jc w:val="center"/>
      </w:pPr>
      <w:bookmarkStart w:id="0" w:name="_GoBack"/>
      <w:bookmarkEnd w:id="0"/>
      <w:r>
        <w:rPr>
          <w:sz w:val="20"/>
        </w:rPr>
        <w:t>Zdravotní ústav se sídlem v Liberci</w:t>
      </w:r>
    </w:p>
    <w:p w:rsidR="00136E5B" w:rsidRDefault="00875EAC">
      <w:pPr>
        <w:spacing w:after="360" w:line="259" w:lineRule="auto"/>
        <w:ind w:left="0" w:right="604" w:firstLine="0"/>
        <w:jc w:val="center"/>
      </w:pPr>
      <w:r>
        <w:rPr>
          <w:sz w:val="20"/>
        </w:rPr>
        <w:t>U Sila 1139,463 11 Liberec 30</w:t>
      </w:r>
    </w:p>
    <w:p w:rsidR="00136E5B" w:rsidRDefault="00875EAC">
      <w:pPr>
        <w:tabs>
          <w:tab w:val="right" w:pos="8217"/>
        </w:tabs>
        <w:spacing w:after="37"/>
        <w:ind w:left="0" w:right="0" w:firstLine="0"/>
        <w:jc w:val="left"/>
      </w:pPr>
      <w:r>
        <w:t>za pronajímatele</w:t>
      </w:r>
      <w:r>
        <w:tab/>
        <w:t>za nájemce</w:t>
      </w:r>
    </w:p>
    <w:p w:rsidR="00136E5B" w:rsidRDefault="00875EAC">
      <w:pPr>
        <w:spacing w:after="953"/>
        <w:ind w:left="14" w:right="3756"/>
      </w:pPr>
      <w:r>
        <w:t>Ing. Petr Parma ředitel Zdravotního ústavu se sídlem v Liberci</w:t>
      </w:r>
    </w:p>
    <w:p w:rsidR="00136E5B" w:rsidRDefault="00875EAC">
      <w:pPr>
        <w:spacing w:after="37"/>
        <w:ind w:left="14" w:right="79"/>
      </w:pPr>
      <w:r>
        <w:t>Přílohy:</w:t>
      </w:r>
    </w:p>
    <w:p w:rsidR="00136E5B" w:rsidRDefault="00875EAC">
      <w:pPr>
        <w:spacing w:after="37"/>
        <w:ind w:left="14" w:right="79"/>
      </w:pPr>
      <w:r>
        <w:t>č. 1 specifikace poskytovaných služeb</w:t>
      </w:r>
    </w:p>
    <w:p w:rsidR="00136E5B" w:rsidRDefault="00875EAC">
      <w:pPr>
        <w:spacing w:after="37"/>
        <w:ind w:left="14" w:right="79"/>
      </w:pPr>
      <w:r>
        <w:rPr>
          <w:noProof/>
        </w:rPr>
        <w:drawing>
          <wp:inline distT="0" distB="0" distL="0" distR="0">
            <wp:extent cx="91385" cy="109634"/>
            <wp:effectExtent l="0" t="0" r="0" b="0"/>
            <wp:docPr id="21574" name="Picture 2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4" name="Picture 215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1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soupis pronajímaných movitých věcí</w:t>
      </w:r>
    </w:p>
    <w:p w:rsidR="00136E5B" w:rsidRDefault="00136E5B">
      <w:pPr>
        <w:sectPr w:rsidR="00136E5B">
          <w:type w:val="continuous"/>
          <w:pgSz w:w="11909" w:h="16841"/>
          <w:pgMar w:top="1122" w:right="2310" w:bottom="6303" w:left="1382" w:header="708" w:footer="708" w:gutter="0"/>
          <w:cols w:space="708"/>
        </w:sectPr>
      </w:pPr>
    </w:p>
    <w:p w:rsidR="00136E5B" w:rsidRDefault="00875EAC">
      <w:pPr>
        <w:spacing w:after="397" w:line="259" w:lineRule="auto"/>
        <w:ind w:left="7" w:right="0" w:firstLine="0"/>
        <w:jc w:val="left"/>
      </w:pPr>
      <w:r>
        <w:rPr>
          <w:rFonts w:ascii="Times New Roman" w:eastAsia="Times New Roman" w:hAnsi="Times New Roman" w:cs="Times New Roman"/>
          <w:sz w:val="26"/>
        </w:rPr>
        <w:lastRenderedPageBreak/>
        <w:t>Příloha č, I ke Smlouvě o nájmu nebytových prostor</w:t>
      </w:r>
    </w:p>
    <w:p w:rsidR="00136E5B" w:rsidRDefault="00875EAC">
      <w:pPr>
        <w:pStyle w:val="Nadpis3"/>
      </w:pPr>
      <w:r>
        <w:t xml:space="preserve">S </w:t>
      </w:r>
      <w:proofErr w:type="spellStart"/>
      <w:r>
        <w:t>ecifikace</w:t>
      </w:r>
      <w:proofErr w:type="spellEnd"/>
      <w:r>
        <w:t xml:space="preserve"> </w:t>
      </w:r>
      <w:proofErr w:type="spellStart"/>
      <w:r>
        <w:t>osk</w:t>
      </w:r>
      <w:proofErr w:type="spellEnd"/>
      <w:r>
        <w:t xml:space="preserve"> </w:t>
      </w:r>
      <w:proofErr w:type="spellStart"/>
      <w:r>
        <w:t>ovan</w:t>
      </w:r>
      <w:proofErr w:type="spellEnd"/>
      <w:r>
        <w:t xml:space="preserve"> 'ch služeb</w:t>
      </w:r>
    </w:p>
    <w:p w:rsidR="00136E5B" w:rsidRDefault="00875EAC">
      <w:pPr>
        <w:spacing w:after="11" w:line="249" w:lineRule="auto"/>
        <w:ind w:left="10" w:right="0" w:hanging="3"/>
        <w:jc w:val="left"/>
      </w:pPr>
      <w:r>
        <w:rPr>
          <w:rFonts w:ascii="Times New Roman" w:eastAsia="Times New Roman" w:hAnsi="Times New Roman" w:cs="Times New Roman"/>
        </w:rPr>
        <w:t>Odvoz odpadků</w:t>
      </w:r>
    </w:p>
    <w:p w:rsidR="00136E5B" w:rsidRDefault="00875EAC">
      <w:pPr>
        <w:spacing w:after="11" w:line="249" w:lineRule="auto"/>
        <w:ind w:left="10" w:right="0" w:hanging="3"/>
        <w:jc w:val="left"/>
      </w:pPr>
      <w:r>
        <w:rPr>
          <w:rFonts w:ascii="Times New Roman" w:eastAsia="Times New Roman" w:hAnsi="Times New Roman" w:cs="Times New Roman"/>
        </w:rPr>
        <w:t>Provoz výměníkové stanice</w:t>
      </w:r>
    </w:p>
    <w:p w:rsidR="00136E5B" w:rsidRDefault="00875EAC">
      <w:pPr>
        <w:spacing w:after="11" w:line="249" w:lineRule="auto"/>
        <w:ind w:left="10" w:right="0" w:hanging="3"/>
        <w:jc w:val="left"/>
      </w:pPr>
      <w:r>
        <w:rPr>
          <w:rFonts w:ascii="Times New Roman" w:eastAsia="Times New Roman" w:hAnsi="Times New Roman" w:cs="Times New Roman"/>
        </w:rPr>
        <w:t>Údržba areálu — úklid sněhu, sekání trávy a další služby související s provozem</w:t>
      </w:r>
      <w:r>
        <w:rPr>
          <w:rFonts w:ascii="Times New Roman" w:eastAsia="Times New Roman" w:hAnsi="Times New Roman" w:cs="Times New Roman"/>
        </w:rPr>
        <w:t xml:space="preserve"> areálu Provoz telefonní ústředny</w:t>
      </w:r>
    </w:p>
    <w:p w:rsidR="00136E5B" w:rsidRDefault="00875EAC">
      <w:pPr>
        <w:spacing w:after="11" w:line="249" w:lineRule="auto"/>
        <w:ind w:left="10" w:right="0" w:hanging="3"/>
        <w:jc w:val="left"/>
      </w:pPr>
      <w:r>
        <w:rPr>
          <w:rFonts w:ascii="Times New Roman" w:eastAsia="Times New Roman" w:hAnsi="Times New Roman" w:cs="Times New Roman"/>
        </w:rPr>
        <w:t xml:space="preserve">Revize — výtahy, </w:t>
      </w:r>
      <w:proofErr w:type="spellStart"/>
      <w:r>
        <w:rPr>
          <w:rFonts w:ascii="Times New Roman" w:eastAsia="Times New Roman" w:hAnsi="Times New Roman" w:cs="Times New Roman"/>
        </w:rPr>
        <w:t>elektrorevize</w:t>
      </w:r>
      <w:proofErr w:type="spellEnd"/>
      <w:r>
        <w:rPr>
          <w:rFonts w:ascii="Times New Roman" w:eastAsia="Times New Roman" w:hAnsi="Times New Roman" w:cs="Times New Roman"/>
        </w:rPr>
        <w:t xml:space="preserve"> budov, požární</w:t>
      </w:r>
    </w:p>
    <w:p w:rsidR="00136E5B" w:rsidRDefault="00875EAC">
      <w:pPr>
        <w:spacing w:after="11" w:line="249" w:lineRule="auto"/>
        <w:ind w:left="10" w:right="0" w:hanging="3"/>
        <w:jc w:val="left"/>
      </w:pPr>
      <w:r>
        <w:rPr>
          <w:rFonts w:ascii="Times New Roman" w:eastAsia="Times New Roman" w:hAnsi="Times New Roman" w:cs="Times New Roman"/>
        </w:rPr>
        <w:t>Úklid společných prostor</w:t>
      </w:r>
    </w:p>
    <w:p w:rsidR="00136E5B" w:rsidRDefault="00875EAC">
      <w:pPr>
        <w:spacing w:after="606" w:line="259" w:lineRule="auto"/>
        <w:ind w:left="7" w:right="0" w:firstLine="0"/>
        <w:jc w:val="left"/>
      </w:pPr>
      <w:r>
        <w:rPr>
          <w:rFonts w:ascii="Courier New" w:eastAsia="Courier New" w:hAnsi="Courier New" w:cs="Courier New"/>
          <w:sz w:val="18"/>
        </w:rPr>
        <w:t>Základní opravy a udržování budov</w:t>
      </w:r>
    </w:p>
    <w:p w:rsidR="00136E5B" w:rsidRDefault="00875EAC">
      <w:pPr>
        <w:spacing w:after="11" w:line="249" w:lineRule="auto"/>
        <w:ind w:left="345" w:right="0" w:hanging="338"/>
        <w:jc w:val="left"/>
      </w:pPr>
      <w:r>
        <w:rPr>
          <w:noProof/>
        </w:rPr>
        <w:drawing>
          <wp:inline distT="0" distB="0" distL="0" distR="0">
            <wp:extent cx="50262" cy="59385"/>
            <wp:effectExtent l="0" t="0" r="0" b="0"/>
            <wp:docPr id="11915" name="Picture 1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15" name="Picture 119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62" cy="5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služby, které se daného nájemce nebudou týkat, nebudou do vyúčtování zahrnuty, totéž platí i u energií</w:t>
      </w:r>
    </w:p>
    <w:sectPr w:rsidR="00136E5B">
      <w:footerReference w:type="even" r:id="rId13"/>
      <w:footerReference w:type="default" r:id="rId14"/>
      <w:footerReference w:type="first" r:id="rId15"/>
      <w:pgSz w:w="11909" w:h="16841"/>
      <w:pgMar w:top="1440" w:right="1813" w:bottom="1440" w:left="13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75EAC">
      <w:pPr>
        <w:spacing w:after="0" w:line="240" w:lineRule="auto"/>
      </w:pPr>
      <w:r>
        <w:separator/>
      </w:r>
    </w:p>
  </w:endnote>
  <w:endnote w:type="continuationSeparator" w:id="0">
    <w:p w:rsidR="00000000" w:rsidRDefault="0087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875EAC">
    <w:pPr>
      <w:spacing w:after="0" w:line="259" w:lineRule="auto"/>
      <w:ind w:left="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875EAC">
    <w:pPr>
      <w:spacing w:after="0" w:line="259" w:lineRule="auto"/>
      <w:ind w:left="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875EAC">
    <w:pPr>
      <w:spacing w:after="0" w:line="259" w:lineRule="auto"/>
      <w:ind w:left="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136E5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136E5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E5B" w:rsidRDefault="00136E5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75EAC">
      <w:pPr>
        <w:spacing w:after="0" w:line="240" w:lineRule="auto"/>
      </w:pPr>
      <w:r>
        <w:separator/>
      </w:r>
    </w:p>
  </w:footnote>
  <w:footnote w:type="continuationSeparator" w:id="0">
    <w:p w:rsidR="00000000" w:rsidRDefault="0087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42350"/>
    <w:multiLevelType w:val="hybridMultilevel"/>
    <w:tmpl w:val="CC2AE722"/>
    <w:lvl w:ilvl="0" w:tplc="AAAABDF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ECCB8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6074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87D40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C34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A097A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742CCE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215BE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458DE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EB053A"/>
    <w:multiLevelType w:val="hybridMultilevel"/>
    <w:tmpl w:val="6AF47DE6"/>
    <w:lvl w:ilvl="0" w:tplc="7D2A24A4">
      <w:start w:val="1"/>
      <w:numFmt w:val="decimal"/>
      <w:lvlText w:val="%1."/>
      <w:lvlJc w:val="left"/>
      <w:pPr>
        <w:ind w:left="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AAE8A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50573A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8213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007C0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7E199A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0EEA04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2FBEA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20483C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271996"/>
    <w:multiLevelType w:val="hybridMultilevel"/>
    <w:tmpl w:val="6EDA1362"/>
    <w:lvl w:ilvl="0" w:tplc="E3FE06F0">
      <w:start w:val="1"/>
      <w:numFmt w:val="decimal"/>
      <w:lvlText w:val="%1.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A2A7CE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28768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F2AB56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E595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2A5406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B4BBE4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45D12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AB584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90099"/>
    <w:multiLevelType w:val="hybridMultilevel"/>
    <w:tmpl w:val="34EE0F46"/>
    <w:lvl w:ilvl="0" w:tplc="5784DB3A">
      <w:start w:val="2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562C7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587B9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A8E1C5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C0D05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D07E52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38545C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6CD5E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26B36A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12E93"/>
    <w:multiLevelType w:val="hybridMultilevel"/>
    <w:tmpl w:val="F672215C"/>
    <w:lvl w:ilvl="0" w:tplc="4F920B76">
      <w:start w:val="5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25A493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DEB1AA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0863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4083B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68841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2C957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32000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9217D6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B9045D"/>
    <w:multiLevelType w:val="hybridMultilevel"/>
    <w:tmpl w:val="20E66C2A"/>
    <w:lvl w:ilvl="0" w:tplc="E6AE1E02">
      <w:start w:val="3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D89740">
      <w:start w:val="1"/>
      <w:numFmt w:val="lowerLetter"/>
      <w:lvlText w:val="%2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6D2B99C">
      <w:start w:val="1"/>
      <w:numFmt w:val="lowerRoman"/>
      <w:lvlText w:val="%3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86CE80">
      <w:start w:val="1"/>
      <w:numFmt w:val="decimal"/>
      <w:lvlText w:val="%4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8CD782">
      <w:start w:val="1"/>
      <w:numFmt w:val="lowerLetter"/>
      <w:lvlText w:val="%5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B42F1A2">
      <w:start w:val="1"/>
      <w:numFmt w:val="lowerRoman"/>
      <w:lvlText w:val="%6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3E5F38">
      <w:start w:val="1"/>
      <w:numFmt w:val="decimal"/>
      <w:lvlText w:val="%7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E6E5FC">
      <w:start w:val="1"/>
      <w:numFmt w:val="lowerLetter"/>
      <w:lvlText w:val="%8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A6CFA2">
      <w:start w:val="1"/>
      <w:numFmt w:val="lowerRoman"/>
      <w:lvlText w:val="%9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E21612"/>
    <w:multiLevelType w:val="hybridMultilevel"/>
    <w:tmpl w:val="D826DF68"/>
    <w:lvl w:ilvl="0" w:tplc="5E266F7C">
      <w:start w:val="4"/>
      <w:numFmt w:val="decimal"/>
      <w:lvlText w:val="%1.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2365C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0787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F4D89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8890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008C0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C619C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AC2BE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4951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5B"/>
    <w:rsid w:val="00136E5B"/>
    <w:rsid w:val="008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4CFA-7EDD-41ED-8000-DFC8669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23" w:lineRule="auto"/>
      <w:ind w:left="36" w:right="2885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511"/>
      <w:outlineLvl w:val="0"/>
    </w:pPr>
    <w:rPr>
      <w:rFonts w:ascii="Calibri" w:eastAsia="Calibri" w:hAnsi="Calibri" w:cs="Calibri"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53"/>
      <w:ind w:left="53" w:hanging="10"/>
      <w:jc w:val="center"/>
      <w:outlineLvl w:val="1"/>
    </w:pPr>
    <w:rPr>
      <w:rFonts w:ascii="Calibri" w:eastAsia="Calibri" w:hAnsi="Calibri" w:cs="Calibri"/>
      <w:color w:val="000000"/>
      <w:sz w:val="26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07"/>
      <w:ind w:left="14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2018-03-20T08:43:00Z</dcterms:created>
  <dcterms:modified xsi:type="dcterms:W3CDTF">2018-03-20T08:43:00Z</dcterms:modified>
</cp:coreProperties>
</file>