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45720</wp:posOffset>
            </wp:positionH>
            <wp:positionV relativeFrom="margin">
              <wp:posOffset>0</wp:posOffset>
            </wp:positionV>
            <wp:extent cx="682625" cy="633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95.050000pt;margin-top:24.750000pt;width:334.15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VZDĚLÁVÁNÍ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PEDAGOGICKÝCH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PRACOVNÍKŮ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STŘEDISKO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ŠKOLÁM,</w:t>
                  </w:r>
                </w:p>
                <w:p>
                  <w:pPr>
                    <w:pStyle w:val="Style"/>
                    <w:spacing w:before="0" w:after="0" w:line="230" w:lineRule="atLeast"/>
                    <w:ind w:left="18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ějovice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Nemanická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000000pt;margin-top:49.950000pt;width:424.65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8" w:lineRule="atLeast"/>
                    <w:ind w:left="0" w:right="5376" w:firstLine="0"/>
                    <w:jc w:val="center"/>
                    <w:textAlignment w:val="baseline"/>
                  </w:pPr>
                  <w:r>
                    <w:rPr>
                      <w:w w:val="60"/>
                      <w:sz w:val="42"/>
                      <w:szCs w:val="42"/>
                      <w:lang w:val="cs"/>
                    </w:rPr>
                    <w:t xml:space="preserve">e.;·. </w:t>
                  </w:r>
                  <w:r>
                    <w:rPr>
                      <w:i/>
                      <w:iCs/>
                      <w:w w:val="119"/>
                      <w:sz w:val="25"/>
                      <w:szCs w:val="25"/>
                      <w:lang w:val="cs"/>
                    </w:rPr>
                    <w:t xml:space="preserve">ctkíb{aJI 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16"/>
                      <w:szCs w:val="16"/>
                      <w:lang w:val="cs"/>
                    </w:rPr>
                    <w:t xml:space="preserve">{){)S//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16"/>
                      <w:szCs w:val="16"/>
                      <w:u w:val="single"/>
                      <w:lang w:val="cs"/>
                    </w:rPr>
                    <w:t xml:space="preserve">/;'/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16"/>
                      <w:szCs w:val="16"/>
                      <w:lang w:val="cs"/>
                    </w:rPr>
                    <w:t xml:space="preserve">ZP!'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16"/>
                      <w:szCs w:val="16"/>
                      <w:u w:val="single"/>
                      <w:lang w:val="cs"/>
                    </w:rPr>
                    <w:t xml:space="preserve">?</w:t>
                  </w:r>
                </w:p>
                <w:p>
                  <w:pPr>
                    <w:pStyle w:val="Style"/>
                    <w:spacing w:before="37" w:after="0" w:line="273" w:lineRule="atLeast"/>
                    <w:ind w:left="585" w:firstLine="0"/>
                    <w:jc w:val="center"/>
                    <w:textAlignment w:val="baseline"/>
                  </w:pPr>
                  <w:r>
                    <w:rPr>
                      <w:sz w:val="24"/>
                      <w:szCs w:val="24"/>
                      <w:lang w:val="cs"/>
                    </w:rPr>
                    <w:t xml:space="preserve">SMLOUVA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O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POSKYTOVÁNÍ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SLUŽEB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POVĚŘENCE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PRO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OCHRANU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OSOBNÍCH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ÚDAJŮ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A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NĚKTERÝCH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SOUVISEJÍCÍCH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ČINNOSTÍ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750000pt;margin-top:106.550000pt;width:455.350000pt;height:13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10" w:right="72" w:firstLine="0"/>
                    <w:jc w:val="center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37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Evropského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parlamentu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Rady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2016/679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27.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2016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fyzických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osob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volném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pohybu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těchto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zrušení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směrnice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95/46/ES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„obecné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údajů")</w:t>
                  </w:r>
                </w:p>
                <w:p>
                  <w:pPr>
                    <w:pStyle w:val="Style"/>
                    <w:spacing w:before="0" w:after="0" w:line="369" w:lineRule="atLeast"/>
                    <w:ind w:left="1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Níže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strany: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52" w:after="0" w:line="254" w:lineRule="atLeast"/>
                    <w:ind w:left="446" w:right="470" w:hanging="34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Společnost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Strakonice,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430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sídlem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43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86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59" w:lineRule="atLeast"/>
                    <w:ind w:left="436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54" w:lineRule="atLeast"/>
                    <w:ind w:left="436" w:firstLine="0"/>
                    <w:textAlignment w:val="baseline"/>
                  </w:pP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jedné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„správee")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750000pt;margin-top:240.750000pt;width:455.3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27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750000pt;margin-top:259.950000pt;width:455.350000pt;height:10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54" w:lineRule="atLeast"/>
                    <w:ind w:left="432" w:right="0" w:hanging="369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Společnost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Zařízení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další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vzdělávání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pedagogických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pracovníků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Středisko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školám,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Budějovice,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Nemanická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7</w:t>
                  </w:r>
                </w:p>
                <w:p>
                  <w:pPr>
                    <w:pStyle w:val="Style"/>
                    <w:spacing w:before="0" w:after="0" w:line="254" w:lineRule="atLeast"/>
                    <w:ind w:left="422" w:right="3801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sídlem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Nemanická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436/7,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Budějovice,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370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w w:val="60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75050102,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DIČ: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CZ75050102</w:t>
                  </w:r>
                </w:p>
                <w:p>
                  <w:pPr>
                    <w:pStyle w:val="Style"/>
                    <w:spacing w:before="0" w:after="0" w:line="225" w:lineRule="atLeast"/>
                    <w:ind w:left="427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zapsaná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obchodním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rejstříku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vedeném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Kraj.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Budějovicích,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742.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straně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druhé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„pověřenec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")</w:t>
                  </w:r>
                </w:p>
                <w:p>
                  <w:pPr>
                    <w:pStyle w:val="Style"/>
                    <w:spacing w:before="0" w:after="0" w:line="374" w:lineRule="atLeast"/>
                    <w:ind w:left="825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č.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11204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750000pt;margin-top:366.500000pt;width:455.3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454" w:firstLine="0"/>
                    <w:textAlignment w:val="baseline"/>
                  </w:pPr>
                  <w:r>
                    <w:rPr>
                      <w:w w:val="110"/>
                      <w:sz w:val="22"/>
                      <w:szCs w:val="22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44" w:lineRule="atLeast"/>
                    <w:ind w:left="3648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Úvodní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000000pt;margin-top:398.650000pt;width:456.100000pt;height:12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školským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zařízením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zařazeným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rejstříku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školských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zařízení.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rámci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zpracovává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subjektů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72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písm.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jmenovat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123" w:after="0" w:line="249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příspěvkovou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organizací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Jihočeského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kraje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zabývající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vzděláváním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pedagogických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pracovníků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technickou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organizačně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metodickou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pomocí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školám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školským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zařízením.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odborné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znalosti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praxi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oblasti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schopen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500000pt;margin-top:529.700000pt;width:455.600000pt;height:10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396" w:firstLine="0"/>
                    <w:textAlignment w:val="baseline"/>
                  </w:pPr>
                  <w:r>
                    <w:rPr>
                      <w:w w:val="118"/>
                      <w:sz w:val="21"/>
                      <w:szCs w:val="21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249" w:lineRule="atLeast"/>
                    <w:ind w:left="3312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trvání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123" w:after="0" w:line="249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vykonávat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včetně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některých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souvisejících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zaplatit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smluvenou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podmínek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sjednaných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05"/>
                    </w:tabs>
                    <w:spacing w:before="0" w:after="0" w:line="388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2.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Tato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uzavírá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neurčitou.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750000pt;margin-top:643.200000pt;width:456.100000pt;height:12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396" w:firstLine="0"/>
                    <w:textAlignment w:val="baseline"/>
                  </w:pPr>
                  <w:r>
                    <w:rPr>
                      <w:w w:val="118"/>
                      <w:sz w:val="21"/>
                      <w:szCs w:val="21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259" w:lineRule="atLeast"/>
                    <w:ind w:left="4142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Odměna</w:t>
                  </w:r>
                </w:p>
                <w:p>
                  <w:pPr>
                    <w:pStyle w:val="Style"/>
                    <w:spacing w:before="123" w:after="0" w:line="249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dohodly,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náleží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zvláštního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2200,-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DPH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měsíčně,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splatná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daňového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dokladu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vystaveného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vždy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následujícím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měsíci,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který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náleží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odměna.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10"/>
                    </w:tabs>
                    <w:spacing w:before="0" w:after="0" w:line="369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2.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Odměnu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sjednané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výši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uhradit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bezhotovostně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č,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830231/0710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83" w:lineRule="atLeast"/>
                    <w:ind w:left="33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vedený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ČNB.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75" w:right="1464" w:bottom="360" w:left="98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000000pt;margin-top:59.500000pt;width:455.600000pt;height:71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396" w:firstLine="0"/>
                    <w:textAlignment w:val="baseline"/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54" w:lineRule="atLeast"/>
                    <w:ind w:left="3158" w:firstLine="0"/>
                    <w:textAlignment w:val="baseline"/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Práva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povinnosti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pověřence</w:t>
                  </w:r>
                </w:p>
                <w:p>
                  <w:pPr>
                    <w:pStyle w:val="Style"/>
                    <w:spacing w:before="143" w:after="0" w:line="249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příslušných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stanovené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jmenován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operace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prováděné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správcem.</w:t>
                  </w:r>
                </w:p>
                <w:p>
                  <w:pPr>
                    <w:pStyle w:val="Style"/>
                    <w:spacing w:before="90" w:after="0" w:line="288" w:lineRule="atLeast"/>
                    <w:ind w:left="556" w:hanging="55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pracovníkem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(pověřencem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ochranu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osobních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údajů)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vykonávat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tyto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činnosti: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326" w:lineRule="atLeast"/>
                    <w:ind w:left="72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informace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poradenství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oblasti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monitorovat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koncepcemi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oblasti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zvyšovat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povědomí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odbornou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přípravu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(školení)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pracovníků„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kteří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zapojeni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operací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poradenství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požádání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pokud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posouzení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vlivu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posuzovat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vhodné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ohledně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posouzení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vlivu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spacing w:before="0" w:after="0" w:line="249" w:lineRule="atLeast"/>
                    <w:ind w:left="70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vnitřních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směrnic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spolupracovat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dozorovým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úřadem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působit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kontaktní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místo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dozorový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úřad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nastavit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vnitřní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mechanismy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(interní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audit)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mapovat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údaji,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nastavit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vnitřní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84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šetřit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stížnosti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oblasti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tvořit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výroční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zprávy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spacing w:before="0" w:after="0" w:line="278" w:lineRule="atLeast"/>
                    <w:ind w:left="336" w:right="427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revidovat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záznamy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vnitřní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w w:val="91"/>
                      <w:sz w:val="25"/>
                      <w:szCs w:val="25"/>
                      <w:lang w:val="cs"/>
                    </w:rPr>
                    <w:t xml:space="preserve">m.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navštěvovat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domluvy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23" w:after="0" w:line="259" w:lineRule="atLeast"/>
                    <w:ind w:left="73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permanentní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telefonickou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elektronickou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podporu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23" w:after="0" w:line="259" w:lineRule="atLeast"/>
                    <w:ind w:left="734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poskytnuté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souhlasy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23" w:after="0" w:line="259" w:lineRule="atLeast"/>
                    <w:ind w:left="73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0" w:after="0" w:line="379" w:lineRule="atLeast"/>
                    <w:ind w:left="34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Pracovník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přímo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podřízen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správce.</w:t>
                  </w:r>
                </w:p>
                <w:p>
                  <w:pPr>
                    <w:pStyle w:val="Style"/>
                    <w:spacing w:before="90" w:after="0" w:line="288" w:lineRule="atLeast"/>
                    <w:ind w:left="556" w:hanging="55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pracovníky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pro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ochranu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osobních 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následující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související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činnosti: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spravovat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agendu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vést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dokumentaci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23" w:after="0" w:line="259" w:lineRule="atLeast"/>
                    <w:ind w:left="734" w:right="0" w:hanging="364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sledovat,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analyzovat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vyhodnocovat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požadavky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</w:t>
                  </w:r>
                </w:p>
                <w:p>
                  <w:pPr>
                    <w:pStyle w:val="Style"/>
                    <w:spacing w:before="0" w:after="0" w:line="249" w:lineRule="atLeast"/>
                    <w:ind w:left="70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tvořit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analýzu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současného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stavu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tvořit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analýzu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vyhodnotit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analýzu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</w:t>
                  </w:r>
                </w:p>
                <w:p>
                  <w:pPr>
                    <w:pStyle w:val="Style"/>
                    <w:spacing w:before="0" w:after="0" w:line="326" w:lineRule="atLeast"/>
                    <w:ind w:left="72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(vnitřní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audit)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zpracovat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ohledně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posouzení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vlivu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23" w:after="0" w:line="259" w:lineRule="atLeast"/>
                    <w:ind w:left="73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vytvořit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záznamy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zveřejnění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webové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stránky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326" w:lineRule="atLeast"/>
                    <w:ind w:left="72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pravidelně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analýzu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</w:t>
                  </w:r>
                </w:p>
                <w:p>
                  <w:pPr>
                    <w:pStyle w:val="Style"/>
                    <w:spacing w:before="0" w:after="0" w:line="326" w:lineRule="atLeast"/>
                    <w:ind w:left="72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dalšími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88" w:lineRule="atLeast"/>
                    <w:ind w:left="739" w:right="0" w:hanging="35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pravidelně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navštěvovat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intervalu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průměrně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lx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měsíce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23" w:after="0" w:line="259" w:lineRule="atLeast"/>
                    <w:ind w:left="734" w:right="0" w:hanging="384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permanentní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telefonickou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elektronickou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podporu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23" w:after="0" w:line="259" w:lineRule="atLeast"/>
                    <w:ind w:left="73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upravovat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poskytnuté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souhlasy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right="60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kontrolovat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upravovat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upravovat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vnitřní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údajů,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19"/>
                    </w:tabs>
                    <w:spacing w:before="0" w:after="0" w:line="374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2.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Pověřenec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svých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úkolů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patřičný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ohled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riziko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spojené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4" w:lineRule="atLeast"/>
                    <w:ind w:left="62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operacemi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současně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přihlíží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povaze,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rozsahu,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kontextu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29"/>
                    </w:tabs>
                    <w:spacing w:before="0" w:after="0" w:line="379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3.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Pověřenec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postupuje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nezávisle.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povinen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000000pt;margin-top:774.000000pt;width:455.3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521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6017260</wp:posOffset>
            </wp:positionH>
            <wp:positionV relativeFrom="margin">
              <wp:posOffset>0</wp:posOffset>
            </wp:positionV>
            <wp:extent cx="572770" cy="82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74" w:right="1368" w:bottom="360" w:left="110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000000pt;width:457.750000pt;height:53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62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zajistit,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nedostával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žádné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pokyny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týkající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subjekty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mohou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obracet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záležitostech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souvisejících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výkonem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5.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zachovávat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mlčenlivost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skutečnostech,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dozví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zachovat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mlčenlivost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zpracovávaných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údajích,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skutečnostech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týkajících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obchodních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záměrů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konkrétních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operacích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zpracování,jejich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povaze,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rozsahu,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kontextu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účelu.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zveřejnit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kontaktní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tyto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sdělit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Uřadu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zveřejněním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kontaktních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tomto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odstavci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souhlasí.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7.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pečlivě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nejlepšího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lze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předpokládat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výraznou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proměnlivost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názorů,jichž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týkat,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stejně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proměnlivost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chápání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takové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situace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upozornit.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8.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vyžádání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podrobnou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informaci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činnostech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provedených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9.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dostupnými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prostředky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postupy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zajistit,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byl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náležitě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zapojen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záležitostí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souvisejících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informovat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jednáních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záměrech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dopadem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konzultovat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záležitosti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související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umožnit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dostatečným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předstihem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posoudit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zdroje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nezbytné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úkolů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příslušných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(zejména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39).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zdroje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nezbytné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přístupu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operacím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udržování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odborných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znalostí.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služeb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potřebnou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součinnost,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pravidelně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relevantní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informace,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seznamovat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všemi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podstatnými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okolnostmi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  <w:p>
                  <w:pPr>
                    <w:pStyle w:val="Style"/>
                    <w:spacing w:before="143" w:after="0" w:line="249" w:lineRule="atLeast"/>
                    <w:ind w:left="38" w:right="86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odpovídá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škody,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zaviněným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porušením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uložených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údajů.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pojistnou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odpovědnosti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způsobenou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udržovat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pojištění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celou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dobu</w:t>
                  </w:r>
                </w:p>
                <w:p>
                  <w:pPr>
                    <w:pStyle w:val="Style"/>
                    <w:spacing w:before="0" w:after="0" w:line="292" w:lineRule="atLeast"/>
                    <w:ind w:left="81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platnosti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000000pt;margin-top:537.600000pt;width:458.000000pt;height:17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4459" w:firstLine="0"/>
                    <w:textAlignment w:val="baseline"/>
                  </w:pPr>
                  <w:r>
                    <w:rPr>
                      <w:sz w:val="29"/>
                      <w:szCs w:val="29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54" w:lineRule="atLeast"/>
                    <w:ind w:left="3705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Ukončení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98" w:lineRule="atLeast"/>
                    <w:ind w:left="758" w:right="0" w:hanging="68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možné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ukončit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dohodou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jakémukoliv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datu.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85" w:after="0" w:line="292" w:lineRule="atLeast"/>
                    <w:ind w:left="57" w:right="0" w:hanging="71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dohodly,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možné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ukončit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písemnou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výpovědí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jedné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důvodů.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748"/>
                    </w:tabs>
                    <w:spacing w:before="0" w:after="0" w:line="340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3.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Výpovědní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doba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počíná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běžet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prvního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následujícího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doručení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92" w:lineRule="atLeast"/>
                    <w:ind w:left="81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písemné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výpovědi.</w:t>
                  </w:r>
                </w:p>
                <w:p>
                  <w:pPr>
                    <w:pStyle w:val="Style"/>
                    <w:spacing w:before="75" w:after="0" w:line="254" w:lineRule="atLeast"/>
                    <w:ind w:left="72" w:firstLine="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berou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vědomí,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nemůže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vypovězena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důsledku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úkolů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příslušných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Pověřenec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nesmí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žádným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sankcionován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stanovených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obecným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</w:t>
                  </w:r>
                </w:p>
                <w:p>
                  <w:pPr>
                    <w:pStyle w:val="Style"/>
                    <w:spacing w:before="0" w:after="0" w:line="292" w:lineRule="atLeast"/>
                    <w:ind w:left="81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0.000000pt;margin-top:715.450000pt;width:457.7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555" w:firstLine="0"/>
                    <w:textAlignment w:val="baseline"/>
                  </w:pP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44" w:right="1455" w:bottom="360" w:left="97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510.000000pt;margin-top:0.000000pt;width:9.2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7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950000pt;margin-top:61.450000pt;width:454.6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401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249" w:lineRule="atLeast"/>
                    <w:ind w:left="3518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Závěrečná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0.950000pt;margin-top:92.400000pt;width:454.65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15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1.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Smluvní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prohlašují,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obsahem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řádně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seznámily,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byla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sepsána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dle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jejich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svobodné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vážné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vůle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nebyla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sjednána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podmínek.</w:t>
                  </w:r>
                </w:p>
                <w:p>
                  <w:pPr>
                    <w:pStyle w:val="Style"/>
                    <w:spacing w:before="143" w:after="0" w:line="249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výslovně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neupravené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nařízením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Evropského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parlamentu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Rady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2016/679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27.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2016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ochraně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fyzických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volném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pohybu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těchto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zrušení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směrnice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95/46/ES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řádem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republiky,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zejména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zákonem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občanský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zákoník,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účinném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0.250000pt;margin-top:195.600000pt;width:455.350000pt;height:13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00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3.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Tato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smlouvaje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vyhotovena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dvou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originálech,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nichž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každá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smluvních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obdrží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jednom.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388" w:lineRule="atLeast"/>
                    <w:ind w:left="710" w:right="0" w:hanging="70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Plnění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dohodnuto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oběma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dubna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138" w:after="0" w:line="254" w:lineRule="atLeast"/>
                    <w:ind w:left="9" w:right="33" w:hanging="70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podléhá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uveřejnění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340/2015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zvláštních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podmínkách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některých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uveřejňování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těchto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(zákon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smluv),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předpisů.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Uveřejnění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provede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správce.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1"/>
                    </w:tabs>
                    <w:spacing w:before="0" w:after="0" w:line="39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ab/>
                    <w:t xml:space="preserve">6.</w:t>
                  </w: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Tato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nabývá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platnosti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dnem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jejího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oboustranného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podpisu.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Účinnosti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nabývá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54" w:lineRule="atLeast"/>
                    <w:ind w:left="19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uveřejnění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registru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0.000000pt;margin-top:340.550000pt;width:174.5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center" w:leader="none" w:pos="72"/>
                      <w:tab w:val="center" w:leader="none" w:pos="840"/>
                      <w:tab w:val="center" w:leader="none" w:pos="1790"/>
                      <w:tab w:val="left" w:leader="none" w:pos="2116"/>
                    </w:tabs>
                    <w:spacing w:before="0" w:after="0" w:line="422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72"/>
                      <w:sz w:val="39"/>
                      <w:szCs w:val="39"/>
                      <w:lang w:val="cs"/>
                    </w:rPr>
                    <w:tab/>
                    <w:t xml:space="preserve">J/r4~u1t!c'1</w:t>
                  </w:r>
                  <w:r>
                    <w:rPr>
                      <w:i/>
                      <w:iCs/>
                      <w:w w:val="72"/>
                      <w:sz w:val="39"/>
                      <w:szCs w:val="3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05"/>
                      <w:sz w:val="37"/>
                      <w:szCs w:val="37"/>
                      <w:lang w:val="cs"/>
                    </w:rPr>
                    <w:tab/>
                    <w:t xml:space="preserve">f~.</w:t>
                  </w:r>
                  <w:r>
                    <w:rPr>
                      <w:rFonts w:ascii="Arial" w:eastAsia="Arial" w:hAnsi="Arial" w:cs="Arial"/>
                      <w:i/>
                      <w:iCs/>
                      <w:w w:val="105"/>
                      <w:sz w:val="37"/>
                      <w:szCs w:val="3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5"/>
                      <w:szCs w:val="25"/>
                      <w:lang w:val="cs"/>
                    </w:rPr>
                    <w:t xml:space="preserve">:!J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5"/>
                      <w:szCs w:val="25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36"/>
                      <w:szCs w:val="36"/>
                      <w:lang w:val="cs"/>
                    </w:rPr>
                    <w:t xml:space="preserve">..tc1I</w:t>
                  </w:r>
                  <w:r>
                    <w:rPr>
                      <w:i/>
                      <w:iCs/>
                      <w:w w:val="62"/>
                      <w:sz w:val="36"/>
                      <w:szCs w:val="3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72"/>
                      <w:tab w:val="center" w:leader="dot" w:pos="840"/>
                      <w:tab w:val="center" w:leader="dot" w:pos="1790"/>
                      <w:tab w:val="left" w:leader="dot" w:pos="2812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V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dne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307.700000pt;margin-top:334.550000pt;width:164.25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32" w:lineRule="atLeast"/>
                    <w:ind w:left="4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52"/>
                      <w:szCs w:val="52"/>
                      <w:lang w:val="cs"/>
                    </w:rPr>
                    <w:t xml:space="preserve">r~ </w:t>
                  </w:r>
                  <w:r>
                    <w:rPr>
                      <w:i/>
                      <w:iCs/>
                      <w:w w:val="50"/>
                      <w:sz w:val="47"/>
                      <w:szCs w:val="47"/>
                      <w:lang w:val="cs"/>
                    </w:rPr>
                    <w:t xml:space="preserve">r;o </w:t>
                  </w:r>
                  <w:r>
                    <w:rPr>
                      <w:i/>
                      <w:iCs/>
                      <w:w w:val="87"/>
                      <w:sz w:val="52"/>
                      <w:szCs w:val="52"/>
                      <w:lang w:val="cs"/>
                    </w:rPr>
                    <w:t xml:space="preserve">~Z, </w:t>
                  </w:r>
                  <w:r>
                    <w:rPr>
                      <w:i/>
                      <w:iCs/>
                      <w:w w:val="78"/>
                      <w:sz w:val="34"/>
                      <w:szCs w:val="34"/>
                      <w:lang w:val="cs"/>
                    </w:rPr>
                    <w:t xml:space="preserve">//01J/?d1i'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1622"/>
                      <w:tab w:val="left" w:leader="dot" w:pos="2299"/>
                      <w:tab w:val="left" w:leader="dot" w:pos="2726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V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dne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: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~.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0.000000pt;margin-top:405.850000pt;width:175.500000pt;height:9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06" w:after="0" w:line="153" w:lineRule="atLeast"/>
                    <w:ind w:left="619" w:hanging="61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MatePakd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w w:val="118"/>
                      <w:sz w:val="19"/>
                      <w:szCs w:val="19"/>
                      <w:lang w:val="cs"/>
                    </w:rPr>
                    <w:t xml:space="preserve">Základníi~.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.'a </w:t>
                  </w:r>
                  <w:r>
                    <w:rPr>
                      <w:w w:val="118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w w:val="118"/>
                      <w:sz w:val="19"/>
                      <w:szCs w:val="19"/>
                      <w:lang w:val="cs"/>
                    </w:rPr>
                    <w:t xml:space="preserve">Praktická </w:t>
                  </w:r>
                  <w:r>
                    <w:rPr>
                      <w:w w:val="118"/>
                      <w:sz w:val="19"/>
                      <w:szCs w:val="19"/>
                      <w:lang w:val="cs"/>
                    </w:rPr>
                    <w:t xml:space="preserve">školaw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Píánkova</w:t>
                  </w:r>
                </w:p>
                <w:p>
                  <w:pPr>
                    <w:pStyle w:val="Style"/>
                    <w:spacing w:before="0" w:after="0" w:line="211" w:lineRule="atLeast"/>
                    <w:ind w:left="993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IČ: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632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89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920</w:t>
                  </w:r>
                </w:p>
                <w:p>
                  <w:pPr>
                    <w:pStyle w:val="Style"/>
                    <w:spacing w:before="0" w:after="0" w:line="110" w:lineRule="atLeast"/>
                    <w:ind w:left="21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9"/>
                      <w:szCs w:val="9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96" w:lineRule="atLeast"/>
                    <w:ind w:left="21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8"/>
                      <w:sz w:val="11"/>
                      <w:szCs w:val="11"/>
                      <w:lang w:val="cs"/>
                    </w:rPr>
                    <w:t xml:space="preserve">I </w:t>
                  </w:r>
                  <w:r>
                    <w:rPr>
                      <w:i/>
                      <w:iCs/>
                      <w:w w:val="134"/>
                      <w:sz w:val="11"/>
                      <w:szCs w:val="11"/>
                      <w:lang w:val="cs"/>
                    </w:rPr>
                    <w:t xml:space="preserve">!</w:t>
                  </w:r>
                </w:p>
                <w:p>
                  <w:pPr>
                    <w:pStyle w:val="Style"/>
                    <w:spacing w:before="0" w:after="0" w:line="139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23"/>
                      <w:szCs w:val="23"/>
                      <w:lang w:val="cs"/>
                    </w:rPr>
                    <w:t xml:space="preserve">···················;·············r··········· </w:t>
                  </w:r>
                  <w:r>
                    <w:rPr>
                      <w:rFonts w:ascii="Arial" w:eastAsia="Arial" w:hAnsi="Arial" w:cs="Arial"/>
                      <w:w w:val="112"/>
                      <w:sz w:val="23"/>
                      <w:szCs w:val="23"/>
                      <w:lang w:val="cs"/>
                    </w:rPr>
                    <w:t xml:space="preserve">..</w:t>
                  </w:r>
                </w:p>
                <w:p>
                  <w:pPr>
                    <w:pStyle w:val="Style"/>
                    <w:tabs>
                      <w:tab w:val="left" w:leader="none" w:pos="1060"/>
                      <w:tab w:val="left" w:leader="none" w:pos="2304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ab/>
                    <w:t xml:space="preserve">spravce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21"/>
                      <w:szCs w:val="21"/>
                      <w:lang w:val="cs"/>
                    </w:rPr>
                    <w:tab/>
                    <w:t xml:space="preserve">j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79" w:lineRule="atLeast"/>
                    <w:ind w:left="22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23"/>
                      <w:sz w:val="35"/>
                      <w:szCs w:val="35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320.650000pt;margin-top:389.300000pt;width:136.650000pt;height:7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235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 xml:space="preserve">!.affzení </w:t>
                  </w: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  <w:lang w:val="cs"/>
                    </w:rPr>
                    <w:t xml:space="preserve">další </w:t>
                  </w:r>
                  <w:r>
                    <w:rPr>
                      <w:w w:val="85"/>
                      <w:sz w:val="24"/>
                      <w:szCs w:val="24"/>
                      <w:lang w:val="cs"/>
                    </w:rPr>
                    <w:t xml:space="preserve">vzdětávár.í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pedagogických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pracovníků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Středisko </w:t>
                  </w:r>
                  <w:r>
                    <w:rPr>
                      <w:rFonts w:ascii="Arial" w:eastAsia="Arial" w:hAnsi="Arial" w:cs="Arial"/>
                      <w:w w:val="77"/>
                      <w:sz w:val="22"/>
                      <w:szCs w:val="22"/>
                      <w:lang w:val="cs"/>
                    </w:rPr>
                    <w:t xml:space="preserve">s4užeb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školám,</w:t>
                  </w:r>
                </w:p>
                <w:p>
                  <w:pPr>
                    <w:pStyle w:val="Style"/>
                    <w:spacing w:before="0" w:after="0" w:line="225" w:lineRule="atLeast"/>
                    <w:ind w:left="2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Budějovice, 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Neman!cká 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7 </w:t>
                  </w:r>
                  <w:r>
                    <w:rPr>
                      <w:w w:val="82"/>
                      <w:sz w:val="14"/>
                      <w:szCs w:val="14"/>
                      <w:lang w:val="cs"/>
                    </w:rPr>
                    <w:t xml:space="preserve">(1J</w:t>
                  </w:r>
                </w:p>
                <w:p>
                  <w:pPr>
                    <w:pStyle w:val="Style"/>
                    <w:spacing w:before="0" w:after="0" w:line="480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23"/>
                      <w:sz w:val="57"/>
                      <w:szCs w:val="57"/>
                      <w:lang w:val="cs"/>
                    </w:rPr>
                    <w:t xml:space="preserve">r~~tLwL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321.600000pt;margin-top:469.200000pt;width:135.4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26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pověřenec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0.950000pt;margin-top:600.250000pt;width:176.950000pt;height:12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1" w:after="0" w:line="216" w:lineRule="atLeast"/>
                    <w:ind w:left="250" w:right="57" w:firstLine="0"/>
                    <w:jc w:val="both"/>
                    <w:textAlignment w:val="baseline"/>
                  </w:pPr>
                </w:p>
                <w:p>
                  <w:pPr>
                    <w:pStyle w:val="Style"/>
                    <w:spacing w:before="0" w:after="0" w:line="216" w:lineRule="atLeast"/>
                    <w:ind w:left="254" w:right="57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~Mateřská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škola,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Základní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škola]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a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Praktická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škola,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lang w:val="cs"/>
                    </w:rPr>
                    <w:t xml:space="preserve">Strakonice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u w:val="single"/>
                      <w:lang w:val="cs"/>
                    </w:rPr>
                    <w:t xml:space="preserve">Plánkova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113"/>
                      <w:sz w:val="20"/>
                      <w:szCs w:val="20"/>
                      <w:u w:val="single"/>
                      <w:lang w:val="cs"/>
                    </w:rPr>
                    <w:t xml:space="preserve">430</w:t>
                  </w:r>
                  <w:r>
                    <w:rPr>
                      <w:w w:val="1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9"/>
                      <w:sz w:val="30"/>
                      <w:szCs w:val="30"/>
                      <w:u w:val="single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tabs>
                      <w:tab w:val="left" w:leader="none" w:pos="235"/>
                      <w:tab w:val="left" w:leader="dot" w:pos="2544"/>
                    </w:tabs>
                    <w:spacing w:before="0" w:after="0" w:line="283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u w:val="single"/>
                      <w:lang w:val="cs"/>
                    </w:rPr>
                    <w:t xml:space="preserve">r</w:t>
                  </w:r>
                  <w:r>
                    <w:rPr>
                      <w:rFonts w:ascii="Arial" w:eastAsia="Arial" w:hAnsi="Arial" w:cs="Arial"/>
                      <w:w w:val="50"/>
                      <w:sz w:val="41"/>
                      <w:szCs w:val="41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Došlo: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  <w:lang w:val="cs"/>
                    </w:rPr>
                    <w:t xml:space="preserve">í.'ť..:</w:t>
                  </w: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  <w:u w:val="single"/>
                      <w:lang w:val="cs"/>
                    </w:rPr>
                    <w:t xml:space="preserve">J.</w:t>
                  </w: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6"/>
                      <w:szCs w:val="26"/>
                      <w:lang w:val="cs"/>
                    </w:rPr>
                    <w:t xml:space="preserve">.-Ý?!'</w:t>
                  </w:r>
                  <w:r>
                    <w:rPr>
                      <w:w w:val="72"/>
                      <w:sz w:val="26"/>
                      <w:szCs w:val="26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72"/>
                      <w:sz w:val="26"/>
                      <w:szCs w:val="26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6"/>
                      <w:szCs w:val="26"/>
                      <w:lang w:val="cs"/>
                    </w:rPr>
                    <w:tab/>
                    <w:t xml:space="preserve">:··"""""""</w:t>
                  </w:r>
                  <w:r>
                    <w:rPr>
                      <w:w w:val="72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26"/>
                      <w:szCs w:val="26"/>
                      <w:lang w:val="cs"/>
                    </w:rPr>
                    <w:t xml:space="preserve">..</w:t>
                  </w:r>
                  <w:r>
                    <w:rPr>
                      <w:w w:val="72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235"/>
                      <w:tab w:val="right" w:leader="dot" w:pos="3436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8"/>
                      <w:szCs w:val="48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48"/>
                      <w:szCs w:val="48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Č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..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j.: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26"/>
                      <w:szCs w:val="26"/>
                      <w:lang w:val="cs"/>
                    </w:rPr>
                    <w:t xml:space="preserve">-?rru:td(i./t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2"/>
                      <w:szCs w:val="2"/>
                      <w:vertAlign w:val="subscript"/>
                      <w:lang w:val="cs"/>
                    </w:rPr>
                    <w:tab/>
                    <w:t xml:space="preserve">7</w:t>
                  </w:r>
                  <w:r>
                    <w:rPr>
                      <w:rFonts w:ascii="Arial" w:eastAsia="Arial" w:hAnsi="Arial" w:cs="Arial"/>
                      <w:i/>
                      <w:iCs/>
                      <w:w w:val="56"/>
                      <w:sz w:val="30"/>
                      <w:szCs w:val="30"/>
                      <w:lang w:val="cs"/>
                    </w:rPr>
                    <w:t xml:space="preserve">~7?.&lt;?&lt;?:'!....</w:t>
                  </w:r>
                  <w:r>
                    <w:rPr>
                      <w:rFonts w:ascii="Arial" w:eastAsia="Arial" w:hAnsi="Arial" w:cs="Arial"/>
                      <w:i/>
                      <w:iCs/>
                      <w:w w:val="56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sz w:val="30"/>
                      <w:szCs w:val="30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56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235"/>
                      <w:tab w:val="right" w:leader="dot" w:pos="3441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9"/>
                      <w:szCs w:val="29"/>
                      <w:lang w:val="cs"/>
                    </w:rPr>
                    <w:tab/>
                    <w:t xml:space="preserve">l</w:t>
                  </w:r>
                  <w:r>
                    <w:rPr>
                      <w:rFonts w:ascii="Arial" w:eastAsia="Arial" w:hAnsi="Arial" w:cs="Arial"/>
                      <w:w w:val="89"/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Listy: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16" w:lineRule="atLeast"/>
                    <w:ind w:left="264" w:firstLine="0"/>
                    <w:textAlignment w:val="baseline"/>
                  </w:pPr>
                </w:p>
                <w:p>
                  <w:pPr>
                    <w:pStyle w:val="Style"/>
                    <w:spacing w:before="0" w:after="0" w:line="316" w:lineRule="atLeast"/>
                    <w:ind w:left="2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8"/>
                      <w:szCs w:val="48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Přílohy: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••••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(............................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62"/>
                      <w:szCs w:val="62"/>
                      <w:lang w:val="cs"/>
                    </w:rPr>
                    <w:t xml:space="preserve">l</w:t>
                  </w:r>
                </w:p>
                <w:p>
                  <w:pPr>
                    <w:pStyle w:val="Style"/>
                    <w:tabs>
                      <w:tab w:val="left" w:leader="none" w:pos="345"/>
                      <w:tab w:val="left" w:leader="dot" w:pos="1622"/>
                      <w:tab w:val="left" w:leader="dot" w:pos="3249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u w:val="single"/>
                      <w:lang w:val="cs"/>
                    </w:rPr>
                    <w:t xml:space="preserve">Znak: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i/>
                      <w:iCs/>
                      <w:w w:val="78"/>
                      <w:sz w:val="29"/>
                      <w:szCs w:val="29"/>
                      <w:u w:val="single"/>
                      <w:lang w:val="cs"/>
                    </w:rPr>
                    <w:t xml:space="preserve">&lt;?.t</w:t>
                  </w:r>
                  <w:r>
                    <w:rPr>
                      <w:i/>
                      <w:iCs/>
                      <w:w w:val="78"/>
                      <w:sz w:val="29"/>
                      <w:szCs w:val="29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78"/>
                      <w:sz w:val="29"/>
                      <w:szCs w:val="29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78"/>
                      <w:sz w:val="29"/>
                      <w:szCs w:val="29"/>
                      <w:u w:val="single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-1" coordsize="21600,21600" o:spt="202" path="m,l,21600r21600,l21600,xe"/>
          <v:shape id="sh_3_-1" type="st_3_-1" stroked="f" filled="f" style="position:absolute;margin-left:13.700000pt;margin-top:605.650000pt;width:1.200000pt;height:34.45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689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position w:val="-10"/>
                      <w:sz w:val="47"/>
                      <w:szCs w:val="47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-1" coordsize="21600,21600" o:spt="202" path="m,l,21600r21600,l21600,xe"/>
          <v:shape id="sh_3_-1" type="st_3_-1" stroked="f" filled="f" style="position:absolute;margin-left:14.150000pt;margin-top:687.000000pt;width:1.200000pt;height:32.10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642" w:lineRule="atLeast"/>
                    <w:ind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position w:val="-9"/>
                      <w:sz w:val="48"/>
                      <w:szCs w:val="48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224.900000pt;margin-top:775.900000pt;width:8.0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18"/>
                      <w:szCs w:val="18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05" w:right="720" w:bottom="360" w:left="48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5"/>
        <w:szCs w:val="25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2">
    <w:multiLevelType w:val="singleLevel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3">
    <w:multiLevelType w:val="singleLevel"/>
    <w:lvl w:ilvl="0">
      <w:start w:val="6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3"/>
        <w:szCs w:val="23"/>
      </w:rPr>
    </w:lvl>
  </w:abstractNum>
  <w:abstractNum w:abstractNumId="4">
    <w:multiLevelType w:val="singleLevel"/>
    <w:lvl w:ilvl="0">
      <w:start w:val="1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5">
    <w:multiLevelType w:val="singleLevel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6">
    <w:multiLevelType w:val="singleLevel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7"/>
        <w:szCs w:val="17"/>
      </w:rPr>
    </w:lvl>
  </w:abstractNum>
  <w:abstractNum w:abstractNumId="7">
    <w:multiLevelType w:val="singleLevel"/>
    <w:lvl w:ilvl="0">
      <w:start w:val="6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4"/>
        <w:szCs w:val="14"/>
      </w:rPr>
    </w:lvl>
  </w:abstractNum>
  <w:abstractNum w:abstractNumId="9">
    <w:multiLevelType w:val="singleLevel"/>
    <w:lvl w:ilvl="0">
      <w:start w:val="10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3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2018-03-19T12:43:42Z</dcterms:created>
  <dcterms:modified xsi:type="dcterms:W3CDTF">2018-03-19T12:43:42Z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