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5605"/>
      </w:tblGrid>
      <w:tr w:rsidR="00A8691C" w:rsidTr="00DC7136">
        <w:trPr>
          <w:trHeight w:val="303"/>
        </w:trPr>
        <w:tc>
          <w:tcPr>
            <w:tcW w:w="3467" w:type="dxa"/>
            <w:vAlign w:val="center"/>
          </w:tcPr>
          <w:p w:rsidR="00A8691C" w:rsidRDefault="00A8691C" w:rsidP="00D1201B">
            <w:pPr>
              <w:jc w:val="left"/>
            </w:pPr>
            <w:r>
              <w:t>Číslo závěrkového listu:</w:t>
            </w:r>
          </w:p>
        </w:tc>
        <w:tc>
          <w:tcPr>
            <w:tcW w:w="5605" w:type="dxa"/>
          </w:tcPr>
          <w:p w:rsidR="00A8691C" w:rsidRDefault="00A8691C" w:rsidP="00D1201B">
            <w:r>
              <w:rPr>
                <w:noProof/>
              </w:rPr>
              <w:t>2018002</w:t>
            </w:r>
            <w:r>
              <w:t>-</w:t>
            </w:r>
            <w:r>
              <w:rPr>
                <w:noProof/>
              </w:rPr>
              <w:t>17</w:t>
            </w:r>
          </w:p>
        </w:tc>
      </w:tr>
      <w:tr w:rsidR="00DC7136" w:rsidTr="00DC7136">
        <w:trPr>
          <w:trHeight w:val="303"/>
        </w:trPr>
        <w:tc>
          <w:tcPr>
            <w:tcW w:w="3467" w:type="dxa"/>
            <w:vAlign w:val="center"/>
          </w:tcPr>
          <w:p w:rsidR="00DC7136" w:rsidRDefault="00DC7136" w:rsidP="00DC7136">
            <w:pPr>
              <w:jc w:val="left"/>
            </w:pPr>
            <w:r>
              <w:t>Číslo burzovní aukce:</w:t>
            </w:r>
          </w:p>
        </w:tc>
        <w:tc>
          <w:tcPr>
            <w:tcW w:w="5605" w:type="dxa"/>
          </w:tcPr>
          <w:p w:rsidR="00DC7136" w:rsidRDefault="00DC7136" w:rsidP="00DC7136">
            <w:r>
              <w:rPr>
                <w:noProof/>
              </w:rPr>
              <w:t>ZP180001</w:t>
            </w:r>
          </w:p>
        </w:tc>
      </w:tr>
      <w:tr w:rsidR="00DC7136" w:rsidTr="00DC7136">
        <w:trPr>
          <w:trHeight w:val="303"/>
        </w:trPr>
        <w:tc>
          <w:tcPr>
            <w:tcW w:w="3467" w:type="dxa"/>
            <w:vAlign w:val="center"/>
          </w:tcPr>
          <w:p w:rsidR="00DC7136" w:rsidRDefault="00DC7136" w:rsidP="00DC7136">
            <w:pPr>
              <w:jc w:val="left"/>
            </w:pPr>
            <w:r>
              <w:t>Datum burzovního shromáždění:</w:t>
            </w:r>
          </w:p>
        </w:tc>
        <w:tc>
          <w:tcPr>
            <w:tcW w:w="5605" w:type="dxa"/>
          </w:tcPr>
          <w:p w:rsidR="00DC7136" w:rsidRDefault="00DC7136" w:rsidP="00DC7136">
            <w:r>
              <w:rPr>
                <w:noProof/>
              </w:rPr>
              <w:t>7. 3. 2018</w:t>
            </w:r>
          </w:p>
        </w:tc>
      </w:tr>
    </w:tbl>
    <w:p w:rsidR="00A8691C" w:rsidRDefault="00A8691C" w:rsidP="00CC6BDE">
      <w:pPr>
        <w:pStyle w:val="Nadpis1"/>
        <w:spacing w:before="360" w:after="240"/>
      </w:pPr>
      <w:r>
        <w:t>ZÁVĚRKOVÝ LIST KBP</w:t>
      </w:r>
    </w:p>
    <w:p w:rsidR="00A8691C" w:rsidRDefault="00A8691C" w:rsidP="00CC6BDE">
      <w:pPr>
        <w:pStyle w:val="Nadpis2"/>
      </w:pPr>
      <w:r w:rsidRPr="00672A0F">
        <w:t>Dodavatel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425"/>
        <w:gridCol w:w="3544"/>
        <w:gridCol w:w="709"/>
        <w:gridCol w:w="425"/>
        <w:gridCol w:w="992"/>
        <w:gridCol w:w="1100"/>
      </w:tblGrid>
      <w:tr w:rsidR="00A8691C" w:rsidTr="007D41D5">
        <w:trPr>
          <w:trHeight w:val="293"/>
        </w:trPr>
        <w:tc>
          <w:tcPr>
            <w:tcW w:w="2093" w:type="dxa"/>
          </w:tcPr>
          <w:p w:rsidR="00A8691C" w:rsidRDefault="00A8691C" w:rsidP="00D1201B">
            <w:r>
              <w:t>Obchodní jméno:</w:t>
            </w:r>
          </w:p>
        </w:tc>
        <w:tc>
          <w:tcPr>
            <w:tcW w:w="7195" w:type="dxa"/>
            <w:gridSpan w:val="6"/>
          </w:tcPr>
          <w:p w:rsidR="00A8691C" w:rsidRPr="00D1201B" w:rsidRDefault="00A8691C" w:rsidP="00D1201B">
            <w:pPr>
              <w:rPr>
                <w:b/>
              </w:rPr>
            </w:pPr>
            <w:r w:rsidRPr="00AF76BD">
              <w:rPr>
                <w:b/>
                <w:noProof/>
              </w:rPr>
              <w:t>Amper Market, a.s.</w:t>
            </w:r>
          </w:p>
        </w:tc>
      </w:tr>
      <w:tr w:rsidR="00A8691C" w:rsidTr="007D41D5">
        <w:trPr>
          <w:trHeight w:val="293"/>
        </w:trPr>
        <w:tc>
          <w:tcPr>
            <w:tcW w:w="2093" w:type="dxa"/>
          </w:tcPr>
          <w:p w:rsidR="00A8691C" w:rsidRDefault="00A8691C" w:rsidP="00D1201B">
            <w:r>
              <w:t>Sídlo:</w:t>
            </w:r>
          </w:p>
        </w:tc>
        <w:tc>
          <w:tcPr>
            <w:tcW w:w="7195" w:type="dxa"/>
            <w:gridSpan w:val="6"/>
          </w:tcPr>
          <w:p w:rsidR="00A8691C" w:rsidRDefault="00A8691C" w:rsidP="00D1201B">
            <w:r>
              <w:rPr>
                <w:noProof/>
              </w:rPr>
              <w:t>Antala Staška 1076/33a, 140 00 Praha 4</w:t>
            </w:r>
          </w:p>
        </w:tc>
      </w:tr>
      <w:tr w:rsidR="00A8691C" w:rsidTr="007D41D5">
        <w:trPr>
          <w:trHeight w:val="293"/>
        </w:trPr>
        <w:tc>
          <w:tcPr>
            <w:tcW w:w="2093" w:type="dxa"/>
          </w:tcPr>
          <w:p w:rsidR="00A8691C" w:rsidRDefault="00A8691C" w:rsidP="00D1201B">
            <w:r>
              <w:t>IČ:</w:t>
            </w:r>
          </w:p>
        </w:tc>
        <w:tc>
          <w:tcPr>
            <w:tcW w:w="7195" w:type="dxa"/>
            <w:gridSpan w:val="6"/>
          </w:tcPr>
          <w:p w:rsidR="00A8691C" w:rsidRDefault="00A8691C" w:rsidP="00D1201B">
            <w:r>
              <w:rPr>
                <w:noProof/>
              </w:rPr>
              <w:t>24128376</w:t>
            </w:r>
          </w:p>
        </w:tc>
      </w:tr>
      <w:tr w:rsidR="00A8691C" w:rsidTr="007D41D5">
        <w:trPr>
          <w:trHeight w:val="293"/>
        </w:trPr>
        <w:tc>
          <w:tcPr>
            <w:tcW w:w="2093" w:type="dxa"/>
          </w:tcPr>
          <w:p w:rsidR="00A8691C" w:rsidRDefault="00A8691C" w:rsidP="00D1201B">
            <w:r>
              <w:t>DIČ:</w:t>
            </w:r>
          </w:p>
        </w:tc>
        <w:tc>
          <w:tcPr>
            <w:tcW w:w="7195" w:type="dxa"/>
            <w:gridSpan w:val="6"/>
          </w:tcPr>
          <w:p w:rsidR="00A8691C" w:rsidRDefault="00A8691C" w:rsidP="00D1201B">
            <w:r>
              <w:rPr>
                <w:noProof/>
              </w:rPr>
              <w:t>CZ24128376</w:t>
            </w:r>
          </w:p>
        </w:tc>
      </w:tr>
      <w:tr w:rsidR="00A8691C" w:rsidTr="0011776E">
        <w:trPr>
          <w:trHeight w:val="293"/>
        </w:trPr>
        <w:tc>
          <w:tcPr>
            <w:tcW w:w="2518" w:type="dxa"/>
            <w:gridSpan w:val="2"/>
          </w:tcPr>
          <w:p w:rsidR="00A8691C" w:rsidRDefault="00A8691C" w:rsidP="00CD4C5D">
            <w:r>
              <w:t xml:space="preserve">Zapsán v OR vedeným </w:t>
            </w:r>
          </w:p>
        </w:tc>
        <w:tc>
          <w:tcPr>
            <w:tcW w:w="3544" w:type="dxa"/>
          </w:tcPr>
          <w:p w:rsidR="00A8691C" w:rsidRDefault="00A8691C" w:rsidP="00CD4C5D">
            <w:r>
              <w:rPr>
                <w:noProof/>
              </w:rPr>
              <w:t>Městského soudu v Praze</w:t>
            </w:r>
          </w:p>
        </w:tc>
        <w:tc>
          <w:tcPr>
            <w:tcW w:w="709" w:type="dxa"/>
          </w:tcPr>
          <w:p w:rsidR="00A8691C" w:rsidRDefault="00A8691C" w:rsidP="00B43340">
            <w:pPr>
              <w:ind w:left="-108"/>
            </w:pPr>
            <w:r w:rsidRPr="00B43340">
              <w:t xml:space="preserve"> oddíl</w:t>
            </w:r>
          </w:p>
        </w:tc>
        <w:tc>
          <w:tcPr>
            <w:tcW w:w="425" w:type="dxa"/>
          </w:tcPr>
          <w:p w:rsidR="00A8691C" w:rsidRDefault="00A8691C" w:rsidP="00CD4C5D">
            <w:r>
              <w:rPr>
                <w:noProof/>
              </w:rPr>
              <w:t>B</w:t>
            </w:r>
          </w:p>
        </w:tc>
        <w:tc>
          <w:tcPr>
            <w:tcW w:w="992" w:type="dxa"/>
          </w:tcPr>
          <w:p w:rsidR="00A8691C" w:rsidRDefault="00A8691C" w:rsidP="00CD4C5D">
            <w:r>
              <w:t>vložka</w:t>
            </w:r>
          </w:p>
        </w:tc>
        <w:tc>
          <w:tcPr>
            <w:tcW w:w="1100" w:type="dxa"/>
          </w:tcPr>
          <w:p w:rsidR="00A8691C" w:rsidRDefault="00A8691C" w:rsidP="00CD4C5D">
            <w:r>
              <w:rPr>
                <w:noProof/>
              </w:rPr>
              <w:t>17267</w:t>
            </w:r>
          </w:p>
        </w:tc>
      </w:tr>
      <w:tr w:rsidR="00A8691C" w:rsidTr="007D41D5">
        <w:trPr>
          <w:trHeight w:val="293"/>
        </w:trPr>
        <w:tc>
          <w:tcPr>
            <w:tcW w:w="2093" w:type="dxa"/>
          </w:tcPr>
          <w:p w:rsidR="00A8691C" w:rsidRDefault="00A8691C" w:rsidP="00CD4C5D">
            <w:r>
              <w:t>Bankovní spojení:</w:t>
            </w:r>
          </w:p>
        </w:tc>
        <w:tc>
          <w:tcPr>
            <w:tcW w:w="7195" w:type="dxa"/>
            <w:gridSpan w:val="6"/>
          </w:tcPr>
          <w:p w:rsidR="00A8691C" w:rsidRDefault="00A8691C" w:rsidP="00CD4C5D">
            <w:r>
              <w:rPr>
                <w:noProof/>
              </w:rPr>
              <w:t>Uvedeno na přísl. daňovém dokladu</w:t>
            </w:r>
          </w:p>
        </w:tc>
      </w:tr>
      <w:tr w:rsidR="00A8691C" w:rsidTr="007D41D5">
        <w:trPr>
          <w:trHeight w:val="293"/>
        </w:trPr>
        <w:tc>
          <w:tcPr>
            <w:tcW w:w="2093" w:type="dxa"/>
          </w:tcPr>
          <w:p w:rsidR="00A8691C" w:rsidRDefault="00A8691C" w:rsidP="00CD4C5D">
            <w:r>
              <w:t>Makléř:</w:t>
            </w:r>
          </w:p>
        </w:tc>
        <w:tc>
          <w:tcPr>
            <w:tcW w:w="7195" w:type="dxa"/>
            <w:gridSpan w:val="6"/>
          </w:tcPr>
          <w:p w:rsidR="00A8691C" w:rsidRDefault="00A8691C" w:rsidP="00CD4C5D">
            <w:bookmarkStart w:id="0" w:name="_GoBack"/>
            <w:r>
              <w:t>Jan Václavek, makléř</w:t>
            </w:r>
            <w:bookmarkEnd w:id="0"/>
          </w:p>
        </w:tc>
      </w:tr>
      <w:tr w:rsidR="00A8691C" w:rsidTr="007D41D5">
        <w:trPr>
          <w:trHeight w:val="293"/>
        </w:trPr>
        <w:tc>
          <w:tcPr>
            <w:tcW w:w="2093" w:type="dxa"/>
          </w:tcPr>
          <w:p w:rsidR="00A8691C" w:rsidRDefault="00A8691C" w:rsidP="00CD4C5D">
            <w:r>
              <w:t>Ev. č. makléře</w:t>
            </w:r>
          </w:p>
        </w:tc>
        <w:tc>
          <w:tcPr>
            <w:tcW w:w="7195" w:type="dxa"/>
            <w:gridSpan w:val="6"/>
          </w:tcPr>
          <w:p w:rsidR="00A8691C" w:rsidRDefault="00A8691C" w:rsidP="00CD4C5D">
            <w:r>
              <w:t>36</w:t>
            </w:r>
          </w:p>
        </w:tc>
      </w:tr>
    </w:tbl>
    <w:p w:rsidR="00A8691C" w:rsidRDefault="00A8691C" w:rsidP="00CD4C5D"/>
    <w:p w:rsidR="00A8691C" w:rsidRDefault="00A8691C" w:rsidP="00CC6BDE">
      <w:pPr>
        <w:pStyle w:val="Nadpis2"/>
      </w:pPr>
      <w:r>
        <w:t>Odběratel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410"/>
        <w:gridCol w:w="3832"/>
        <w:gridCol w:w="814"/>
        <w:gridCol w:w="428"/>
        <w:gridCol w:w="840"/>
        <w:gridCol w:w="688"/>
      </w:tblGrid>
      <w:tr w:rsidR="00A8691C" w:rsidRPr="00B43340" w:rsidTr="005702AA">
        <w:trPr>
          <w:trHeight w:val="277"/>
        </w:trPr>
        <w:tc>
          <w:tcPr>
            <w:tcW w:w="2093" w:type="dxa"/>
          </w:tcPr>
          <w:p w:rsidR="00A8691C" w:rsidRPr="00B43340" w:rsidRDefault="00A8691C" w:rsidP="00D1201B">
            <w:r w:rsidRPr="00B43340">
              <w:t>Obchodní jméno:</w:t>
            </w:r>
          </w:p>
        </w:tc>
        <w:tc>
          <w:tcPr>
            <w:tcW w:w="7195" w:type="dxa"/>
            <w:gridSpan w:val="6"/>
          </w:tcPr>
          <w:p w:rsidR="00A8691C" w:rsidRDefault="00A8691C" w:rsidP="00D1201B">
            <w:r>
              <w:rPr>
                <w:noProof/>
              </w:rPr>
              <w:t>Základní škola a mateřská škola Jarov, Praha 3, V Zahrádkách 48/1966</w:t>
            </w:r>
          </w:p>
        </w:tc>
      </w:tr>
      <w:tr w:rsidR="00A8691C" w:rsidRPr="00B43340" w:rsidTr="005702AA">
        <w:trPr>
          <w:trHeight w:val="277"/>
        </w:trPr>
        <w:tc>
          <w:tcPr>
            <w:tcW w:w="2093" w:type="dxa"/>
          </w:tcPr>
          <w:p w:rsidR="00A8691C" w:rsidRPr="00B43340" w:rsidRDefault="00A8691C" w:rsidP="00D1201B">
            <w:r w:rsidRPr="00B43340">
              <w:t>Sídlo:</w:t>
            </w:r>
          </w:p>
        </w:tc>
        <w:tc>
          <w:tcPr>
            <w:tcW w:w="7195" w:type="dxa"/>
            <w:gridSpan w:val="6"/>
          </w:tcPr>
          <w:p w:rsidR="00A8691C" w:rsidRDefault="00A8691C" w:rsidP="00D1201B">
            <w:r>
              <w:rPr>
                <w:noProof/>
              </w:rPr>
              <w:t>V zahrádkách 1966/48</w:t>
            </w:r>
            <w:r>
              <w:t xml:space="preserve">, </w:t>
            </w:r>
            <w:r>
              <w:rPr>
                <w:noProof/>
              </w:rPr>
              <w:t>130 00 Praha 3</w:t>
            </w:r>
          </w:p>
        </w:tc>
      </w:tr>
      <w:tr w:rsidR="00A8691C" w:rsidRPr="00B43340" w:rsidTr="005702AA">
        <w:trPr>
          <w:trHeight w:val="277"/>
        </w:trPr>
        <w:tc>
          <w:tcPr>
            <w:tcW w:w="2093" w:type="dxa"/>
          </w:tcPr>
          <w:p w:rsidR="00A8691C" w:rsidRPr="00B43340" w:rsidRDefault="00A8691C" w:rsidP="00D1201B">
            <w:r w:rsidRPr="00B43340">
              <w:t>IČ:</w:t>
            </w:r>
          </w:p>
        </w:tc>
        <w:tc>
          <w:tcPr>
            <w:tcW w:w="7195" w:type="dxa"/>
            <w:gridSpan w:val="6"/>
          </w:tcPr>
          <w:p w:rsidR="00A8691C" w:rsidRDefault="00A8691C" w:rsidP="00D1201B">
            <w:r>
              <w:rPr>
                <w:noProof/>
              </w:rPr>
              <w:t>63831449</w:t>
            </w:r>
          </w:p>
        </w:tc>
      </w:tr>
      <w:tr w:rsidR="00A8691C" w:rsidRPr="00B43340" w:rsidTr="005702AA">
        <w:trPr>
          <w:trHeight w:val="277"/>
        </w:trPr>
        <w:tc>
          <w:tcPr>
            <w:tcW w:w="2093" w:type="dxa"/>
          </w:tcPr>
          <w:p w:rsidR="00A8691C" w:rsidRPr="00B43340" w:rsidRDefault="00A8691C" w:rsidP="00D1201B">
            <w:r w:rsidRPr="00B43340">
              <w:t>DIČ:</w:t>
            </w:r>
          </w:p>
        </w:tc>
        <w:tc>
          <w:tcPr>
            <w:tcW w:w="7195" w:type="dxa"/>
            <w:gridSpan w:val="6"/>
          </w:tcPr>
          <w:p w:rsidR="00A8691C" w:rsidRDefault="00A8691C" w:rsidP="00D1201B"/>
        </w:tc>
      </w:tr>
      <w:tr w:rsidR="00A8691C" w:rsidRPr="00B43340" w:rsidTr="005702AA">
        <w:trPr>
          <w:trHeight w:val="277"/>
        </w:trPr>
        <w:tc>
          <w:tcPr>
            <w:tcW w:w="2518" w:type="dxa"/>
            <w:gridSpan w:val="2"/>
          </w:tcPr>
          <w:p w:rsidR="00A8691C" w:rsidRPr="00B43340" w:rsidRDefault="00A8691C" w:rsidP="00B43340">
            <w:r w:rsidRPr="00B43340">
              <w:t xml:space="preserve">Zapsán v OR vedeným </w:t>
            </w:r>
          </w:p>
        </w:tc>
        <w:tc>
          <w:tcPr>
            <w:tcW w:w="3969" w:type="dxa"/>
          </w:tcPr>
          <w:p w:rsidR="00A8691C" w:rsidRPr="00B43340" w:rsidRDefault="00A8691C" w:rsidP="00B43340"/>
        </w:tc>
        <w:tc>
          <w:tcPr>
            <w:tcW w:w="819" w:type="dxa"/>
          </w:tcPr>
          <w:p w:rsidR="00A8691C" w:rsidRPr="00B43340" w:rsidRDefault="00A8691C" w:rsidP="00CC6BDE">
            <w:r>
              <w:t>o</w:t>
            </w:r>
            <w:r w:rsidRPr="00B43340">
              <w:t>ddíl</w:t>
            </w:r>
          </w:p>
        </w:tc>
        <w:tc>
          <w:tcPr>
            <w:tcW w:w="436" w:type="dxa"/>
          </w:tcPr>
          <w:p w:rsidR="00A8691C" w:rsidRPr="00B43340" w:rsidRDefault="00A8691C" w:rsidP="00B43340"/>
        </w:tc>
        <w:tc>
          <w:tcPr>
            <w:tcW w:w="840" w:type="dxa"/>
          </w:tcPr>
          <w:p w:rsidR="00A8691C" w:rsidRPr="00B43340" w:rsidRDefault="00A8691C" w:rsidP="00B43340">
            <w:r w:rsidRPr="00B43340">
              <w:t>vložka</w:t>
            </w:r>
          </w:p>
        </w:tc>
        <w:tc>
          <w:tcPr>
            <w:tcW w:w="706" w:type="dxa"/>
          </w:tcPr>
          <w:p w:rsidR="00A8691C" w:rsidRPr="00B43340" w:rsidRDefault="00A8691C" w:rsidP="00B43340"/>
        </w:tc>
      </w:tr>
      <w:tr w:rsidR="00A8691C" w:rsidRPr="00B43340" w:rsidTr="005702AA">
        <w:trPr>
          <w:trHeight w:val="277"/>
        </w:trPr>
        <w:tc>
          <w:tcPr>
            <w:tcW w:w="2093" w:type="dxa"/>
          </w:tcPr>
          <w:p w:rsidR="00A8691C" w:rsidRPr="00B43340" w:rsidRDefault="00A8691C" w:rsidP="00B43340">
            <w:r w:rsidRPr="00B43340">
              <w:t>Bankovní spojení:</w:t>
            </w:r>
          </w:p>
        </w:tc>
        <w:tc>
          <w:tcPr>
            <w:tcW w:w="7195" w:type="dxa"/>
            <w:gridSpan w:val="6"/>
          </w:tcPr>
          <w:p w:rsidR="00A8691C" w:rsidRPr="00B43340" w:rsidRDefault="00A8691C" w:rsidP="00B43340">
            <w:r>
              <w:rPr>
                <w:noProof/>
              </w:rPr>
              <w:t>2000799309/0800</w:t>
            </w:r>
          </w:p>
        </w:tc>
      </w:tr>
      <w:tr w:rsidR="00A8691C" w:rsidRPr="00B43340" w:rsidTr="005702AA">
        <w:trPr>
          <w:trHeight w:val="277"/>
        </w:trPr>
        <w:tc>
          <w:tcPr>
            <w:tcW w:w="2093" w:type="dxa"/>
          </w:tcPr>
          <w:p w:rsidR="00A8691C" w:rsidRPr="00B43340" w:rsidRDefault="00A8691C" w:rsidP="00B43340">
            <w:r>
              <w:t>Makléř</w:t>
            </w:r>
            <w:r w:rsidRPr="00B43340">
              <w:t>:</w:t>
            </w:r>
          </w:p>
        </w:tc>
        <w:tc>
          <w:tcPr>
            <w:tcW w:w="7195" w:type="dxa"/>
            <w:gridSpan w:val="6"/>
          </w:tcPr>
          <w:p w:rsidR="00A8691C" w:rsidRPr="00B43340" w:rsidRDefault="00A8691C" w:rsidP="00B43340">
            <w:r>
              <w:t>Zdeněk Svoboda, makléř</w:t>
            </w:r>
          </w:p>
        </w:tc>
      </w:tr>
      <w:tr w:rsidR="00A8691C" w:rsidRPr="00B43340" w:rsidTr="005702AA">
        <w:trPr>
          <w:trHeight w:val="277"/>
        </w:trPr>
        <w:tc>
          <w:tcPr>
            <w:tcW w:w="2093" w:type="dxa"/>
          </w:tcPr>
          <w:p w:rsidR="00A8691C" w:rsidRPr="00B43340" w:rsidRDefault="00A8691C" w:rsidP="00B43340">
            <w:r w:rsidRPr="00B43340">
              <w:t>Ev. č. makléře</w:t>
            </w:r>
          </w:p>
        </w:tc>
        <w:tc>
          <w:tcPr>
            <w:tcW w:w="7195" w:type="dxa"/>
            <w:gridSpan w:val="6"/>
          </w:tcPr>
          <w:p w:rsidR="00A8691C" w:rsidRPr="00B43340" w:rsidRDefault="00A8691C" w:rsidP="00B43340">
            <w:r>
              <w:t>35</w:t>
            </w:r>
          </w:p>
        </w:tc>
      </w:tr>
      <w:tr w:rsidR="00A8691C" w:rsidRPr="00B43340" w:rsidTr="005702AA">
        <w:trPr>
          <w:trHeight w:val="277"/>
        </w:trPr>
        <w:tc>
          <w:tcPr>
            <w:tcW w:w="2093" w:type="dxa"/>
          </w:tcPr>
          <w:p w:rsidR="00A8691C" w:rsidRPr="00B43340" w:rsidRDefault="00A8691C" w:rsidP="00B43340"/>
        </w:tc>
        <w:tc>
          <w:tcPr>
            <w:tcW w:w="7195" w:type="dxa"/>
            <w:gridSpan w:val="6"/>
          </w:tcPr>
          <w:p w:rsidR="00A8691C" w:rsidRDefault="00A8691C" w:rsidP="00B43340"/>
        </w:tc>
      </w:tr>
      <w:tr w:rsidR="00A8691C" w:rsidRPr="00B43340" w:rsidTr="005702AA">
        <w:trPr>
          <w:trHeight w:val="277"/>
        </w:trPr>
        <w:tc>
          <w:tcPr>
            <w:tcW w:w="2093" w:type="dxa"/>
          </w:tcPr>
          <w:p w:rsidR="00A8691C" w:rsidRPr="00B43340" w:rsidRDefault="00A8691C" w:rsidP="00B43340"/>
        </w:tc>
        <w:tc>
          <w:tcPr>
            <w:tcW w:w="7195" w:type="dxa"/>
            <w:gridSpan w:val="6"/>
          </w:tcPr>
          <w:p w:rsidR="00A8691C" w:rsidRDefault="00A8691C" w:rsidP="00B43340"/>
        </w:tc>
      </w:tr>
    </w:tbl>
    <w:p w:rsidR="00A8691C" w:rsidRDefault="00A8691C" w:rsidP="00342872">
      <w:pPr>
        <w:pStyle w:val="Nadpis2"/>
        <w:numPr>
          <w:ilvl w:val="0"/>
          <w:numId w:val="0"/>
        </w:numPr>
      </w:pPr>
    </w:p>
    <w:p w:rsidR="00A8691C" w:rsidRDefault="00A8691C" w:rsidP="00CC6BDE">
      <w:pPr>
        <w:pStyle w:val="Nadpis2"/>
      </w:pPr>
      <w:r>
        <w:t xml:space="preserve">Specifikace </w:t>
      </w:r>
      <w:r w:rsidRPr="009D5F44">
        <w:t>komodity</w:t>
      </w:r>
    </w:p>
    <w:p w:rsidR="00A8691C" w:rsidRPr="00B770EF" w:rsidRDefault="00A8691C" w:rsidP="00B43340">
      <w:pPr>
        <w:rPr>
          <w:b/>
        </w:rPr>
      </w:pPr>
      <w:r>
        <w:rPr>
          <w:b/>
        </w:rPr>
        <w:t xml:space="preserve">Zemní plyn včetně souvisejících služeb - </w:t>
      </w:r>
      <w:r w:rsidRPr="00B770EF">
        <w:rPr>
          <w:b/>
        </w:rPr>
        <w:t xml:space="preserve">Sdružené služby dodávky zemního plynu do odběrných míst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7"/>
        <w:gridCol w:w="3105"/>
      </w:tblGrid>
      <w:tr w:rsidR="00A8691C" w:rsidTr="005702AA">
        <w:trPr>
          <w:trHeight w:val="423"/>
        </w:trPr>
        <w:tc>
          <w:tcPr>
            <w:tcW w:w="6062" w:type="dxa"/>
            <w:vAlign w:val="center"/>
          </w:tcPr>
          <w:p w:rsidR="00A8691C" w:rsidRDefault="00A8691C" w:rsidP="005702AA">
            <w:pPr>
              <w:jc w:val="left"/>
            </w:pPr>
            <w:r>
              <w:t>Termín dodávky:</w:t>
            </w:r>
          </w:p>
        </w:tc>
        <w:tc>
          <w:tcPr>
            <w:tcW w:w="3150" w:type="dxa"/>
            <w:vAlign w:val="center"/>
          </w:tcPr>
          <w:p w:rsidR="00A8691C" w:rsidRDefault="00A8691C" w:rsidP="005702AA">
            <w:pPr>
              <w:jc w:val="right"/>
            </w:pPr>
            <w:r>
              <w:rPr>
                <w:noProof/>
              </w:rPr>
              <w:t>Od 1. 4. 2018, od 6:00 hod do 1. 1. 2020 do 6:00 hod</w:t>
            </w:r>
          </w:p>
        </w:tc>
      </w:tr>
      <w:tr w:rsidR="00A8691C" w:rsidTr="005702AA">
        <w:trPr>
          <w:trHeight w:val="423"/>
        </w:trPr>
        <w:tc>
          <w:tcPr>
            <w:tcW w:w="6062" w:type="dxa"/>
            <w:vAlign w:val="center"/>
          </w:tcPr>
          <w:p w:rsidR="00A8691C" w:rsidRDefault="00A8691C" w:rsidP="005702AA">
            <w:pPr>
              <w:jc w:val="left"/>
            </w:pPr>
            <w:r>
              <w:t>Celkové množství dodávky v MWh:</w:t>
            </w:r>
          </w:p>
        </w:tc>
        <w:tc>
          <w:tcPr>
            <w:tcW w:w="3150" w:type="dxa"/>
            <w:vAlign w:val="center"/>
          </w:tcPr>
          <w:p w:rsidR="00A8691C" w:rsidRDefault="00A8691C" w:rsidP="00DC68F5">
            <w:pPr>
              <w:jc w:val="right"/>
            </w:pPr>
            <w:r>
              <w:rPr>
                <w:noProof/>
              </w:rPr>
              <w:t>50,208</w:t>
            </w:r>
          </w:p>
        </w:tc>
      </w:tr>
      <w:tr w:rsidR="00A8691C" w:rsidTr="005702AA">
        <w:trPr>
          <w:trHeight w:val="423"/>
        </w:trPr>
        <w:tc>
          <w:tcPr>
            <w:tcW w:w="6062" w:type="dxa"/>
            <w:vAlign w:val="center"/>
          </w:tcPr>
          <w:p w:rsidR="00A8691C" w:rsidRDefault="00A8691C" w:rsidP="005702AA">
            <w:pPr>
              <w:jc w:val="left"/>
            </w:pPr>
            <w:r>
              <w:t>Jednotková kupní cena (MWh / Kč bez DPH)</w:t>
            </w:r>
          </w:p>
        </w:tc>
        <w:tc>
          <w:tcPr>
            <w:tcW w:w="3150" w:type="dxa"/>
            <w:vAlign w:val="center"/>
          </w:tcPr>
          <w:p w:rsidR="00A8691C" w:rsidRDefault="00A8691C" w:rsidP="005702AA">
            <w:pPr>
              <w:jc w:val="right"/>
            </w:pPr>
            <w:r>
              <w:t>Příloha č. 2</w:t>
            </w:r>
          </w:p>
        </w:tc>
      </w:tr>
      <w:tr w:rsidR="00A8691C" w:rsidTr="005702AA">
        <w:trPr>
          <w:trHeight w:val="423"/>
        </w:trPr>
        <w:tc>
          <w:tcPr>
            <w:tcW w:w="6062" w:type="dxa"/>
            <w:vAlign w:val="center"/>
          </w:tcPr>
          <w:p w:rsidR="00A8691C" w:rsidRDefault="00A8691C" w:rsidP="005702AA">
            <w:pPr>
              <w:jc w:val="left"/>
            </w:pPr>
            <w:r>
              <w:t>Celkový finanční objem burzovního obchodu v Kč bez DPH</w:t>
            </w:r>
          </w:p>
        </w:tc>
        <w:tc>
          <w:tcPr>
            <w:tcW w:w="3150" w:type="dxa"/>
            <w:vAlign w:val="center"/>
          </w:tcPr>
          <w:p w:rsidR="00A8691C" w:rsidRDefault="00A8691C" w:rsidP="005702AA">
            <w:pPr>
              <w:jc w:val="right"/>
            </w:pPr>
            <w:r>
              <w:rPr>
                <w:noProof/>
              </w:rPr>
              <w:t>24</w:t>
            </w:r>
            <w:r w:rsidR="00DC68F5">
              <w:rPr>
                <w:noProof/>
              </w:rPr>
              <w:t xml:space="preserve"> </w:t>
            </w:r>
            <w:r>
              <w:rPr>
                <w:noProof/>
              </w:rPr>
              <w:t>903,17</w:t>
            </w:r>
          </w:p>
        </w:tc>
      </w:tr>
      <w:tr w:rsidR="00A8691C" w:rsidTr="005702AA">
        <w:trPr>
          <w:trHeight w:val="423"/>
        </w:trPr>
        <w:tc>
          <w:tcPr>
            <w:tcW w:w="6062" w:type="dxa"/>
            <w:vAlign w:val="center"/>
          </w:tcPr>
          <w:p w:rsidR="00A8691C" w:rsidRDefault="00A8691C" w:rsidP="005702AA">
            <w:pPr>
              <w:jc w:val="left"/>
            </w:pPr>
            <w:r>
              <w:t>Počet odběrných míst:</w:t>
            </w:r>
          </w:p>
        </w:tc>
        <w:tc>
          <w:tcPr>
            <w:tcW w:w="3150" w:type="dxa"/>
            <w:vAlign w:val="center"/>
          </w:tcPr>
          <w:p w:rsidR="00A8691C" w:rsidRDefault="00A8691C" w:rsidP="005702AA">
            <w:pPr>
              <w:jc w:val="right"/>
            </w:pPr>
            <w:r>
              <w:rPr>
                <w:noProof/>
              </w:rPr>
              <w:t>1</w:t>
            </w:r>
          </w:p>
        </w:tc>
      </w:tr>
      <w:tr w:rsidR="00A8691C" w:rsidTr="005702AA">
        <w:trPr>
          <w:trHeight w:val="423"/>
        </w:trPr>
        <w:tc>
          <w:tcPr>
            <w:tcW w:w="6062" w:type="dxa"/>
            <w:vAlign w:val="center"/>
          </w:tcPr>
          <w:p w:rsidR="00A8691C" w:rsidRDefault="00A8691C" w:rsidP="005702AA">
            <w:pPr>
              <w:jc w:val="left"/>
            </w:pPr>
            <w:r>
              <w:t xml:space="preserve">Technické parametry dodávky: </w:t>
            </w:r>
          </w:p>
        </w:tc>
        <w:tc>
          <w:tcPr>
            <w:tcW w:w="3150" w:type="dxa"/>
            <w:vAlign w:val="center"/>
          </w:tcPr>
          <w:p w:rsidR="00A8691C" w:rsidRDefault="00A8691C" w:rsidP="005702AA">
            <w:pPr>
              <w:jc w:val="right"/>
            </w:pPr>
            <w:r>
              <w:t>Příloha č. 1</w:t>
            </w:r>
          </w:p>
        </w:tc>
      </w:tr>
    </w:tbl>
    <w:p w:rsidR="00A8691C" w:rsidRDefault="00A8691C">
      <w:r>
        <w:br w:type="page"/>
      </w: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8691C" w:rsidTr="00125154">
        <w:trPr>
          <w:trHeight w:val="480"/>
        </w:trPr>
        <w:tc>
          <w:tcPr>
            <w:tcW w:w="9322" w:type="dxa"/>
            <w:vAlign w:val="center"/>
          </w:tcPr>
          <w:p w:rsidR="00A8691C" w:rsidRPr="000B332A" w:rsidRDefault="00A8691C" w:rsidP="0012215C">
            <w:pPr>
              <w:jc w:val="left"/>
              <w:rPr>
                <w:b/>
              </w:rPr>
            </w:pPr>
            <w:r w:rsidRPr="000B332A">
              <w:rPr>
                <w:b/>
              </w:rPr>
              <w:lastRenderedPageBreak/>
              <w:t>Platební podmínky</w:t>
            </w:r>
            <w:r>
              <w:rPr>
                <w:b/>
              </w:rPr>
              <w:t xml:space="preserve">: </w:t>
            </w:r>
          </w:p>
        </w:tc>
      </w:tr>
      <w:tr w:rsidR="00A8691C" w:rsidTr="00125154">
        <w:trPr>
          <w:trHeight w:val="423"/>
        </w:trPr>
        <w:tc>
          <w:tcPr>
            <w:tcW w:w="9322" w:type="dxa"/>
            <w:vAlign w:val="center"/>
          </w:tcPr>
          <w:p w:rsidR="00A8691C" w:rsidRPr="008A7230" w:rsidRDefault="00A8691C" w:rsidP="00125154">
            <w:pPr>
              <w:pStyle w:val="Textkomente"/>
              <w:spacing w:before="120"/>
              <w:jc w:val="both"/>
              <w:rPr>
                <w:rFonts w:ascii="Arial" w:hAnsi="Arial" w:cs="Arial"/>
                <w:bCs/>
                <w:sz w:val="22"/>
                <w:szCs w:val="22"/>
              </w:rPr>
            </w:pPr>
            <w:r w:rsidRPr="008A7230">
              <w:rPr>
                <w:rFonts w:ascii="Arial" w:hAnsi="Arial" w:cs="Arial"/>
                <w:b/>
                <w:bCs/>
                <w:sz w:val="22"/>
                <w:szCs w:val="22"/>
              </w:rPr>
              <w:t>Platební podmínky odběrných míst s ročním odběrem nad 630 MWh/rok:</w:t>
            </w:r>
          </w:p>
          <w:p w:rsidR="00A8691C" w:rsidRPr="008A7230" w:rsidRDefault="00A8691C" w:rsidP="00125154">
            <w:pPr>
              <w:pStyle w:val="Textkomente"/>
              <w:spacing w:before="120"/>
              <w:jc w:val="both"/>
              <w:rPr>
                <w:rFonts w:ascii="Arial" w:hAnsi="Arial" w:cs="Arial"/>
                <w:bCs/>
                <w:sz w:val="22"/>
                <w:szCs w:val="22"/>
              </w:rPr>
            </w:pPr>
            <w:r w:rsidRPr="008A7230">
              <w:rPr>
                <w:rFonts w:ascii="Arial" w:hAnsi="Arial" w:cs="Arial"/>
                <w:bCs/>
                <w:sz w:val="22"/>
                <w:szCs w:val="22"/>
              </w:rPr>
              <w:t>Platba za sdružené služby dodávky zemního plynu bude hrazena za každý jednotlivý kalendářní měsíc na základě písemného vyúčtování (dále jen „faktura“). Na základě platebního kalendáře bude dodavateli uhrazena maximálně jedna záloha k 15. dni v každém měsíci, a to ve výši maximálně 70% z předpokládané výše měsíční platby. Fakturu je dodavatel povinen vystavit vždy nejpozději do 15. kalendářního dne měsíce následujícího po měsíci, v němž byla dodávka zemního plynu realizována. Faktura je splatná do 30 kalendářních dní ode dne doručení. Dnem zaplacení se rozumí den odeslání platby adresátovi. Připadne-li den odeslání na den pracovního klidu, rozumí se dnem odeslání první následující pracovní den. Faktura, resp. zálohová faktura, musí mít veškeré náležitosti daňového dokladu ve smyslu zákona o dani z přidané hodnoty.</w:t>
            </w:r>
          </w:p>
          <w:p w:rsidR="00A8691C" w:rsidRPr="008A7230" w:rsidRDefault="00A8691C" w:rsidP="00125154">
            <w:pPr>
              <w:pStyle w:val="Textkomente"/>
              <w:spacing w:before="120"/>
              <w:jc w:val="both"/>
              <w:rPr>
                <w:rFonts w:ascii="Arial" w:hAnsi="Arial" w:cs="Arial"/>
                <w:sz w:val="22"/>
                <w:szCs w:val="22"/>
              </w:rPr>
            </w:pPr>
            <w:r w:rsidRPr="008A7230">
              <w:rPr>
                <w:rFonts w:ascii="Arial" w:hAnsi="Arial" w:cs="Arial"/>
                <w:b/>
                <w:sz w:val="22"/>
                <w:szCs w:val="22"/>
              </w:rPr>
              <w:t>Platební podmínky odběrných míst s ročním odběrem pod 630 MWh/rok:</w:t>
            </w:r>
          </w:p>
          <w:p w:rsidR="00A8691C" w:rsidRPr="008A7230" w:rsidRDefault="00A8691C" w:rsidP="00125154">
            <w:pPr>
              <w:pStyle w:val="Textkomente"/>
              <w:spacing w:before="120"/>
              <w:jc w:val="both"/>
              <w:rPr>
                <w:rFonts w:ascii="Arial" w:hAnsi="Arial" w:cs="Arial"/>
                <w:sz w:val="22"/>
                <w:szCs w:val="22"/>
              </w:rPr>
            </w:pPr>
            <w:r w:rsidRPr="008A7230">
              <w:rPr>
                <w:rFonts w:ascii="Arial" w:hAnsi="Arial" w:cs="Arial"/>
                <w:sz w:val="22"/>
                <w:szCs w:val="22"/>
              </w:rPr>
              <w:t>Cena za sdružené služby dodávky zemního plynu bude hrazena v režimu dle návrhu dodavatele s tím, že dodavatel je povinen provést celkové vyúčtování služeb a dodávek (s</w:t>
            </w:r>
            <w:r>
              <w:rPr>
                <w:rFonts w:ascii="Arial" w:hAnsi="Arial" w:cs="Arial"/>
                <w:sz w:val="22"/>
                <w:szCs w:val="22"/>
              </w:rPr>
              <w:t> </w:t>
            </w:r>
            <w:r w:rsidRPr="008A7230">
              <w:rPr>
                <w:rFonts w:ascii="Arial" w:hAnsi="Arial" w:cs="Arial"/>
                <w:sz w:val="22"/>
                <w:szCs w:val="22"/>
              </w:rPr>
              <w:t>vyúčtováním přeplatku a či nedoplatku) zájemci ve formě tzv. zúčtovací faktury nejpozději do 15. kalendářních dnů po ukončení zúčtovacího období, popř. po ukončení trvání smluvního vztahu, přičemž lhůta splatnosti pro úhradu přeplatku zájemci bude max. 30 kalendářních dnů ode dne doručení zúčtovací faktury.</w:t>
            </w:r>
          </w:p>
          <w:p w:rsidR="00A8691C" w:rsidRDefault="00A8691C" w:rsidP="00125154">
            <w:pPr>
              <w:pStyle w:val="Textkomente"/>
              <w:spacing w:before="120"/>
              <w:jc w:val="both"/>
              <w:rPr>
                <w:rFonts w:ascii="Arial" w:hAnsi="Arial" w:cs="Arial"/>
                <w:sz w:val="22"/>
                <w:szCs w:val="22"/>
              </w:rPr>
            </w:pPr>
            <w:r w:rsidRPr="008A7230">
              <w:rPr>
                <w:rFonts w:ascii="Arial" w:hAnsi="Arial" w:cs="Arial"/>
                <w:sz w:val="22"/>
                <w:szCs w:val="22"/>
              </w:rPr>
              <w:t xml:space="preserve">Dodavatel bude vystavovat </w:t>
            </w:r>
            <w:r>
              <w:rPr>
                <w:rFonts w:ascii="Arial" w:hAnsi="Arial" w:cs="Arial"/>
                <w:sz w:val="22"/>
                <w:szCs w:val="22"/>
              </w:rPr>
              <w:t>odběrateli</w:t>
            </w:r>
            <w:r w:rsidRPr="008A7230">
              <w:rPr>
                <w:rFonts w:ascii="Arial" w:hAnsi="Arial" w:cs="Arial"/>
                <w:sz w:val="22"/>
                <w:szCs w:val="22"/>
              </w:rPr>
              <w:t xml:space="preserve"> souhrnnou fakturu i předpis zálohových plateb za všechna odběrná místa s přiloženým vyúčtováním jednotlivých odběrných míst.</w:t>
            </w:r>
          </w:p>
          <w:p w:rsidR="00A8691C" w:rsidRPr="004679DE" w:rsidRDefault="00A8691C" w:rsidP="00125154">
            <w:pPr>
              <w:pStyle w:val="Textkomente"/>
              <w:spacing w:before="120"/>
              <w:jc w:val="both"/>
              <w:rPr>
                <w:rFonts w:ascii="Arial" w:hAnsi="Arial" w:cs="Arial"/>
                <w:sz w:val="22"/>
                <w:szCs w:val="22"/>
              </w:rPr>
            </w:pPr>
            <w:r>
              <w:rPr>
                <w:rFonts w:ascii="Arial" w:hAnsi="Arial" w:cs="Arial"/>
                <w:sz w:val="22"/>
                <w:szCs w:val="22"/>
              </w:rPr>
              <w:t>Odběratel</w:t>
            </w:r>
            <w:r w:rsidRPr="004679DE">
              <w:rPr>
                <w:rFonts w:ascii="Arial" w:hAnsi="Arial" w:cs="Arial"/>
                <w:sz w:val="22"/>
                <w:szCs w:val="22"/>
              </w:rPr>
              <w:t xml:space="preserve"> může požadovat a dodavatel se pro tento případ zavazuje zasílat veškerá vyúčtování a fakturaci formou elektronických prostředků.</w:t>
            </w:r>
          </w:p>
          <w:p w:rsidR="00A8691C" w:rsidRPr="004679DE" w:rsidRDefault="00A8691C" w:rsidP="00125154">
            <w:pPr>
              <w:pStyle w:val="Textkomente"/>
              <w:spacing w:before="120"/>
              <w:jc w:val="both"/>
              <w:rPr>
                <w:rFonts w:ascii="Arial" w:hAnsi="Arial" w:cs="Arial"/>
                <w:sz w:val="22"/>
                <w:szCs w:val="22"/>
              </w:rPr>
            </w:pPr>
            <w:r w:rsidRPr="004679DE">
              <w:rPr>
                <w:rFonts w:ascii="Arial" w:hAnsi="Arial" w:cs="Arial"/>
                <w:sz w:val="22"/>
                <w:szCs w:val="22"/>
              </w:rPr>
              <w:t>V případech zrušení odběrného místa, zejména z důvodu převodu vlastnických práv k</w:t>
            </w:r>
            <w:r>
              <w:rPr>
                <w:rFonts w:ascii="Arial" w:hAnsi="Arial" w:cs="Arial"/>
                <w:sz w:val="22"/>
                <w:szCs w:val="22"/>
              </w:rPr>
              <w:t> </w:t>
            </w:r>
            <w:r w:rsidRPr="004679DE">
              <w:rPr>
                <w:rFonts w:ascii="Arial" w:hAnsi="Arial" w:cs="Arial"/>
                <w:sz w:val="22"/>
                <w:szCs w:val="22"/>
              </w:rPr>
              <w:t xml:space="preserve">odběrnému místu, odstranění odběrného místa, demolice, zničení živelnou pohromou, je </w:t>
            </w:r>
            <w:r>
              <w:rPr>
                <w:rFonts w:ascii="Arial" w:hAnsi="Arial" w:cs="Arial"/>
                <w:sz w:val="22"/>
                <w:szCs w:val="22"/>
              </w:rPr>
              <w:t>odběratel</w:t>
            </w:r>
            <w:r w:rsidRPr="004679DE">
              <w:rPr>
                <w:rFonts w:ascii="Arial" w:hAnsi="Arial" w:cs="Arial"/>
                <w:sz w:val="22"/>
                <w:szCs w:val="22"/>
              </w:rPr>
              <w:t xml:space="preserve"> oprávněn ukončit smluvní vztah s dodavatelem k danému odběrnému místu nejpozději do 30 dnů ode dne oznámení dodavateli o zrušení odběrného místa, a to bez nároku na finanční kompenzaci ze strany dodavatele.</w:t>
            </w:r>
          </w:p>
          <w:p w:rsidR="00A8691C" w:rsidRPr="004679DE" w:rsidRDefault="00A8691C" w:rsidP="00125154">
            <w:pPr>
              <w:pStyle w:val="Textkomente"/>
              <w:spacing w:before="120"/>
              <w:jc w:val="both"/>
              <w:rPr>
                <w:rFonts w:ascii="Arial" w:hAnsi="Arial" w:cs="Arial"/>
                <w:sz w:val="22"/>
                <w:szCs w:val="22"/>
              </w:rPr>
            </w:pPr>
            <w:r w:rsidRPr="004679DE">
              <w:rPr>
                <w:rFonts w:ascii="Arial" w:hAnsi="Arial" w:cs="Arial"/>
                <w:sz w:val="22"/>
                <w:szCs w:val="22"/>
              </w:rPr>
              <w:t xml:space="preserve">Z důvodu provozních potřeb se může v průběhu smluvního období počet měřících nebo odběrných míst </w:t>
            </w:r>
            <w:r>
              <w:rPr>
                <w:rFonts w:ascii="Arial" w:hAnsi="Arial" w:cs="Arial"/>
                <w:sz w:val="22"/>
                <w:szCs w:val="22"/>
              </w:rPr>
              <w:t>odběratele</w:t>
            </w:r>
            <w:r w:rsidRPr="004679DE">
              <w:rPr>
                <w:rFonts w:ascii="Arial" w:hAnsi="Arial" w:cs="Arial"/>
                <w:sz w:val="22"/>
                <w:szCs w:val="22"/>
              </w:rPr>
              <w:t xml:space="preserve"> změnit,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rsidR="00A8691C" w:rsidRDefault="00A8691C" w:rsidP="00125154">
            <w:pPr>
              <w:pStyle w:val="Textkomente"/>
              <w:spacing w:before="120"/>
              <w:jc w:val="both"/>
              <w:rPr>
                <w:rFonts w:ascii="Arial" w:hAnsi="Arial" w:cs="Arial"/>
                <w:sz w:val="22"/>
                <w:szCs w:val="22"/>
              </w:rPr>
            </w:pPr>
            <w:r w:rsidRPr="004679DE">
              <w:rPr>
                <w:rFonts w:ascii="Arial" w:hAnsi="Arial" w:cs="Arial"/>
                <w:sz w:val="22"/>
                <w:szCs w:val="22"/>
              </w:rPr>
              <w:t>Dodavatel si nebude nárokovat jakékoli sankce za překročení či neodebrání předpokládaného množství odběru zemního plynu. Sankcí se rozumí rovněž navýšení smluvní ceny sjednané v dodavatelské smlouvě (závěrkovém listu) na základě výsledku elektronického burzovního systému.</w:t>
            </w:r>
          </w:p>
          <w:p w:rsidR="00A8691C" w:rsidRPr="000B332A" w:rsidRDefault="00A8691C" w:rsidP="00125154">
            <w:pPr>
              <w:pStyle w:val="Odstavecseseznamem"/>
              <w:ind w:left="0"/>
            </w:pPr>
            <w:r>
              <w:rPr>
                <w:rFonts w:cs="Arial"/>
              </w:rPr>
              <w:t>Dodavatel se zavazuje jménem a na účet odběratele učinit veškeré potřebné právní kroky vedoucí k ukončení všech stávajících smluvních vztahů týkajících se dodávek zemního plynu do odběrných míst, a to tak, aby odběr zemního plynu od stávajícího dodavatele skončil dle Přílohy č. 1. Pokynu k obchodování. Podmínkou splnění povinnosti uvedené v tomto ustanovení je vystavení písemného zplnomocnění odběratelem, a to neprodleně po podpisu obdržení závěrkového listu.</w:t>
            </w:r>
          </w:p>
        </w:tc>
      </w:tr>
    </w:tbl>
    <w:p w:rsidR="00A8691C" w:rsidRPr="009D5F44" w:rsidRDefault="00A8691C" w:rsidP="00342872">
      <w:pPr>
        <w:pStyle w:val="Nadpis2"/>
        <w:spacing w:before="200"/>
      </w:pPr>
      <w:r>
        <w:t>Závěrečná</w:t>
      </w:r>
      <w:r w:rsidRPr="009D5F44">
        <w:t xml:space="preserve"> ujednání</w:t>
      </w:r>
    </w:p>
    <w:p w:rsidR="00A8691C" w:rsidRPr="009D5F44" w:rsidRDefault="00A8691C" w:rsidP="00A8691C">
      <w:pPr>
        <w:pStyle w:val="slovanodstavec"/>
        <w:numPr>
          <w:ilvl w:val="0"/>
          <w:numId w:val="4"/>
        </w:numPr>
      </w:pPr>
      <w:r w:rsidRPr="009D5F44">
        <w:t>Závěrkový list je Smlouvou o sdružených službách dodávky zemního plynu mezi držitelem licence na obchod s plynem (Dodavatelem) a oprávněným</w:t>
      </w:r>
      <w:r>
        <w:t xml:space="preserve"> </w:t>
      </w:r>
      <w:r w:rsidRPr="009D5F44">
        <w:t xml:space="preserve">zákazníkem (Odběratelem), uzavřenou podle zákona č. </w:t>
      </w:r>
      <w:r>
        <w:t>89/2012</w:t>
      </w:r>
      <w:r w:rsidRPr="009D5F44">
        <w:t xml:space="preserve"> Sb., Ob</w:t>
      </w:r>
      <w:r>
        <w:t>čanský</w:t>
      </w:r>
      <w:r w:rsidRPr="009D5F44">
        <w:t xml:space="preserve"> zákoník v</w:t>
      </w:r>
      <w:r>
        <w:t> </w:t>
      </w:r>
      <w:r w:rsidRPr="009D5F44">
        <w:t xml:space="preserve">platném </w:t>
      </w:r>
      <w:r w:rsidRPr="009D5F44">
        <w:lastRenderedPageBreak/>
        <w:t>znění, zákona č. 458/2000 Sb., o podmínkách</w:t>
      </w:r>
      <w:r>
        <w:t xml:space="preserve"> </w:t>
      </w:r>
      <w:r w:rsidRPr="009D5F44">
        <w:t>podnikání a o výkonu státní správy v</w:t>
      </w:r>
      <w:r w:rsidR="00507A0B">
        <w:t> </w:t>
      </w:r>
      <w:r w:rsidRPr="009D5F44">
        <w:t>energetických odvětvích v platném znění (Energetický zákon) a příslušných souvisejících právních předpisů.</w:t>
      </w:r>
    </w:p>
    <w:p w:rsidR="00A8691C" w:rsidRPr="009D5F44" w:rsidRDefault="00A8691C" w:rsidP="00A8691C">
      <w:pPr>
        <w:pStyle w:val="slovanodstavec"/>
        <w:numPr>
          <w:ilvl w:val="0"/>
          <w:numId w:val="4"/>
        </w:numPr>
      </w:pPr>
      <w:r w:rsidRPr="009D5F44">
        <w:t>Uzavřením burzovního obchodu (závěrkového listu) se v termínu od prvního plynárenského dn</w:t>
      </w:r>
      <w:r>
        <w:t>e,</w:t>
      </w:r>
      <w:r w:rsidRPr="009D5F44">
        <w:t xml:space="preserve"> burzovním obchodem sjednaného období dodávky</w:t>
      </w:r>
      <w:r>
        <w:t xml:space="preserve"> </w:t>
      </w:r>
      <w:r w:rsidRPr="009D5F44">
        <w:t>plynu do posledního plynárenského dne</w:t>
      </w:r>
      <w:r>
        <w:t>,</w:t>
      </w:r>
      <w:r w:rsidRPr="009D5F44">
        <w:t xml:space="preserve"> burzovním obchodem sjednaného období dodávky plynu do odběrného místa</w:t>
      </w:r>
      <w:r>
        <w:t>,</w:t>
      </w:r>
      <w:r w:rsidRPr="009D5F44">
        <w:t xml:space="preserve"> ruší všechny smluvní vztahy</w:t>
      </w:r>
      <w:r>
        <w:t xml:space="preserve"> </w:t>
      </w:r>
      <w:r w:rsidRPr="009D5F44">
        <w:t xml:space="preserve">související s dodávkou plynu do tohoto odběrného místa, které byly uzavřeny mezi Dodavatelem a </w:t>
      </w:r>
      <w:r>
        <w:t>Odběratelem</w:t>
      </w:r>
      <w:r w:rsidRPr="009D5F44">
        <w:t xml:space="preserve"> nebo jejich právními předchůdci před</w:t>
      </w:r>
      <w:r>
        <w:t xml:space="preserve"> </w:t>
      </w:r>
      <w:r w:rsidRPr="009D5F44">
        <w:t>uzavřením burzovního obchodu.</w:t>
      </w:r>
    </w:p>
    <w:p w:rsidR="00A8691C" w:rsidRPr="004C649F" w:rsidRDefault="00A8691C" w:rsidP="00A8691C">
      <w:pPr>
        <w:pStyle w:val="slovanodstavec"/>
        <w:numPr>
          <w:ilvl w:val="0"/>
          <w:numId w:val="4"/>
        </w:numPr>
      </w:pPr>
      <w:r w:rsidRPr="004C649F">
        <w:t xml:space="preserve">Po ukončení </w:t>
      </w:r>
      <w:r>
        <w:t>aukce se vytvoří z obchodního</w:t>
      </w:r>
      <w:r w:rsidRPr="004C649F">
        <w:t xml:space="preserve"> systému Komoditní burzy Praha kompletní závěrkové listy, které jsou následně potvrzeny podpisy makléřů a místopředsedy Komoditní burzy Praha. Takto vystavené závěrkové listy jsou platné i bez podpisu Odběratele a Dodavatele.</w:t>
      </w:r>
    </w:p>
    <w:p w:rsidR="00A8691C" w:rsidRPr="009D5F44" w:rsidRDefault="00A8691C" w:rsidP="00A8691C">
      <w:pPr>
        <w:pStyle w:val="slovanodstavec"/>
        <w:numPr>
          <w:ilvl w:val="0"/>
          <w:numId w:val="4"/>
        </w:numPr>
      </w:pPr>
      <w:r w:rsidRPr="009D5F44">
        <w:t>Pokud by se jakékoliv ustanovení závěrkového listu dostalo do rozporu s platným právním řádem České republiky či mezinárodní smlouvu, kterou je</w:t>
      </w:r>
      <w:r>
        <w:t xml:space="preserve"> </w:t>
      </w:r>
      <w:r w:rsidRPr="009D5F44">
        <w:t>Česká republika vázána, bude takovéto ustanovení automaticky považováno za neplatné a bude postupováno dle aktuální právní úpravy. Tato</w:t>
      </w:r>
      <w:r>
        <w:t xml:space="preserve"> </w:t>
      </w:r>
      <w:r w:rsidRPr="009D5F44">
        <w:t>skutečnost nemá vliv na platnost a</w:t>
      </w:r>
      <w:r>
        <w:t> </w:t>
      </w:r>
      <w:r w:rsidRPr="009D5F44">
        <w:t>účinnost ostatních ustanovení závěrkového listu.</w:t>
      </w:r>
    </w:p>
    <w:p w:rsidR="00A8691C" w:rsidRDefault="00A8691C" w:rsidP="00A8691C">
      <w:pPr>
        <w:pStyle w:val="slovanodstavec"/>
        <w:numPr>
          <w:ilvl w:val="0"/>
          <w:numId w:val="4"/>
        </w:numPr>
      </w:pPr>
      <w:r w:rsidRPr="009D5F44">
        <w:t>Každá smluvní strana je oprávněna převádět práva a povinnosti vyplývající ze</w:t>
      </w:r>
      <w:r>
        <w:t> </w:t>
      </w:r>
      <w:r w:rsidRPr="009D5F44">
        <w:t>Smlouvy na třetí osobu pouze s písemným předchozím souhlasem druhé</w:t>
      </w:r>
      <w:r>
        <w:t xml:space="preserve"> </w:t>
      </w:r>
      <w:r w:rsidRPr="009D5F44">
        <w:t>smluvní strany.</w:t>
      </w:r>
    </w:p>
    <w:p w:rsidR="00A8691C" w:rsidRDefault="00A8691C" w:rsidP="007C1B1D">
      <w:pPr>
        <w:pStyle w:val="slovanodstavec"/>
        <w:numPr>
          <w:ilvl w:val="0"/>
          <w:numId w:val="0"/>
        </w:numPr>
        <w:ind w:left="360"/>
      </w:pPr>
      <w:r>
        <w:t>Součástí závěrkového listu jsou i tyto přílohy:</w:t>
      </w:r>
    </w:p>
    <w:p w:rsidR="00A8691C" w:rsidRDefault="00A8691C" w:rsidP="007C1B1D">
      <w:pPr>
        <w:pStyle w:val="Zkladntext3"/>
        <w:spacing w:after="0"/>
        <w:ind w:left="425"/>
        <w:rPr>
          <w:rFonts w:ascii="Arial" w:hAnsi="Arial" w:cs="Arial"/>
          <w:sz w:val="22"/>
          <w:szCs w:val="22"/>
        </w:rPr>
      </w:pPr>
      <w:r w:rsidRPr="00C51721">
        <w:rPr>
          <w:rFonts w:ascii="Arial" w:hAnsi="Arial" w:cs="Arial"/>
          <w:sz w:val="22"/>
          <w:szCs w:val="22"/>
        </w:rPr>
        <w:t>Příloha č. 1</w:t>
      </w:r>
      <w:r>
        <w:rPr>
          <w:rFonts w:ascii="Arial" w:hAnsi="Arial" w:cs="Arial"/>
          <w:sz w:val="22"/>
          <w:szCs w:val="22"/>
        </w:rPr>
        <w:t>:</w:t>
      </w:r>
      <w:r>
        <w:rPr>
          <w:rFonts w:ascii="Arial" w:hAnsi="Arial" w:cs="Arial"/>
          <w:sz w:val="22"/>
          <w:szCs w:val="22"/>
        </w:rPr>
        <w:tab/>
        <w:t>Specifikace odběrných míst.</w:t>
      </w:r>
    </w:p>
    <w:p w:rsidR="00A8691C" w:rsidRPr="00C51721" w:rsidRDefault="00A8691C" w:rsidP="007C1B1D">
      <w:pPr>
        <w:pStyle w:val="Zkladntext3"/>
        <w:spacing w:after="0"/>
        <w:ind w:left="426"/>
        <w:rPr>
          <w:rFonts w:ascii="Arial" w:hAnsi="Arial" w:cs="Arial"/>
          <w:sz w:val="22"/>
          <w:szCs w:val="22"/>
        </w:rPr>
      </w:pPr>
      <w:r w:rsidRPr="00C51721">
        <w:rPr>
          <w:rFonts w:ascii="Arial" w:hAnsi="Arial" w:cs="Arial"/>
          <w:sz w:val="22"/>
          <w:szCs w:val="22"/>
        </w:rPr>
        <w:t>Příloha č. 2</w:t>
      </w:r>
      <w:r w:rsidRPr="00C51721">
        <w:rPr>
          <w:rFonts w:ascii="Arial" w:hAnsi="Arial" w:cs="Arial"/>
          <w:sz w:val="22"/>
          <w:szCs w:val="22"/>
        </w:rPr>
        <w:tab/>
      </w:r>
      <w:r>
        <w:rPr>
          <w:rFonts w:ascii="Arial" w:hAnsi="Arial" w:cs="Arial"/>
          <w:sz w:val="22"/>
          <w:szCs w:val="22"/>
        </w:rPr>
        <w:t>Jednotkové ceny komodit</w:t>
      </w:r>
    </w:p>
    <w:p w:rsidR="00A8691C" w:rsidRDefault="00A8691C" w:rsidP="004511F5">
      <w:pPr>
        <w:spacing w:after="0"/>
        <w:ind w:left="426"/>
        <w:rPr>
          <w:rFonts w:cs="Arial"/>
        </w:rPr>
      </w:pPr>
      <w:r>
        <w:rPr>
          <w:rFonts w:cs="Arial"/>
        </w:rPr>
        <w:t>Příloha č. 3:</w:t>
      </w:r>
      <w:r>
        <w:rPr>
          <w:rFonts w:cs="Arial"/>
        </w:rPr>
        <w:tab/>
        <w:t xml:space="preserve">Uzance průmyslových komodit uvedená na </w:t>
      </w:r>
    </w:p>
    <w:p w:rsidR="00A8691C" w:rsidRDefault="00A8691C" w:rsidP="004511F5">
      <w:pPr>
        <w:spacing w:after="0"/>
        <w:ind w:left="426"/>
        <w:rPr>
          <w:rFonts w:cs="Arial"/>
        </w:rPr>
      </w:pPr>
      <w:r>
        <w:rPr>
          <w:rFonts w:cs="Arial"/>
        </w:rPr>
        <w:tab/>
      </w:r>
      <w:r>
        <w:rPr>
          <w:rFonts w:cs="Arial"/>
        </w:rPr>
        <w:tab/>
      </w:r>
      <w:r>
        <w:rPr>
          <w:rFonts w:cs="Arial"/>
        </w:rPr>
        <w:tab/>
      </w:r>
      <w:hyperlink r:id="rId8" w:history="1">
        <w:r w:rsidRPr="00BC38DA">
          <w:rPr>
            <w:rStyle w:val="Hypertextovodkaz"/>
            <w:rFonts w:cs="Arial"/>
          </w:rPr>
          <w:t>http://www.kbp.cz/index.php/prumyslove-komodity</w:t>
        </w:r>
      </w:hyperlink>
    </w:p>
    <w:p w:rsidR="00A8691C" w:rsidRPr="009D5F44" w:rsidRDefault="00A8691C" w:rsidP="007C1B1D">
      <w:pPr>
        <w:pStyle w:val="slovanodstavec"/>
        <w:numPr>
          <w:ilvl w:val="0"/>
          <w:numId w:val="0"/>
        </w:numPr>
        <w:ind w:left="360"/>
      </w:pPr>
    </w:p>
    <w:p w:rsidR="00A8691C" w:rsidRDefault="00A8691C" w:rsidP="00E23A21">
      <w:pPr>
        <w:spacing w:before="360"/>
      </w:pPr>
      <w:r w:rsidRPr="009D5F44">
        <w:t>V</w:t>
      </w:r>
      <w:r>
        <w:t> Ostravě,</w:t>
      </w:r>
      <w:r w:rsidRPr="009D5F44">
        <w:t xml:space="preserve"> dne: </w:t>
      </w:r>
      <w:r>
        <w:t>7. 3. 2018</w:t>
      </w:r>
    </w:p>
    <w:p w:rsidR="00A8691C" w:rsidRDefault="00A8691C" w:rsidP="00B43340"/>
    <w:p w:rsidR="00A8691C" w:rsidRDefault="00A8691C" w:rsidP="00B43340"/>
    <w:p w:rsidR="00A8691C" w:rsidRDefault="00A8691C" w:rsidP="00B4334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535"/>
        <w:gridCol w:w="978"/>
        <w:gridCol w:w="1538"/>
        <w:gridCol w:w="2539"/>
      </w:tblGrid>
      <w:tr w:rsidR="00A8691C" w:rsidTr="00E23A21">
        <w:tc>
          <w:tcPr>
            <w:tcW w:w="4077" w:type="dxa"/>
            <w:gridSpan w:val="2"/>
            <w:tcBorders>
              <w:top w:val="single" w:sz="4" w:space="0" w:color="1F497D" w:themeColor="text2"/>
            </w:tcBorders>
          </w:tcPr>
          <w:p w:rsidR="00A8691C" w:rsidRDefault="00A8691C" w:rsidP="00E23A21">
            <w:pPr>
              <w:jc w:val="center"/>
            </w:pPr>
            <w:r>
              <w:t>Jan Václavek</w:t>
            </w:r>
          </w:p>
          <w:p w:rsidR="00A8691C" w:rsidRDefault="00A8691C" w:rsidP="00E23A21">
            <w:pPr>
              <w:jc w:val="center"/>
            </w:pPr>
            <w:r>
              <w:t>makléř dodavatele</w:t>
            </w:r>
          </w:p>
        </w:tc>
        <w:tc>
          <w:tcPr>
            <w:tcW w:w="993" w:type="dxa"/>
          </w:tcPr>
          <w:p w:rsidR="00A8691C" w:rsidRDefault="00A8691C" w:rsidP="00E23A21">
            <w:pPr>
              <w:jc w:val="center"/>
            </w:pPr>
          </w:p>
        </w:tc>
        <w:tc>
          <w:tcPr>
            <w:tcW w:w="4142" w:type="dxa"/>
            <w:gridSpan w:val="2"/>
            <w:tcBorders>
              <w:top w:val="single" w:sz="4" w:space="0" w:color="1F497D" w:themeColor="text2"/>
            </w:tcBorders>
          </w:tcPr>
          <w:p w:rsidR="00A8691C" w:rsidRDefault="00A8691C" w:rsidP="00E23A21">
            <w:pPr>
              <w:jc w:val="center"/>
            </w:pPr>
            <w:r>
              <w:t>Zdeněk Svoboda</w:t>
            </w:r>
          </w:p>
          <w:p w:rsidR="00A8691C" w:rsidRDefault="00A8691C" w:rsidP="00E23A21">
            <w:pPr>
              <w:jc w:val="center"/>
            </w:pPr>
            <w:r>
              <w:t>makléř odběratele</w:t>
            </w:r>
          </w:p>
        </w:tc>
      </w:tr>
      <w:tr w:rsidR="00A8691C" w:rsidTr="0012215C">
        <w:trPr>
          <w:trHeight w:val="1150"/>
        </w:trPr>
        <w:tc>
          <w:tcPr>
            <w:tcW w:w="4077" w:type="dxa"/>
            <w:gridSpan w:val="2"/>
          </w:tcPr>
          <w:p w:rsidR="00A8691C" w:rsidRDefault="00A8691C" w:rsidP="00E23A21">
            <w:pPr>
              <w:jc w:val="center"/>
            </w:pPr>
          </w:p>
        </w:tc>
        <w:tc>
          <w:tcPr>
            <w:tcW w:w="993" w:type="dxa"/>
          </w:tcPr>
          <w:p w:rsidR="00A8691C" w:rsidRDefault="00A8691C" w:rsidP="00E23A21">
            <w:pPr>
              <w:jc w:val="center"/>
            </w:pPr>
          </w:p>
        </w:tc>
        <w:tc>
          <w:tcPr>
            <w:tcW w:w="4142" w:type="dxa"/>
            <w:gridSpan w:val="2"/>
          </w:tcPr>
          <w:p w:rsidR="00A8691C" w:rsidRDefault="00A8691C" w:rsidP="00E23A21">
            <w:pPr>
              <w:jc w:val="center"/>
            </w:pPr>
          </w:p>
        </w:tc>
      </w:tr>
      <w:tr w:rsidR="00A8691C" w:rsidTr="00E23A21">
        <w:tc>
          <w:tcPr>
            <w:tcW w:w="2518" w:type="dxa"/>
          </w:tcPr>
          <w:p w:rsidR="00A8691C" w:rsidRDefault="00A8691C" w:rsidP="00E23A21">
            <w:pPr>
              <w:jc w:val="center"/>
            </w:pPr>
          </w:p>
        </w:tc>
        <w:tc>
          <w:tcPr>
            <w:tcW w:w="4111" w:type="dxa"/>
            <w:gridSpan w:val="3"/>
            <w:tcBorders>
              <w:top w:val="single" w:sz="4" w:space="0" w:color="1F497D" w:themeColor="text2"/>
            </w:tcBorders>
          </w:tcPr>
          <w:p w:rsidR="00A8691C" w:rsidRDefault="00A8691C" w:rsidP="00B506F3">
            <w:pPr>
              <w:jc w:val="center"/>
            </w:pPr>
            <w:r>
              <w:t>Vítězslav Grygar</w:t>
            </w:r>
          </w:p>
          <w:p w:rsidR="00A8691C" w:rsidRDefault="00A8691C" w:rsidP="00E23A21">
            <w:pPr>
              <w:jc w:val="center"/>
            </w:pPr>
            <w:r>
              <w:t>místopředseda Komoditní burzy Praha</w:t>
            </w:r>
          </w:p>
        </w:tc>
        <w:tc>
          <w:tcPr>
            <w:tcW w:w="2583" w:type="dxa"/>
          </w:tcPr>
          <w:p w:rsidR="00A8691C" w:rsidRDefault="00A8691C" w:rsidP="00E23A21">
            <w:pPr>
              <w:jc w:val="center"/>
            </w:pPr>
          </w:p>
        </w:tc>
      </w:tr>
    </w:tbl>
    <w:p w:rsidR="00A8691C" w:rsidRDefault="00A8691C" w:rsidP="00E23A21"/>
    <w:p w:rsidR="00A8691C" w:rsidRDefault="00A8691C" w:rsidP="00E23A21">
      <w:pPr>
        <w:sectPr w:rsidR="00A8691C" w:rsidSect="00A8691C">
          <w:headerReference w:type="default" r:id="rId9"/>
          <w:footerReference w:type="default" r:id="rId10"/>
          <w:pgSz w:w="11906" w:h="16838"/>
          <w:pgMar w:top="1417" w:right="1417" w:bottom="1417" w:left="1417" w:header="708" w:footer="708" w:gutter="0"/>
          <w:pgNumType w:start="1"/>
          <w:cols w:space="708"/>
          <w:docGrid w:linePitch="360"/>
        </w:sectPr>
      </w:pPr>
    </w:p>
    <w:p w:rsidR="00A8691C" w:rsidRDefault="00A8691C" w:rsidP="001D21D8">
      <w:pPr>
        <w:pStyle w:val="Nadpis1"/>
      </w:pPr>
      <w:r>
        <w:lastRenderedPageBreak/>
        <w:t>jednotkové ceny komodity</w:t>
      </w:r>
    </w:p>
    <w:tbl>
      <w:tblPr>
        <w:tblStyle w:val="Mkatabulky"/>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02"/>
      </w:tblGrid>
      <w:tr w:rsidR="00A8691C" w:rsidRPr="00B770EF" w:rsidTr="0011776E">
        <w:trPr>
          <w:trHeight w:val="345"/>
        </w:trPr>
        <w:tc>
          <w:tcPr>
            <w:tcW w:w="3510" w:type="dxa"/>
            <w:vAlign w:val="center"/>
          </w:tcPr>
          <w:p w:rsidR="00A8691C" w:rsidRPr="00B770EF" w:rsidRDefault="00A8691C" w:rsidP="00D1201B">
            <w:pPr>
              <w:jc w:val="left"/>
            </w:pPr>
            <w:r w:rsidRPr="00B770EF">
              <w:t>Číslo závěrkového listu:</w:t>
            </w:r>
          </w:p>
        </w:tc>
        <w:tc>
          <w:tcPr>
            <w:tcW w:w="5702" w:type="dxa"/>
            <w:vAlign w:val="center"/>
          </w:tcPr>
          <w:p w:rsidR="00A8691C" w:rsidRDefault="00A8691C" w:rsidP="0011776E">
            <w:pPr>
              <w:jc w:val="left"/>
            </w:pPr>
            <w:r>
              <w:rPr>
                <w:noProof/>
              </w:rPr>
              <w:t>2018002</w:t>
            </w:r>
            <w:r>
              <w:t>-</w:t>
            </w:r>
            <w:r>
              <w:rPr>
                <w:noProof/>
              </w:rPr>
              <w:t>17</w:t>
            </w:r>
          </w:p>
        </w:tc>
      </w:tr>
      <w:tr w:rsidR="00DC7136" w:rsidRPr="00B770EF" w:rsidTr="00923F79">
        <w:trPr>
          <w:trHeight w:val="345"/>
        </w:trPr>
        <w:tc>
          <w:tcPr>
            <w:tcW w:w="3510" w:type="dxa"/>
            <w:vAlign w:val="center"/>
          </w:tcPr>
          <w:p w:rsidR="00DC7136" w:rsidRPr="00B770EF" w:rsidRDefault="00DC7136" w:rsidP="00DC7136">
            <w:pPr>
              <w:jc w:val="left"/>
            </w:pPr>
            <w:r w:rsidRPr="00B770EF">
              <w:t>Číslo aukce:</w:t>
            </w:r>
          </w:p>
        </w:tc>
        <w:tc>
          <w:tcPr>
            <w:tcW w:w="5702" w:type="dxa"/>
          </w:tcPr>
          <w:p w:rsidR="00DC7136" w:rsidRDefault="00DC7136" w:rsidP="00DC7136">
            <w:r>
              <w:rPr>
                <w:noProof/>
              </w:rPr>
              <w:t>ZP180001</w:t>
            </w:r>
          </w:p>
        </w:tc>
      </w:tr>
      <w:tr w:rsidR="00DC7136" w:rsidRPr="00B770EF" w:rsidTr="00923F79">
        <w:trPr>
          <w:trHeight w:val="345"/>
        </w:trPr>
        <w:tc>
          <w:tcPr>
            <w:tcW w:w="3510" w:type="dxa"/>
            <w:vAlign w:val="center"/>
          </w:tcPr>
          <w:p w:rsidR="00DC7136" w:rsidRPr="00B770EF" w:rsidRDefault="00DC7136" w:rsidP="00DC7136">
            <w:pPr>
              <w:jc w:val="left"/>
            </w:pPr>
            <w:r w:rsidRPr="00B770EF">
              <w:t>Datum burzovního shromáždění:</w:t>
            </w:r>
          </w:p>
        </w:tc>
        <w:tc>
          <w:tcPr>
            <w:tcW w:w="5702" w:type="dxa"/>
          </w:tcPr>
          <w:p w:rsidR="00DC7136" w:rsidRDefault="00DC7136" w:rsidP="00DC7136">
            <w:r>
              <w:rPr>
                <w:noProof/>
              </w:rPr>
              <w:t>7. 3. 2018</w:t>
            </w:r>
          </w:p>
        </w:tc>
      </w:tr>
    </w:tbl>
    <w:p w:rsidR="00A8691C" w:rsidRDefault="00A8691C" w:rsidP="001D21D8"/>
    <w:p w:rsidR="00A8691C" w:rsidRDefault="00A8691C" w:rsidP="001D21D8">
      <w:r w:rsidRPr="00B770EF">
        <w:rPr>
          <w:b/>
        </w:rPr>
        <w:t xml:space="preserve">Sdružené služby dodávky zemního plynu do odběrných míst </w:t>
      </w:r>
    </w:p>
    <w:p w:rsidR="00A8691C" w:rsidRPr="001D21D8" w:rsidRDefault="00A8691C" w:rsidP="001D21D8"/>
    <w:tbl>
      <w:tblPr>
        <w:tblStyle w:val="Svtlstnovnzvraznn1"/>
        <w:tblW w:w="0" w:type="auto"/>
        <w:tblLook w:val="04A0" w:firstRow="1" w:lastRow="0" w:firstColumn="1" w:lastColumn="0" w:noHBand="0" w:noVBand="1"/>
      </w:tblPr>
      <w:tblGrid>
        <w:gridCol w:w="4292"/>
        <w:gridCol w:w="2654"/>
        <w:gridCol w:w="2126"/>
      </w:tblGrid>
      <w:tr w:rsidR="00A8691C" w:rsidTr="00D1201B">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361" w:type="dxa"/>
            <w:vAlign w:val="center"/>
          </w:tcPr>
          <w:p w:rsidR="00A8691C" w:rsidRPr="00E365B2" w:rsidRDefault="00A8691C" w:rsidP="00D1201B">
            <w:pPr>
              <w:jc w:val="left"/>
              <w:rPr>
                <w:b w:val="0"/>
                <w:color w:val="000000" w:themeColor="text1"/>
              </w:rPr>
            </w:pPr>
            <w:r w:rsidRPr="00E365B2">
              <w:rPr>
                <w:b w:val="0"/>
                <w:color w:val="000000" w:themeColor="text1"/>
              </w:rPr>
              <w:t xml:space="preserve">OM s roční spotřebou zemního plynu </w:t>
            </w:r>
          </w:p>
          <w:p w:rsidR="00A8691C" w:rsidRPr="00E365B2" w:rsidRDefault="00A8691C" w:rsidP="00D1201B">
            <w:pPr>
              <w:jc w:val="left"/>
              <w:rPr>
                <w:b w:val="0"/>
                <w:color w:val="000000" w:themeColor="text1"/>
              </w:rPr>
            </w:pPr>
            <w:r w:rsidRPr="00E365B2">
              <w:rPr>
                <w:b w:val="0"/>
                <w:color w:val="000000" w:themeColor="text1"/>
              </w:rPr>
              <w:t>pod 63 MWh</w:t>
            </w:r>
          </w:p>
        </w:tc>
        <w:tc>
          <w:tcPr>
            <w:tcW w:w="2693" w:type="dxa"/>
            <w:vAlign w:val="center"/>
          </w:tcPr>
          <w:p w:rsidR="00A8691C" w:rsidRPr="0011776E" w:rsidRDefault="00A8691C" w:rsidP="00D1201B">
            <w:pPr>
              <w:jc w:val="center"/>
              <w:cnfStyle w:val="100000000000" w:firstRow="1" w:lastRow="0" w:firstColumn="0" w:lastColumn="0" w:oddVBand="0" w:evenVBand="0" w:oddHBand="0" w:evenHBand="0" w:firstRowFirstColumn="0" w:firstRowLastColumn="0" w:lastRowFirstColumn="0" w:lastRowLastColumn="0"/>
              <w:rPr>
                <w:b w:val="0"/>
              </w:rPr>
            </w:pPr>
            <w:r w:rsidRPr="00507A0B">
              <w:rPr>
                <w:b w:val="0"/>
                <w:noProof/>
              </w:rPr>
              <w:t>496</w:t>
            </w:r>
            <w:r>
              <w:rPr>
                <w:b w:val="0"/>
                <w:noProof/>
              </w:rPr>
              <w:t>,00</w:t>
            </w:r>
          </w:p>
        </w:tc>
        <w:tc>
          <w:tcPr>
            <w:tcW w:w="2158" w:type="dxa"/>
            <w:vAlign w:val="center"/>
          </w:tcPr>
          <w:p w:rsidR="00A8691C" w:rsidRPr="00CE321E" w:rsidRDefault="00A8691C" w:rsidP="00D1201B">
            <w:pPr>
              <w:ind w:left="34"/>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E321E">
              <w:rPr>
                <w:b w:val="0"/>
                <w:color w:val="000000" w:themeColor="text1"/>
              </w:rPr>
              <w:t>Kč bez DPH</w:t>
            </w:r>
          </w:p>
        </w:tc>
      </w:tr>
      <w:tr w:rsidR="00A8691C" w:rsidTr="00D1201B">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vAlign w:val="center"/>
          </w:tcPr>
          <w:p w:rsidR="00A8691C" w:rsidRPr="00E365B2" w:rsidRDefault="00A8691C" w:rsidP="00D1201B">
            <w:pPr>
              <w:jc w:val="left"/>
              <w:rPr>
                <w:b w:val="0"/>
                <w:color w:val="000000" w:themeColor="text1"/>
              </w:rPr>
            </w:pPr>
            <w:r w:rsidRPr="00E365B2">
              <w:rPr>
                <w:b w:val="0"/>
                <w:color w:val="000000" w:themeColor="text1"/>
              </w:rPr>
              <w:t xml:space="preserve">OM s roční spotřebou zemního plynu </w:t>
            </w:r>
          </w:p>
          <w:p w:rsidR="00A8691C" w:rsidRPr="00E365B2" w:rsidRDefault="00A8691C" w:rsidP="00D1201B">
            <w:pPr>
              <w:jc w:val="left"/>
              <w:rPr>
                <w:b w:val="0"/>
                <w:color w:val="000000" w:themeColor="text1"/>
              </w:rPr>
            </w:pPr>
            <w:r w:rsidRPr="00E365B2">
              <w:rPr>
                <w:b w:val="0"/>
                <w:color w:val="000000" w:themeColor="text1"/>
              </w:rPr>
              <w:t>od 63 MWh do 630 MWh</w:t>
            </w:r>
          </w:p>
        </w:tc>
        <w:tc>
          <w:tcPr>
            <w:tcW w:w="2693" w:type="dxa"/>
            <w:shd w:val="clear" w:color="auto" w:fill="auto"/>
            <w:vAlign w:val="center"/>
          </w:tcPr>
          <w:p w:rsidR="00A8691C" w:rsidRDefault="00A8691C" w:rsidP="00D1201B">
            <w:pPr>
              <w:jc w:val="center"/>
              <w:cnfStyle w:val="000000100000" w:firstRow="0" w:lastRow="0" w:firstColumn="0" w:lastColumn="0" w:oddVBand="0" w:evenVBand="0" w:oddHBand="1" w:evenHBand="0" w:firstRowFirstColumn="0" w:firstRowLastColumn="0" w:lastRowFirstColumn="0" w:lastRowLastColumn="0"/>
            </w:pPr>
            <w:r w:rsidRPr="00AF76BD">
              <w:rPr>
                <w:noProof/>
              </w:rPr>
              <w:t>486</w:t>
            </w:r>
            <w:r>
              <w:rPr>
                <w:noProof/>
              </w:rPr>
              <w:t>,00</w:t>
            </w:r>
          </w:p>
        </w:tc>
        <w:tc>
          <w:tcPr>
            <w:tcW w:w="2158" w:type="dxa"/>
            <w:shd w:val="clear" w:color="auto" w:fill="auto"/>
            <w:vAlign w:val="center"/>
          </w:tcPr>
          <w:p w:rsidR="00A8691C" w:rsidRPr="00CE321E" w:rsidRDefault="00A8691C" w:rsidP="00D1201B">
            <w:pPr>
              <w:ind w:left="34"/>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CE321E">
              <w:rPr>
                <w:color w:val="000000" w:themeColor="text1"/>
              </w:rPr>
              <w:t>Kč bez DPH</w:t>
            </w:r>
          </w:p>
        </w:tc>
      </w:tr>
      <w:tr w:rsidR="00A8691C" w:rsidTr="00D1201B">
        <w:trPr>
          <w:trHeight w:val="757"/>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vAlign w:val="center"/>
          </w:tcPr>
          <w:p w:rsidR="00A8691C" w:rsidRPr="00E365B2" w:rsidRDefault="00A8691C" w:rsidP="001D399B">
            <w:pPr>
              <w:jc w:val="left"/>
              <w:rPr>
                <w:b w:val="0"/>
                <w:color w:val="000000" w:themeColor="text1"/>
              </w:rPr>
            </w:pPr>
            <w:r w:rsidRPr="00E365B2">
              <w:rPr>
                <w:b w:val="0"/>
                <w:color w:val="000000" w:themeColor="text1"/>
              </w:rPr>
              <w:t xml:space="preserve">OM s roční spotřebou zemního plynu </w:t>
            </w:r>
          </w:p>
          <w:p w:rsidR="00A8691C" w:rsidRPr="00E365B2" w:rsidRDefault="00A8691C" w:rsidP="001D399B">
            <w:pPr>
              <w:jc w:val="left"/>
              <w:rPr>
                <w:color w:val="000000" w:themeColor="text1"/>
              </w:rPr>
            </w:pPr>
            <w:r w:rsidRPr="00E365B2">
              <w:rPr>
                <w:b w:val="0"/>
                <w:color w:val="000000" w:themeColor="text1"/>
              </w:rPr>
              <w:t>od 63</w:t>
            </w:r>
            <w:r>
              <w:rPr>
                <w:b w:val="0"/>
                <w:color w:val="000000" w:themeColor="text1"/>
              </w:rPr>
              <w:t>0</w:t>
            </w:r>
            <w:r w:rsidRPr="00E365B2">
              <w:rPr>
                <w:b w:val="0"/>
                <w:color w:val="000000" w:themeColor="text1"/>
              </w:rPr>
              <w:t xml:space="preserve"> MWh do </w:t>
            </w:r>
            <w:r>
              <w:rPr>
                <w:b w:val="0"/>
                <w:color w:val="000000" w:themeColor="text1"/>
              </w:rPr>
              <w:t>4200</w:t>
            </w:r>
            <w:r w:rsidRPr="00E365B2">
              <w:rPr>
                <w:b w:val="0"/>
                <w:color w:val="000000" w:themeColor="text1"/>
              </w:rPr>
              <w:t xml:space="preserve"> MWh</w:t>
            </w:r>
          </w:p>
        </w:tc>
        <w:tc>
          <w:tcPr>
            <w:tcW w:w="2693" w:type="dxa"/>
            <w:shd w:val="clear" w:color="auto" w:fill="auto"/>
            <w:vAlign w:val="center"/>
          </w:tcPr>
          <w:p w:rsidR="00A8691C" w:rsidRPr="00FA1E7C" w:rsidRDefault="00A8691C" w:rsidP="001D399B">
            <w:pPr>
              <w:jc w:val="center"/>
              <w:cnfStyle w:val="000000000000" w:firstRow="0" w:lastRow="0" w:firstColumn="0" w:lastColumn="0" w:oddVBand="0" w:evenVBand="0" w:oddHBand="0" w:evenHBand="0" w:firstRowFirstColumn="0" w:firstRowLastColumn="0" w:lastRowFirstColumn="0" w:lastRowLastColumn="0"/>
            </w:pPr>
            <w:r w:rsidRPr="00AF76BD">
              <w:rPr>
                <w:noProof/>
              </w:rPr>
              <w:t>496</w:t>
            </w:r>
            <w:r>
              <w:rPr>
                <w:noProof/>
              </w:rPr>
              <w:t>,00</w:t>
            </w:r>
          </w:p>
        </w:tc>
        <w:tc>
          <w:tcPr>
            <w:tcW w:w="2158" w:type="dxa"/>
            <w:shd w:val="clear" w:color="auto" w:fill="auto"/>
            <w:vAlign w:val="center"/>
          </w:tcPr>
          <w:p w:rsidR="00A8691C" w:rsidRPr="00CE321E" w:rsidRDefault="00A8691C" w:rsidP="001D399B">
            <w:pPr>
              <w:ind w:left="34"/>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CE321E">
              <w:rPr>
                <w:color w:val="000000" w:themeColor="text1"/>
              </w:rPr>
              <w:t>Kč bez DPH</w:t>
            </w:r>
          </w:p>
        </w:tc>
      </w:tr>
    </w:tbl>
    <w:p w:rsidR="003F5FA8" w:rsidRDefault="003F5FA8" w:rsidP="003F5FA8">
      <w:pPr>
        <w:sectPr w:rsidR="003F5FA8" w:rsidSect="003F5FA8">
          <w:headerReference w:type="default" r:id="rId11"/>
          <w:footerReference w:type="default" r:id="rId12"/>
          <w:pgSz w:w="11906" w:h="16838"/>
          <w:pgMar w:top="1417" w:right="1417" w:bottom="1417" w:left="1417" w:header="708" w:footer="708" w:gutter="0"/>
          <w:cols w:space="708"/>
          <w:docGrid w:linePitch="360"/>
        </w:sectPr>
      </w:pPr>
    </w:p>
    <w:p w:rsidR="00A8691C" w:rsidRPr="001D21D8" w:rsidRDefault="003F5FA8" w:rsidP="003F5FA8">
      <w:r w:rsidRPr="003F5FA8">
        <w:rPr>
          <w:noProof/>
          <w:lang w:eastAsia="cs-CZ"/>
        </w:rPr>
        <w:lastRenderedPageBreak/>
        <w:drawing>
          <wp:inline distT="0" distB="0" distL="0" distR="0">
            <wp:extent cx="8845216" cy="146685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6498" cy="1468721"/>
                    </a:xfrm>
                    <a:prstGeom prst="rect">
                      <a:avLst/>
                    </a:prstGeom>
                    <a:noFill/>
                    <a:ln>
                      <a:noFill/>
                    </a:ln>
                  </pic:spPr>
                </pic:pic>
              </a:graphicData>
            </a:graphic>
          </wp:inline>
        </w:drawing>
      </w:r>
    </w:p>
    <w:sectPr w:rsidR="00A8691C" w:rsidRPr="001D21D8" w:rsidSect="003F5FA8">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BF" w:rsidRDefault="00DC5EBF" w:rsidP="004A4EA8">
      <w:pPr>
        <w:spacing w:after="0"/>
      </w:pPr>
      <w:r>
        <w:separator/>
      </w:r>
    </w:p>
  </w:endnote>
  <w:endnote w:type="continuationSeparator" w:id="0">
    <w:p w:rsidR="00DC5EBF" w:rsidRDefault="00DC5EBF" w:rsidP="004A4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C6" w:rsidRPr="004A4EA8" w:rsidRDefault="00864CC6">
    <w:pPr>
      <w:pStyle w:val="Zpat"/>
      <w:rPr>
        <w:sz w:val="28"/>
      </w:rPr>
    </w:pPr>
    <w:r w:rsidRPr="004A4EA8">
      <w:rPr>
        <w:sz w:val="14"/>
      </w:rPr>
      <w:t>Zemní plyn</w:t>
    </w:r>
    <w:r>
      <w:rPr>
        <w:sz w:val="14"/>
      </w:rPr>
      <w:tab/>
    </w:r>
    <w:r>
      <w:rPr>
        <w:sz w:val="14"/>
      </w:rPr>
      <w:tab/>
    </w:r>
    <w:r w:rsidRPr="004A4EA8">
      <w:rPr>
        <w:sz w:val="20"/>
      </w:rPr>
      <w:t xml:space="preserve">Stránka </w:t>
    </w:r>
    <w:r w:rsidRPr="00672A0F">
      <w:rPr>
        <w:sz w:val="20"/>
      </w:rPr>
      <w:fldChar w:fldCharType="begin"/>
    </w:r>
    <w:r w:rsidRPr="00672A0F">
      <w:rPr>
        <w:sz w:val="20"/>
      </w:rPr>
      <w:instrText>PAGE  \* Arabic  \* MERGEFORMAT</w:instrText>
    </w:r>
    <w:r w:rsidRPr="00672A0F">
      <w:rPr>
        <w:sz w:val="20"/>
      </w:rPr>
      <w:fldChar w:fldCharType="separate"/>
    </w:r>
    <w:r w:rsidR="00EC1151">
      <w:rPr>
        <w:noProof/>
        <w:sz w:val="20"/>
      </w:rPr>
      <w:t>3</w:t>
    </w:r>
    <w:r w:rsidRPr="00672A0F">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C6" w:rsidRPr="004A4EA8" w:rsidRDefault="00864CC6">
    <w:pPr>
      <w:pStyle w:val="Zpat"/>
      <w:rPr>
        <w:sz w:val="28"/>
      </w:rPr>
    </w:pPr>
    <w:r w:rsidRPr="004A4EA8">
      <w:rPr>
        <w:sz w:val="14"/>
      </w:rPr>
      <w:t>Zemní plyn</w:t>
    </w:r>
    <w:r>
      <w:rPr>
        <w:sz w:val="14"/>
      </w:rPr>
      <w:tab/>
    </w:r>
    <w:r>
      <w:rPr>
        <w:sz w:val="1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BF" w:rsidRDefault="00DC5EBF" w:rsidP="004A4EA8">
      <w:pPr>
        <w:spacing w:after="0"/>
      </w:pPr>
      <w:r>
        <w:separator/>
      </w:r>
    </w:p>
  </w:footnote>
  <w:footnote w:type="continuationSeparator" w:id="0">
    <w:p w:rsidR="00DC5EBF" w:rsidRDefault="00DC5EBF" w:rsidP="004A4EA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C6" w:rsidRPr="004A4EA8" w:rsidRDefault="00864CC6"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711488" behindDoc="1" locked="0" layoutInCell="1" allowOverlap="1" wp14:anchorId="47CC4793" wp14:editId="02E2ADBE">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katabulky"/>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64CC6" w:rsidRPr="004A4EA8" w:rsidTr="004A4EA8">
      <w:tc>
        <w:tcPr>
          <w:tcW w:w="4606" w:type="dxa"/>
        </w:tcPr>
        <w:p w:rsidR="00864CC6" w:rsidRPr="004A4EA8" w:rsidRDefault="00864CC6">
          <w:pPr>
            <w:rPr>
              <w:color w:val="1F497D" w:themeColor="text2"/>
            </w:rPr>
          </w:pPr>
          <w:r w:rsidRPr="004A4EA8">
            <w:rPr>
              <w:color w:val="1F497D" w:themeColor="text2"/>
            </w:rPr>
            <w:t>Komoditní burza Praha</w:t>
          </w:r>
        </w:p>
      </w:tc>
      <w:tc>
        <w:tcPr>
          <w:tcW w:w="4606" w:type="dxa"/>
        </w:tcPr>
        <w:p w:rsidR="00864CC6" w:rsidRPr="004A4EA8" w:rsidRDefault="00864CC6" w:rsidP="004A4EA8">
          <w:pPr>
            <w:jc w:val="right"/>
            <w:rPr>
              <w:color w:val="1F497D" w:themeColor="text2"/>
            </w:rPr>
          </w:pPr>
          <w:r w:rsidRPr="004A4EA8">
            <w:rPr>
              <w:color w:val="1F497D" w:themeColor="text2"/>
            </w:rPr>
            <w:t>Závěrkový list</w:t>
          </w:r>
        </w:p>
      </w:tc>
    </w:tr>
  </w:tbl>
  <w:p w:rsidR="00864CC6" w:rsidRDefault="00864CC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C6" w:rsidRPr="004A4EA8" w:rsidRDefault="00864CC6"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659264" behindDoc="1" locked="0" layoutInCell="1" allowOverlap="1" wp14:anchorId="4D30159C" wp14:editId="48B9D55E">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katabulky"/>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864CC6" w:rsidRPr="004A4EA8" w:rsidTr="004A4EA8">
      <w:tc>
        <w:tcPr>
          <w:tcW w:w="4606" w:type="dxa"/>
        </w:tcPr>
        <w:p w:rsidR="00864CC6" w:rsidRPr="004A4EA8" w:rsidRDefault="00864CC6">
          <w:pPr>
            <w:rPr>
              <w:color w:val="1F497D" w:themeColor="text2"/>
            </w:rPr>
          </w:pPr>
          <w:r w:rsidRPr="004A4EA8">
            <w:rPr>
              <w:color w:val="1F497D" w:themeColor="text2"/>
            </w:rPr>
            <w:t>Komoditní burza Praha</w:t>
          </w:r>
        </w:p>
      </w:tc>
      <w:tc>
        <w:tcPr>
          <w:tcW w:w="4606" w:type="dxa"/>
        </w:tcPr>
        <w:p w:rsidR="00864CC6" w:rsidRPr="004A4EA8" w:rsidRDefault="00864CC6" w:rsidP="004A4EA8">
          <w:pPr>
            <w:jc w:val="right"/>
            <w:rPr>
              <w:color w:val="1F497D" w:themeColor="text2"/>
            </w:rPr>
          </w:pPr>
          <w:r>
            <w:rPr>
              <w:color w:val="1F497D" w:themeColor="text2"/>
            </w:rPr>
            <w:t>Příloha č. 2</w:t>
          </w:r>
        </w:p>
      </w:tc>
    </w:tr>
  </w:tbl>
  <w:p w:rsidR="00864CC6" w:rsidRDefault="00864CC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A8" w:rsidRPr="004A4EA8" w:rsidRDefault="003F5FA8" w:rsidP="004A4EA8">
    <w:pPr>
      <w:pStyle w:val="Zhlav"/>
      <w:jc w:val="left"/>
      <w:rPr>
        <w:sz w:val="20"/>
        <w:szCs w:val="20"/>
      </w:rPr>
    </w:pPr>
    <w:r w:rsidRPr="004A4EA8">
      <w:rPr>
        <w:i/>
      </w:rPr>
      <w:tab/>
    </w:r>
    <w:r w:rsidRPr="004A4EA8">
      <w:rPr>
        <w:noProof/>
        <w:color w:val="002060"/>
        <w:sz w:val="20"/>
        <w:szCs w:val="20"/>
        <w:lang w:eastAsia="cs-CZ"/>
      </w:rPr>
      <w:drawing>
        <wp:anchor distT="0" distB="0" distL="114300" distR="114300" simplePos="0" relativeHeight="251713536" behindDoc="1" locked="0" layoutInCell="1" allowOverlap="1" wp14:anchorId="2E930301" wp14:editId="58E7061E">
          <wp:simplePos x="0" y="0"/>
          <wp:positionH relativeFrom="page">
            <wp:align>center</wp:align>
          </wp:positionH>
          <wp:positionV relativeFrom="page">
            <wp:posOffset>171450</wp:posOffset>
          </wp:positionV>
          <wp:extent cx="1714500" cy="276225"/>
          <wp:effectExtent l="0" t="0" r="0" b="9525"/>
          <wp:wrapTight wrapText="bothSides">
            <wp:wrapPolygon edited="0">
              <wp:start x="0" y="0"/>
              <wp:lineTo x="0" y="20855"/>
              <wp:lineTo x="21360" y="20855"/>
              <wp:lineTo x="21360" y="0"/>
              <wp:lineTo x="0" y="0"/>
            </wp:wrapPolygon>
          </wp:wrapTight>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b="17786"/>
                  <a:stretch>
                    <a:fillRect/>
                  </a:stretch>
                </pic:blipFill>
                <pic:spPr bwMode="auto">
                  <a:xfrm>
                    <a:off x="0" y="0"/>
                    <a:ext cx="17145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FA8" w:rsidRDefault="003F5FA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C53C91"/>
    <w:multiLevelType w:val="hybridMultilevel"/>
    <w:tmpl w:val="5D367C0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8DC11F2"/>
    <w:multiLevelType w:val="hybridMultilevel"/>
    <w:tmpl w:val="58D20C02"/>
    <w:lvl w:ilvl="0" w:tplc="4A8E8308">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9106291"/>
    <w:multiLevelType w:val="hybridMultilevel"/>
    <w:tmpl w:val="4272772C"/>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CA41B2A"/>
    <w:multiLevelType w:val="hybridMultilevel"/>
    <w:tmpl w:val="B6DC9978"/>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140F399D"/>
    <w:multiLevelType w:val="hybridMultilevel"/>
    <w:tmpl w:val="BD503608"/>
    <w:lvl w:ilvl="0" w:tplc="C77C702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5CF6CC8"/>
    <w:multiLevelType w:val="hybridMultilevel"/>
    <w:tmpl w:val="93BE6632"/>
    <w:lvl w:ilvl="0" w:tplc="21B8F516">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C411047"/>
    <w:multiLevelType w:val="hybridMultilevel"/>
    <w:tmpl w:val="A50E78EA"/>
    <w:lvl w:ilvl="0" w:tplc="4476EFB8">
      <w:start w:val="1"/>
      <w:numFmt w:val="lowerLetter"/>
      <w:pStyle w:val="slovan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CA871A1"/>
    <w:multiLevelType w:val="hybridMultilevel"/>
    <w:tmpl w:val="F5BCC2C2"/>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381E0A30"/>
    <w:multiLevelType w:val="hybridMultilevel"/>
    <w:tmpl w:val="1F2413C4"/>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3D094F23"/>
    <w:multiLevelType w:val="hybridMultilevel"/>
    <w:tmpl w:val="856A993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665588D"/>
    <w:multiLevelType w:val="hybridMultilevel"/>
    <w:tmpl w:val="EDEAC09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54DD6C0E"/>
    <w:multiLevelType w:val="hybridMultilevel"/>
    <w:tmpl w:val="2960C60A"/>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5E436CBF"/>
    <w:multiLevelType w:val="hybridMultilevel"/>
    <w:tmpl w:val="618A61A0"/>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1">
    <w:nsid w:val="63C1340D"/>
    <w:multiLevelType w:val="hybridMultilevel"/>
    <w:tmpl w:val="3F96EEA6"/>
    <w:lvl w:ilvl="0" w:tplc="F2AA25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6"/>
    <w:lvlOverride w:ilvl="0">
      <w:startOverride w:val="1"/>
    </w:lvlOverride>
  </w:num>
  <w:num w:numId="5">
    <w:abstractNumId w:val="12"/>
  </w:num>
  <w:num w:numId="6">
    <w:abstractNumId w:val="4"/>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11"/>
  </w:num>
  <w:num w:numId="11">
    <w:abstractNumId w:val="6"/>
    <w:lvlOverride w:ilvl="0">
      <w:startOverride w:val="1"/>
    </w:lvlOverride>
  </w:num>
  <w:num w:numId="12">
    <w:abstractNumId w:val="2"/>
  </w:num>
  <w:num w:numId="13">
    <w:abstractNumId w:val="8"/>
  </w:num>
  <w:num w:numId="14">
    <w:abstractNumId w:val="9"/>
  </w:num>
  <w:num w:numId="15">
    <w:abstractNumId w:val="7"/>
  </w:num>
  <w:num w:numId="16">
    <w:abstractNumId w:val="0"/>
  </w:num>
  <w:num w:numId="17">
    <w:abstractNumId w:val="6"/>
    <w:lvlOverride w:ilvl="0">
      <w:startOverride w:val="1"/>
    </w:lvlOverride>
  </w:num>
  <w:num w:numId="18">
    <w:abstractNumId w:val="13"/>
  </w:num>
  <w:num w:numId="19">
    <w:abstractNumId w:val="10"/>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8"/>
    <w:rsid w:val="000167A0"/>
    <w:rsid w:val="00024367"/>
    <w:rsid w:val="00026B6C"/>
    <w:rsid w:val="00036426"/>
    <w:rsid w:val="000833BC"/>
    <w:rsid w:val="000B332A"/>
    <w:rsid w:val="00113AEE"/>
    <w:rsid w:val="0011776E"/>
    <w:rsid w:val="0012215C"/>
    <w:rsid w:val="00125154"/>
    <w:rsid w:val="00173383"/>
    <w:rsid w:val="001B2BEA"/>
    <w:rsid w:val="001B7E13"/>
    <w:rsid w:val="001D21D8"/>
    <w:rsid w:val="001D399B"/>
    <w:rsid w:val="002315D7"/>
    <w:rsid w:val="002406AA"/>
    <w:rsid w:val="002448C0"/>
    <w:rsid w:val="002E29BC"/>
    <w:rsid w:val="002E6E89"/>
    <w:rsid w:val="00312062"/>
    <w:rsid w:val="00342872"/>
    <w:rsid w:val="003A52A8"/>
    <w:rsid w:val="003A627B"/>
    <w:rsid w:val="003B1C72"/>
    <w:rsid w:val="003C6CF9"/>
    <w:rsid w:val="003E3D80"/>
    <w:rsid w:val="003F5FA8"/>
    <w:rsid w:val="003F734F"/>
    <w:rsid w:val="004032BB"/>
    <w:rsid w:val="004511F5"/>
    <w:rsid w:val="0046461E"/>
    <w:rsid w:val="00470790"/>
    <w:rsid w:val="00485FB9"/>
    <w:rsid w:val="0049556F"/>
    <w:rsid w:val="004A4EA8"/>
    <w:rsid w:val="004C3124"/>
    <w:rsid w:val="004C649F"/>
    <w:rsid w:val="00507A0B"/>
    <w:rsid w:val="0054026D"/>
    <w:rsid w:val="00565B3F"/>
    <w:rsid w:val="005702AA"/>
    <w:rsid w:val="00583103"/>
    <w:rsid w:val="005A7C8D"/>
    <w:rsid w:val="005E0307"/>
    <w:rsid w:val="005E41B8"/>
    <w:rsid w:val="005F4ECD"/>
    <w:rsid w:val="005F7286"/>
    <w:rsid w:val="00616464"/>
    <w:rsid w:val="00632485"/>
    <w:rsid w:val="00660E09"/>
    <w:rsid w:val="00666C4E"/>
    <w:rsid w:val="00672204"/>
    <w:rsid w:val="00672A0F"/>
    <w:rsid w:val="006E3F90"/>
    <w:rsid w:val="0077351A"/>
    <w:rsid w:val="00780479"/>
    <w:rsid w:val="00783FDA"/>
    <w:rsid w:val="007A6860"/>
    <w:rsid w:val="007C1B1D"/>
    <w:rsid w:val="007D41D5"/>
    <w:rsid w:val="007D537F"/>
    <w:rsid w:val="007E2FA2"/>
    <w:rsid w:val="007E76C9"/>
    <w:rsid w:val="007F7336"/>
    <w:rsid w:val="00802C9D"/>
    <w:rsid w:val="008217A7"/>
    <w:rsid w:val="00836B22"/>
    <w:rsid w:val="00836BD9"/>
    <w:rsid w:val="00862BDB"/>
    <w:rsid w:val="00864CC6"/>
    <w:rsid w:val="008A0096"/>
    <w:rsid w:val="008B219B"/>
    <w:rsid w:val="009A16E3"/>
    <w:rsid w:val="009B57C5"/>
    <w:rsid w:val="009D3EA4"/>
    <w:rsid w:val="009D49FC"/>
    <w:rsid w:val="009D5F44"/>
    <w:rsid w:val="00A00230"/>
    <w:rsid w:val="00A12A26"/>
    <w:rsid w:val="00A247FF"/>
    <w:rsid w:val="00A3453C"/>
    <w:rsid w:val="00A367D5"/>
    <w:rsid w:val="00A41478"/>
    <w:rsid w:val="00A42A24"/>
    <w:rsid w:val="00A6133A"/>
    <w:rsid w:val="00A8691C"/>
    <w:rsid w:val="00B13B24"/>
    <w:rsid w:val="00B43340"/>
    <w:rsid w:val="00B506F3"/>
    <w:rsid w:val="00B770EF"/>
    <w:rsid w:val="00C0555D"/>
    <w:rsid w:val="00C4740B"/>
    <w:rsid w:val="00C60CE0"/>
    <w:rsid w:val="00C67823"/>
    <w:rsid w:val="00C80960"/>
    <w:rsid w:val="00CC6BDE"/>
    <w:rsid w:val="00CD4C5D"/>
    <w:rsid w:val="00CE321E"/>
    <w:rsid w:val="00CF78FE"/>
    <w:rsid w:val="00D1201B"/>
    <w:rsid w:val="00D55C18"/>
    <w:rsid w:val="00DC5EBF"/>
    <w:rsid w:val="00DC68F5"/>
    <w:rsid w:val="00DC7136"/>
    <w:rsid w:val="00DF72FA"/>
    <w:rsid w:val="00E23A21"/>
    <w:rsid w:val="00E365B2"/>
    <w:rsid w:val="00E64661"/>
    <w:rsid w:val="00E70B6A"/>
    <w:rsid w:val="00EC1151"/>
    <w:rsid w:val="00EF7CF2"/>
    <w:rsid w:val="00F1197E"/>
    <w:rsid w:val="00F525F6"/>
    <w:rsid w:val="00F620E3"/>
    <w:rsid w:val="00F6261E"/>
    <w:rsid w:val="00F6514F"/>
    <w:rsid w:val="00FB6E86"/>
    <w:rsid w:val="00FC04D2"/>
    <w:rsid w:val="00FF0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DD410C-36D7-488F-9F64-F3BEA495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4C5D"/>
    <w:pPr>
      <w:spacing w:line="240" w:lineRule="auto"/>
      <w:jc w:val="both"/>
    </w:pPr>
  </w:style>
  <w:style w:type="paragraph" w:styleId="Nadpis1">
    <w:name w:val="heading 1"/>
    <w:basedOn w:val="Normln"/>
    <w:next w:val="Normln"/>
    <w:link w:val="Nadpis1Char"/>
    <w:uiPriority w:val="9"/>
    <w:qFormat/>
    <w:rsid w:val="004A4EA8"/>
    <w:pPr>
      <w:keepNext/>
      <w:keepLines/>
      <w:spacing w:before="480" w:after="480"/>
      <w:jc w:val="center"/>
      <w:outlineLvl w:val="0"/>
    </w:pPr>
    <w:rPr>
      <w:rFonts w:eastAsiaTheme="majorEastAsia" w:cstheme="majorBidi"/>
      <w:b/>
      <w:bCs/>
      <w:caps/>
      <w:color w:val="1F497D" w:themeColor="text2"/>
      <w:spacing w:val="30"/>
      <w:sz w:val="32"/>
      <w:szCs w:val="28"/>
    </w:rPr>
  </w:style>
  <w:style w:type="paragraph" w:styleId="Nadpis2">
    <w:name w:val="heading 2"/>
    <w:basedOn w:val="Normln"/>
    <w:next w:val="Normln"/>
    <w:link w:val="Nadpis2Char"/>
    <w:autoRedefine/>
    <w:uiPriority w:val="9"/>
    <w:unhideWhenUsed/>
    <w:qFormat/>
    <w:rsid w:val="00CC6BDE"/>
    <w:pPr>
      <w:keepNext/>
      <w:keepLines/>
      <w:numPr>
        <w:numId w:val="1"/>
      </w:numPr>
      <w:ind w:left="357" w:hanging="357"/>
      <w:jc w:val="left"/>
      <w:outlineLvl w:val="1"/>
    </w:pPr>
    <w:rPr>
      <w:rFonts w:eastAsiaTheme="majorEastAsia" w:cstheme="majorBidi"/>
      <w:b/>
      <w:bCs/>
      <w:color w:val="000000" w:themeColor="text1"/>
      <w:szCs w:val="26"/>
    </w:rPr>
  </w:style>
  <w:style w:type="paragraph" w:styleId="Nadpis3">
    <w:name w:val="heading 3"/>
    <w:basedOn w:val="Normln"/>
    <w:next w:val="Normln"/>
    <w:link w:val="Nadpis3Char"/>
    <w:uiPriority w:val="9"/>
    <w:unhideWhenUsed/>
    <w:qFormat/>
    <w:rsid w:val="009D5F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4EA8"/>
    <w:pPr>
      <w:tabs>
        <w:tab w:val="center" w:pos="4536"/>
        <w:tab w:val="right" w:pos="9072"/>
      </w:tabs>
      <w:spacing w:after="0"/>
    </w:pPr>
  </w:style>
  <w:style w:type="character" w:customStyle="1" w:styleId="ZhlavChar">
    <w:name w:val="Záhlaví Char"/>
    <w:basedOn w:val="Standardnpsmoodstavce"/>
    <w:link w:val="Zhlav"/>
    <w:uiPriority w:val="99"/>
    <w:rsid w:val="004A4EA8"/>
  </w:style>
  <w:style w:type="paragraph" w:styleId="Zpat">
    <w:name w:val="footer"/>
    <w:basedOn w:val="Normln"/>
    <w:link w:val="ZpatChar"/>
    <w:unhideWhenUsed/>
    <w:rsid w:val="004A4EA8"/>
    <w:pPr>
      <w:tabs>
        <w:tab w:val="center" w:pos="4536"/>
        <w:tab w:val="right" w:pos="9072"/>
      </w:tabs>
      <w:spacing w:after="0"/>
    </w:pPr>
  </w:style>
  <w:style w:type="character" w:customStyle="1" w:styleId="ZpatChar">
    <w:name w:val="Zápatí Char"/>
    <w:basedOn w:val="Standardnpsmoodstavce"/>
    <w:link w:val="Zpat"/>
    <w:uiPriority w:val="99"/>
    <w:rsid w:val="004A4EA8"/>
  </w:style>
  <w:style w:type="table" w:styleId="Mkatabulky">
    <w:name w:val="Table Grid"/>
    <w:basedOn w:val="Normlntabulka"/>
    <w:uiPriority w:val="59"/>
    <w:rsid w:val="004A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4EA8"/>
    <w:rPr>
      <w:rFonts w:eastAsiaTheme="majorEastAsia" w:cstheme="majorBidi"/>
      <w:b/>
      <w:bCs/>
      <w:caps/>
      <w:color w:val="1F497D" w:themeColor="text2"/>
      <w:spacing w:val="30"/>
      <w:sz w:val="32"/>
      <w:szCs w:val="28"/>
    </w:rPr>
  </w:style>
  <w:style w:type="character" w:customStyle="1" w:styleId="Nadpis2Char">
    <w:name w:val="Nadpis 2 Char"/>
    <w:basedOn w:val="Standardnpsmoodstavce"/>
    <w:link w:val="Nadpis2"/>
    <w:uiPriority w:val="9"/>
    <w:rsid w:val="00CC6BDE"/>
    <w:rPr>
      <w:rFonts w:eastAsiaTheme="majorEastAsia" w:cstheme="majorBidi"/>
      <w:b/>
      <w:bCs/>
      <w:color w:val="000000" w:themeColor="text1"/>
      <w:szCs w:val="26"/>
    </w:rPr>
  </w:style>
  <w:style w:type="paragraph" w:styleId="Textbubliny">
    <w:name w:val="Balloon Text"/>
    <w:basedOn w:val="Normln"/>
    <w:link w:val="TextbublinyChar"/>
    <w:uiPriority w:val="99"/>
    <w:semiHidden/>
    <w:unhideWhenUsed/>
    <w:rsid w:val="00B433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3340"/>
    <w:rPr>
      <w:rFonts w:ascii="Tahoma" w:hAnsi="Tahoma" w:cs="Tahoma"/>
      <w:sz w:val="16"/>
      <w:szCs w:val="16"/>
    </w:rPr>
  </w:style>
  <w:style w:type="character" w:customStyle="1" w:styleId="Nadpis3Char">
    <w:name w:val="Nadpis 3 Char"/>
    <w:basedOn w:val="Standardnpsmoodstavce"/>
    <w:link w:val="Nadpis3"/>
    <w:uiPriority w:val="9"/>
    <w:rsid w:val="009D5F44"/>
    <w:rPr>
      <w:rFonts w:asciiTheme="majorHAnsi" w:eastAsiaTheme="majorEastAsia" w:hAnsiTheme="majorHAnsi" w:cstheme="majorBidi"/>
      <w:b/>
      <w:bCs/>
      <w:color w:val="4F81BD" w:themeColor="accent1"/>
    </w:rPr>
  </w:style>
  <w:style w:type="paragraph" w:customStyle="1" w:styleId="slovanodstavec">
    <w:name w:val="Číslovaný odstavec"/>
    <w:basedOn w:val="Normln"/>
    <w:qFormat/>
    <w:rsid w:val="009D5F44"/>
    <w:pPr>
      <w:numPr>
        <w:numId w:val="2"/>
      </w:numPr>
      <w:ind w:left="714" w:hanging="357"/>
    </w:pPr>
  </w:style>
  <w:style w:type="paragraph" w:styleId="Odstavecseseznamem">
    <w:name w:val="List Paragraph"/>
    <w:basedOn w:val="Normln"/>
    <w:uiPriority w:val="34"/>
    <w:qFormat/>
    <w:rsid w:val="009D5F44"/>
    <w:pPr>
      <w:ind w:left="720"/>
      <w:contextualSpacing/>
    </w:pPr>
  </w:style>
  <w:style w:type="table" w:styleId="Svtlstnovnzvraznn1">
    <w:name w:val="Light Shading Accent 1"/>
    <w:basedOn w:val="Normlntabulka"/>
    <w:uiPriority w:val="60"/>
    <w:rsid w:val="006722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komente">
    <w:name w:val="annotation text"/>
    <w:basedOn w:val="Normln"/>
    <w:link w:val="TextkomenteChar"/>
    <w:uiPriority w:val="99"/>
    <w:rsid w:val="000167A0"/>
    <w:pPr>
      <w:spacing w:after="0"/>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167A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7C1B1D"/>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7C1B1D"/>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113AEE"/>
    <w:rPr>
      <w:sz w:val="16"/>
      <w:szCs w:val="16"/>
    </w:rPr>
  </w:style>
  <w:style w:type="paragraph" w:styleId="Pedmtkomente">
    <w:name w:val="annotation subject"/>
    <w:basedOn w:val="Textkomente"/>
    <w:next w:val="Textkomente"/>
    <w:link w:val="PedmtkomenteChar"/>
    <w:uiPriority w:val="99"/>
    <w:semiHidden/>
    <w:unhideWhenUsed/>
    <w:rsid w:val="00113AEE"/>
    <w:pPr>
      <w:spacing w:after="200"/>
      <w:jc w:val="both"/>
    </w:pPr>
    <w:rPr>
      <w:rFonts w:ascii="Arial" w:eastAsiaTheme="minorHAnsi" w:hAnsi="Arial" w:cstheme="minorBidi"/>
      <w:b/>
      <w:bCs/>
      <w:lang w:eastAsia="en-US"/>
    </w:rPr>
  </w:style>
  <w:style w:type="character" w:customStyle="1" w:styleId="PedmtkomenteChar">
    <w:name w:val="Předmět komentáře Char"/>
    <w:basedOn w:val="TextkomenteChar"/>
    <w:link w:val="Pedmtkomente"/>
    <w:uiPriority w:val="99"/>
    <w:semiHidden/>
    <w:rsid w:val="00113AE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51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p.cz/index.php/prumyslove-komodity"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797E-F745-408F-87D5-10745008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5956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Stefkova</dc:creator>
  <cp:lastModifiedBy>Simona Vlasakova</cp:lastModifiedBy>
  <cp:revision>2</cp:revision>
  <dcterms:created xsi:type="dcterms:W3CDTF">2018-03-19T08:14:00Z</dcterms:created>
  <dcterms:modified xsi:type="dcterms:W3CDTF">2018-03-19T08:14:00Z</dcterms:modified>
</cp:coreProperties>
</file>