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CC" w:rsidRPr="00F835BC" w:rsidRDefault="005152CC" w:rsidP="005152CC">
      <w:pPr>
        <w:widowControl w:val="0"/>
        <w:autoSpaceDE w:val="0"/>
        <w:autoSpaceDN w:val="0"/>
        <w:adjustRightInd w:val="0"/>
        <w:jc w:val="center"/>
        <w:rPr>
          <w:rFonts w:cs="Calibri"/>
          <w:b/>
          <w:color w:val="000000"/>
          <w:sz w:val="32"/>
          <w:szCs w:val="32"/>
        </w:rPr>
      </w:pPr>
      <w:bookmarkStart w:id="0" w:name="_GoBack"/>
      <w:bookmarkEnd w:id="0"/>
      <w:r>
        <w:rPr>
          <w:rFonts w:cs="Calibri"/>
          <w:b/>
          <w:color w:val="000000"/>
          <w:sz w:val="32"/>
          <w:szCs w:val="32"/>
        </w:rPr>
        <w:t>R</w:t>
      </w:r>
      <w:r w:rsidRPr="00F835BC">
        <w:rPr>
          <w:rFonts w:cs="Calibri"/>
          <w:b/>
          <w:color w:val="000000"/>
          <w:sz w:val="32"/>
          <w:szCs w:val="32"/>
        </w:rPr>
        <w:t>ámcová smlouva o nájmu motorového vozidla</w:t>
      </w:r>
    </w:p>
    <w:p w:rsidR="005152CC" w:rsidRDefault="00911997" w:rsidP="005152CC">
      <w:pPr>
        <w:jc w:val="center"/>
        <w:rPr>
          <w:color w:val="000000"/>
          <w:sz w:val="28"/>
          <w:szCs w:val="28"/>
        </w:rPr>
      </w:pPr>
      <w:r>
        <w:rPr>
          <w:color w:val="000000"/>
          <w:sz w:val="28"/>
          <w:szCs w:val="28"/>
        </w:rPr>
        <w:t>č. 18/2016/05</w:t>
      </w:r>
    </w:p>
    <w:p w:rsidR="005152CC" w:rsidRPr="005152CC" w:rsidRDefault="005152CC" w:rsidP="005152CC">
      <w:pPr>
        <w:jc w:val="center"/>
        <w:rPr>
          <w:color w:val="000000"/>
          <w:sz w:val="28"/>
          <w:szCs w:val="28"/>
        </w:rPr>
      </w:pPr>
    </w:p>
    <w:p w:rsidR="005152CC" w:rsidRPr="00F835BC" w:rsidRDefault="005152CC" w:rsidP="005152CC">
      <w:pPr>
        <w:jc w:val="center"/>
        <w:rPr>
          <w:color w:val="000000"/>
        </w:rPr>
      </w:pPr>
      <w:r>
        <w:rPr>
          <w:color w:val="000000"/>
        </w:rPr>
        <w:t>(dále i jen jako „smlouva“)</w:t>
      </w:r>
    </w:p>
    <w:p w:rsidR="005152CC" w:rsidRDefault="005152CC" w:rsidP="005152CC">
      <w:pPr>
        <w:widowControl w:val="0"/>
        <w:autoSpaceDE w:val="0"/>
        <w:autoSpaceDN w:val="0"/>
        <w:adjustRightInd w:val="0"/>
        <w:jc w:val="center"/>
        <w:rPr>
          <w:color w:val="000000"/>
        </w:rPr>
      </w:pPr>
      <w:r w:rsidRPr="00E33A3C">
        <w:rPr>
          <w:color w:val="000000"/>
        </w:rPr>
        <w:t>uzavřená v souladu s ust. § 2</w:t>
      </w:r>
      <w:r>
        <w:rPr>
          <w:color w:val="000000"/>
        </w:rPr>
        <w:t>201</w:t>
      </w:r>
      <w:r w:rsidRPr="00E33A3C">
        <w:rPr>
          <w:color w:val="000000"/>
        </w:rPr>
        <w:t xml:space="preserve"> a násl. zákona č. 89/2012 Sb., občanský zákoník</w:t>
      </w:r>
      <w:r>
        <w:rPr>
          <w:color w:val="000000"/>
        </w:rPr>
        <w:t xml:space="preserve">, </w:t>
      </w:r>
    </w:p>
    <w:p w:rsidR="005152CC" w:rsidRPr="00F835BC" w:rsidRDefault="005152CC" w:rsidP="005152CC">
      <w:pPr>
        <w:widowControl w:val="0"/>
        <w:autoSpaceDE w:val="0"/>
        <w:autoSpaceDN w:val="0"/>
        <w:adjustRightInd w:val="0"/>
        <w:jc w:val="center"/>
        <w:rPr>
          <w:color w:val="000000"/>
        </w:rPr>
      </w:pPr>
      <w:r w:rsidRPr="00E33A3C">
        <w:rPr>
          <w:color w:val="000000"/>
        </w:rPr>
        <w:t>mezi těmito smluvními stranami:</w:t>
      </w:r>
    </w:p>
    <w:p w:rsidR="005152CC" w:rsidRPr="00F835BC" w:rsidRDefault="005152CC" w:rsidP="005152CC">
      <w:pPr>
        <w:widowControl w:val="0"/>
        <w:autoSpaceDE w:val="0"/>
        <w:autoSpaceDN w:val="0"/>
        <w:adjustRightInd w:val="0"/>
        <w:spacing w:line="200" w:lineRule="exact"/>
      </w:pPr>
    </w:p>
    <w:p w:rsidR="005152CC" w:rsidRPr="00F835BC" w:rsidRDefault="005152CC" w:rsidP="005152CC">
      <w:pPr>
        <w:widowControl w:val="0"/>
        <w:autoSpaceDE w:val="0"/>
        <w:autoSpaceDN w:val="0"/>
        <w:adjustRightInd w:val="0"/>
        <w:spacing w:line="235" w:lineRule="exact"/>
      </w:pPr>
    </w:p>
    <w:p w:rsidR="005152CC" w:rsidRPr="00F835BC" w:rsidRDefault="005152CC" w:rsidP="005152CC">
      <w:pPr>
        <w:widowControl w:val="0"/>
        <w:autoSpaceDE w:val="0"/>
        <w:autoSpaceDN w:val="0"/>
        <w:adjustRightInd w:val="0"/>
        <w:spacing w:line="200" w:lineRule="exact"/>
      </w:pPr>
    </w:p>
    <w:p w:rsidR="005152CC" w:rsidRPr="00F835BC" w:rsidRDefault="005152CC" w:rsidP="005152CC">
      <w:pPr>
        <w:widowControl w:val="0"/>
        <w:autoSpaceDE w:val="0"/>
        <w:autoSpaceDN w:val="0"/>
        <w:adjustRightInd w:val="0"/>
        <w:spacing w:line="271" w:lineRule="exact"/>
        <w:rPr>
          <w:b/>
        </w:rPr>
      </w:pPr>
      <w:r w:rsidRPr="00F835BC">
        <w:rPr>
          <w:b/>
        </w:rPr>
        <w:t>Městský obvod Liberec - Vratislavice nad Nisou</w:t>
      </w:r>
    </w:p>
    <w:p w:rsidR="005152CC" w:rsidRPr="00F835BC" w:rsidRDefault="005152CC" w:rsidP="005152CC">
      <w:pPr>
        <w:widowControl w:val="0"/>
        <w:autoSpaceDE w:val="0"/>
        <w:autoSpaceDN w:val="0"/>
        <w:adjustRightInd w:val="0"/>
        <w:spacing w:line="271" w:lineRule="exact"/>
      </w:pPr>
      <w:r w:rsidRPr="00F835BC">
        <w:t>se sídlem Tanvaldská 50, 463 11, Liberec XXX</w:t>
      </w:r>
    </w:p>
    <w:p w:rsidR="005152CC" w:rsidRPr="00F835BC" w:rsidRDefault="005152CC" w:rsidP="005152CC">
      <w:pPr>
        <w:widowControl w:val="0"/>
        <w:autoSpaceDE w:val="0"/>
        <w:autoSpaceDN w:val="0"/>
        <w:adjustRightInd w:val="0"/>
        <w:spacing w:line="271" w:lineRule="exact"/>
      </w:pPr>
      <w:r w:rsidRPr="00F835BC">
        <w:t xml:space="preserve">zastoupený Lukášem Pohankou, starostou  </w:t>
      </w:r>
    </w:p>
    <w:p w:rsidR="005152CC" w:rsidRPr="00F835BC" w:rsidRDefault="005152CC" w:rsidP="005152CC">
      <w:pPr>
        <w:widowControl w:val="0"/>
        <w:autoSpaceDE w:val="0"/>
        <w:autoSpaceDN w:val="0"/>
        <w:adjustRightInd w:val="0"/>
        <w:spacing w:line="271" w:lineRule="exact"/>
      </w:pPr>
      <w:r w:rsidRPr="00F835BC">
        <w:t xml:space="preserve">IČ: </w:t>
      </w:r>
      <w:r>
        <w:t>00</w:t>
      </w:r>
      <w:r w:rsidRPr="00F835BC">
        <w:t>262978</w:t>
      </w:r>
    </w:p>
    <w:p w:rsidR="005152CC" w:rsidRPr="00F835BC" w:rsidRDefault="005152CC" w:rsidP="005152CC">
      <w:pPr>
        <w:widowControl w:val="0"/>
        <w:autoSpaceDE w:val="0"/>
        <w:autoSpaceDN w:val="0"/>
        <w:adjustRightInd w:val="0"/>
        <w:spacing w:line="271" w:lineRule="exact"/>
      </w:pPr>
      <w:r w:rsidRPr="00F835BC">
        <w:t>bankovní spojení: Česká spořitelna a.s.</w:t>
      </w:r>
    </w:p>
    <w:p w:rsidR="005152CC" w:rsidRPr="00F835BC" w:rsidRDefault="005152CC" w:rsidP="005152CC">
      <w:pPr>
        <w:widowControl w:val="0"/>
        <w:autoSpaceDE w:val="0"/>
        <w:autoSpaceDN w:val="0"/>
        <w:adjustRightInd w:val="0"/>
        <w:spacing w:line="271" w:lineRule="exact"/>
      </w:pPr>
      <w:r w:rsidRPr="00F835BC">
        <w:t>číslo účtu: 0984943369/0800</w:t>
      </w:r>
    </w:p>
    <w:p w:rsidR="005152CC" w:rsidRPr="00F835BC" w:rsidRDefault="005152CC" w:rsidP="005152CC">
      <w:pPr>
        <w:widowControl w:val="0"/>
        <w:autoSpaceDE w:val="0"/>
        <w:autoSpaceDN w:val="0"/>
        <w:adjustRightInd w:val="0"/>
      </w:pPr>
    </w:p>
    <w:p w:rsidR="005152CC" w:rsidRPr="00F835BC" w:rsidRDefault="005152CC" w:rsidP="005152CC">
      <w:pPr>
        <w:widowControl w:val="0"/>
        <w:autoSpaceDE w:val="0"/>
        <w:autoSpaceDN w:val="0"/>
        <w:adjustRightInd w:val="0"/>
        <w:spacing w:line="21" w:lineRule="exact"/>
      </w:pPr>
    </w:p>
    <w:p w:rsidR="005152CC" w:rsidRPr="00F835BC" w:rsidRDefault="005152CC" w:rsidP="005152CC">
      <w:pPr>
        <w:widowControl w:val="0"/>
        <w:autoSpaceDE w:val="0"/>
        <w:autoSpaceDN w:val="0"/>
        <w:adjustRightInd w:val="0"/>
      </w:pPr>
      <w:r w:rsidRPr="00F835BC">
        <w:rPr>
          <w:rFonts w:cs="Calibri"/>
        </w:rPr>
        <w:t>na straně jedné jako pronajímatel (dále jen jako pronajímatel).</w:t>
      </w:r>
    </w:p>
    <w:p w:rsidR="005152CC" w:rsidRPr="00F835BC" w:rsidRDefault="005152CC" w:rsidP="005152CC">
      <w:pPr>
        <w:widowControl w:val="0"/>
        <w:autoSpaceDE w:val="0"/>
        <w:autoSpaceDN w:val="0"/>
        <w:adjustRightInd w:val="0"/>
        <w:spacing w:line="181" w:lineRule="exact"/>
      </w:pPr>
    </w:p>
    <w:p w:rsidR="005152CC" w:rsidRDefault="005152CC" w:rsidP="005152CC">
      <w:pPr>
        <w:widowControl w:val="0"/>
        <w:autoSpaceDE w:val="0"/>
        <w:autoSpaceDN w:val="0"/>
        <w:adjustRightInd w:val="0"/>
        <w:rPr>
          <w:rFonts w:cs="Calibri"/>
        </w:rPr>
      </w:pPr>
      <w:r w:rsidRPr="00F835BC">
        <w:rPr>
          <w:rFonts w:cs="Calibri"/>
        </w:rPr>
        <w:t>a</w:t>
      </w:r>
    </w:p>
    <w:p w:rsidR="005152CC" w:rsidRPr="005B1A5A" w:rsidRDefault="00911997" w:rsidP="005152CC">
      <w:pPr>
        <w:widowControl w:val="0"/>
        <w:spacing w:before="120"/>
        <w:rPr>
          <w:b/>
        </w:rPr>
      </w:pPr>
      <w:r>
        <w:rPr>
          <w:b/>
        </w:rPr>
        <w:t>Tělovýchovná jednota Jiskra, spolek</w:t>
      </w:r>
    </w:p>
    <w:p w:rsidR="005152CC" w:rsidRPr="005B1A5A" w:rsidRDefault="005152CC" w:rsidP="005152CC">
      <w:pPr>
        <w:widowControl w:val="0"/>
        <w:spacing w:before="120"/>
      </w:pPr>
      <w:r w:rsidRPr="005B1A5A">
        <w:t xml:space="preserve">se sídlem </w:t>
      </w:r>
      <w:r w:rsidR="00911997">
        <w:t>U Tělocvičny 228, 463 11, Liberec 30</w:t>
      </w:r>
    </w:p>
    <w:p w:rsidR="005152CC" w:rsidRPr="00F835BC" w:rsidRDefault="005152CC" w:rsidP="005152CC">
      <w:pPr>
        <w:widowControl w:val="0"/>
        <w:spacing w:before="120"/>
      </w:pPr>
      <w:r w:rsidRPr="005B1A5A">
        <w:t>zastoupená</w:t>
      </w:r>
      <w:r w:rsidR="005B1A5A" w:rsidRPr="005B1A5A">
        <w:t xml:space="preserve"> </w:t>
      </w:r>
      <w:r w:rsidR="00911997">
        <w:t>Ing. Tomášem Nejdlem, předsedou</w:t>
      </w:r>
    </w:p>
    <w:p w:rsidR="005152CC" w:rsidRPr="00911997" w:rsidRDefault="005152CC" w:rsidP="005152CC">
      <w:pPr>
        <w:widowControl w:val="0"/>
        <w:spacing w:before="120"/>
      </w:pPr>
      <w:r w:rsidRPr="00911997">
        <w:t>IČ</w:t>
      </w:r>
      <w:r w:rsidR="00911997" w:rsidRPr="00911997">
        <w:t xml:space="preserve"> 467 463 15</w:t>
      </w:r>
    </w:p>
    <w:p w:rsidR="005152CC" w:rsidRPr="00F835BC" w:rsidRDefault="005152CC" w:rsidP="005152CC">
      <w:pPr>
        <w:widowControl w:val="0"/>
        <w:spacing w:before="120"/>
      </w:pPr>
      <w:r w:rsidRPr="00F835BC">
        <w:t xml:space="preserve">bankovní spojení: </w:t>
      </w:r>
      <w:r w:rsidR="005B1A5A">
        <w:t xml:space="preserve">Česká spořitelna, a.s. </w:t>
      </w:r>
    </w:p>
    <w:p w:rsidR="005152CC" w:rsidRPr="00F835BC" w:rsidRDefault="005152CC" w:rsidP="005152CC">
      <w:pPr>
        <w:widowControl w:val="0"/>
        <w:spacing w:before="120"/>
      </w:pPr>
      <w:r w:rsidRPr="00F835BC">
        <w:t xml:space="preserve">číslo účtu: </w:t>
      </w:r>
      <w:r w:rsidR="00D240F9">
        <w:t>341 861 5399/0800</w:t>
      </w:r>
    </w:p>
    <w:p w:rsidR="005152CC" w:rsidRDefault="005152CC" w:rsidP="005152CC">
      <w:pPr>
        <w:widowControl w:val="0"/>
        <w:autoSpaceDE w:val="0"/>
        <w:autoSpaceDN w:val="0"/>
        <w:adjustRightInd w:val="0"/>
        <w:spacing w:line="181" w:lineRule="exact"/>
      </w:pPr>
    </w:p>
    <w:p w:rsidR="005B1A5A" w:rsidRPr="00F835BC" w:rsidRDefault="005B1A5A" w:rsidP="005152CC">
      <w:pPr>
        <w:widowControl w:val="0"/>
        <w:autoSpaceDE w:val="0"/>
        <w:autoSpaceDN w:val="0"/>
        <w:adjustRightInd w:val="0"/>
        <w:spacing w:line="181" w:lineRule="exact"/>
      </w:pPr>
    </w:p>
    <w:p w:rsidR="005152CC" w:rsidRPr="00F835BC" w:rsidRDefault="005152CC" w:rsidP="005152CC">
      <w:pPr>
        <w:widowControl w:val="0"/>
        <w:autoSpaceDE w:val="0"/>
        <w:autoSpaceDN w:val="0"/>
        <w:adjustRightInd w:val="0"/>
        <w:spacing w:line="2" w:lineRule="exact"/>
      </w:pPr>
    </w:p>
    <w:p w:rsidR="005152CC" w:rsidRDefault="005152CC" w:rsidP="005152CC">
      <w:pPr>
        <w:widowControl w:val="0"/>
        <w:autoSpaceDE w:val="0"/>
        <w:autoSpaceDN w:val="0"/>
        <w:adjustRightInd w:val="0"/>
        <w:rPr>
          <w:rFonts w:cs="Calibri"/>
        </w:rPr>
      </w:pPr>
      <w:r w:rsidRPr="00F835BC">
        <w:rPr>
          <w:rFonts w:cs="Calibri"/>
        </w:rPr>
        <w:t>Na straně druhé jako nájemc</w:t>
      </w:r>
      <w:r>
        <w:rPr>
          <w:rFonts w:cs="Calibri"/>
        </w:rPr>
        <w:t>e</w:t>
      </w:r>
      <w:r w:rsidRPr="00F835BC">
        <w:rPr>
          <w:rFonts w:cs="Calibri"/>
        </w:rPr>
        <w:t xml:space="preserve"> (dále jen jako nájemce).</w:t>
      </w:r>
    </w:p>
    <w:p w:rsidR="005152CC" w:rsidRPr="00F835BC" w:rsidRDefault="005152CC" w:rsidP="005152CC">
      <w:pPr>
        <w:widowControl w:val="0"/>
        <w:autoSpaceDE w:val="0"/>
        <w:autoSpaceDN w:val="0"/>
        <w:adjustRightInd w:val="0"/>
      </w:pPr>
    </w:p>
    <w:p w:rsidR="005152CC" w:rsidRPr="00F835BC" w:rsidRDefault="005152CC" w:rsidP="005152CC">
      <w:pPr>
        <w:widowControl w:val="0"/>
        <w:autoSpaceDE w:val="0"/>
        <w:autoSpaceDN w:val="0"/>
        <w:adjustRightInd w:val="0"/>
        <w:spacing w:line="180" w:lineRule="exact"/>
      </w:pPr>
    </w:p>
    <w:p w:rsidR="005152CC" w:rsidRPr="00911997" w:rsidRDefault="005152CC" w:rsidP="005152CC">
      <w:pPr>
        <w:widowControl w:val="0"/>
        <w:autoSpaceDE w:val="0"/>
        <w:autoSpaceDN w:val="0"/>
        <w:adjustRightInd w:val="0"/>
        <w:ind w:left="3580"/>
      </w:pPr>
      <w:r w:rsidRPr="00911997">
        <w:rPr>
          <w:rFonts w:cs="Calibri"/>
        </w:rPr>
        <w:t>Čl. I. Smluvní strany</w:t>
      </w:r>
    </w:p>
    <w:p w:rsidR="005152CC" w:rsidRPr="00F835BC" w:rsidRDefault="005152CC" w:rsidP="005152CC">
      <w:pPr>
        <w:widowControl w:val="0"/>
        <w:autoSpaceDE w:val="0"/>
        <w:autoSpaceDN w:val="0"/>
        <w:adjustRightInd w:val="0"/>
        <w:spacing w:line="24" w:lineRule="exact"/>
      </w:pPr>
    </w:p>
    <w:p w:rsidR="005152CC" w:rsidRDefault="005152CC" w:rsidP="005152CC">
      <w:pPr>
        <w:widowControl w:val="0"/>
        <w:numPr>
          <w:ilvl w:val="0"/>
          <w:numId w:val="1"/>
        </w:numPr>
        <w:tabs>
          <w:tab w:val="clear" w:pos="720"/>
          <w:tab w:val="num" w:pos="426"/>
        </w:tabs>
        <w:overflowPunct w:val="0"/>
        <w:autoSpaceDE w:val="0"/>
        <w:autoSpaceDN w:val="0"/>
        <w:adjustRightInd w:val="0"/>
        <w:ind w:left="426" w:hanging="426"/>
        <w:jc w:val="both"/>
        <w:rPr>
          <w:rFonts w:cs="Calibri"/>
        </w:rPr>
      </w:pPr>
      <w:r w:rsidRPr="00F835BC">
        <w:rPr>
          <w:rFonts w:cs="Calibri"/>
        </w:rPr>
        <w:t xml:space="preserve">Pronajímatel je </w:t>
      </w:r>
      <w:r w:rsidRPr="008425C0">
        <w:rPr>
          <w:rFonts w:cs="Calibri"/>
        </w:rPr>
        <w:t>městským obvodem, jehož činnost při sjednání této smlouvy nesměřuje k dosažení zisku</w:t>
      </w:r>
      <w:r w:rsidRPr="00F835BC">
        <w:rPr>
          <w:rFonts w:cs="Calibri"/>
        </w:rPr>
        <w:t xml:space="preserve">. </w:t>
      </w:r>
      <w:r w:rsidRPr="008425C0">
        <w:rPr>
          <w:rFonts w:cs="Calibri"/>
        </w:rPr>
        <w:t xml:space="preserve"> Pronajímatel vystupuje tak, aby s péčí řádného hospodáře nakládal se svým majetkem a pomáhal v souladu se zákonem o obcích</w:t>
      </w:r>
      <w:r w:rsidRPr="00E33A3C">
        <w:t xml:space="preserve"> </w:t>
      </w:r>
      <w:r w:rsidRPr="008425C0">
        <w:rPr>
          <w:rFonts w:cs="Calibri"/>
        </w:rPr>
        <w:t xml:space="preserve">pečovat o potřeby svých občanů. Smluvní strany proto sjednávají tuto rámcovou nájemní smlouvu, podle které si nájemce závaznou a pronajímatelem potvrzenou objednávkou učiněnou telefonicky, osobně či formou emailu prostřednictvím </w:t>
      </w:r>
      <w:r>
        <w:rPr>
          <w:rFonts w:cs="Calibri"/>
        </w:rPr>
        <w:t>I</w:t>
      </w:r>
      <w:r w:rsidRPr="008425C0">
        <w:rPr>
          <w:rFonts w:cs="Calibri"/>
        </w:rPr>
        <w:t>nformačního centra</w:t>
      </w:r>
      <w:r>
        <w:rPr>
          <w:rFonts w:cs="Calibri"/>
        </w:rPr>
        <w:t xml:space="preserve"> Kulturního centra VRATISLAVICE 101010 provozovaného</w:t>
      </w:r>
      <w:r w:rsidRPr="008425C0">
        <w:rPr>
          <w:rFonts w:cs="Calibri"/>
        </w:rPr>
        <w:t xml:space="preserve"> pronajímatele</w:t>
      </w:r>
      <w:r>
        <w:rPr>
          <w:rFonts w:cs="Calibri"/>
        </w:rPr>
        <w:t>m</w:t>
      </w:r>
      <w:r w:rsidRPr="008425C0">
        <w:rPr>
          <w:rFonts w:cs="Calibri"/>
        </w:rPr>
        <w:t xml:space="preserve"> pronajme dále uvedený předmět nájmu za podmínek stanovených touto smlouvou. Smluvní strany sjednávají, že nájemce nemá na převzetí předmětu nájmu právní nárok, poku</w:t>
      </w:r>
      <w:r w:rsidRPr="00F835BC">
        <w:rPr>
          <w:rFonts w:cs="Calibri"/>
        </w:rPr>
        <w:t>d</w:t>
      </w:r>
      <w:r w:rsidRPr="008425C0">
        <w:rPr>
          <w:rFonts w:cs="Calibri"/>
        </w:rPr>
        <w:t xml:space="preserve"> je tento v době požadované nájemcem předán jinému nájemci nebo jej pronajímatel potřebuje pro svoji potřebu. </w:t>
      </w:r>
    </w:p>
    <w:p w:rsidR="005152CC" w:rsidRPr="008425C0" w:rsidRDefault="005152CC" w:rsidP="005152CC">
      <w:pPr>
        <w:widowControl w:val="0"/>
        <w:overflowPunct w:val="0"/>
        <w:autoSpaceDE w:val="0"/>
        <w:autoSpaceDN w:val="0"/>
        <w:adjustRightInd w:val="0"/>
        <w:ind w:left="426"/>
        <w:jc w:val="both"/>
        <w:rPr>
          <w:rFonts w:cs="Calibri"/>
        </w:rPr>
      </w:pPr>
    </w:p>
    <w:p w:rsidR="005152CC" w:rsidRDefault="005152CC" w:rsidP="005152CC">
      <w:pPr>
        <w:widowControl w:val="0"/>
        <w:numPr>
          <w:ilvl w:val="0"/>
          <w:numId w:val="1"/>
        </w:numPr>
        <w:tabs>
          <w:tab w:val="clear" w:pos="720"/>
          <w:tab w:val="num" w:pos="426"/>
        </w:tabs>
        <w:overflowPunct w:val="0"/>
        <w:autoSpaceDE w:val="0"/>
        <w:autoSpaceDN w:val="0"/>
        <w:adjustRightInd w:val="0"/>
        <w:ind w:left="426" w:hanging="426"/>
        <w:jc w:val="both"/>
        <w:rPr>
          <w:rFonts w:cs="Calibri"/>
        </w:rPr>
      </w:pPr>
      <w:r w:rsidRPr="00F835BC">
        <w:rPr>
          <w:rFonts w:cs="Calibri"/>
        </w:rPr>
        <w:t xml:space="preserve">Kontaktní </w:t>
      </w:r>
      <w:r>
        <w:rPr>
          <w:rFonts w:cs="Calibri"/>
        </w:rPr>
        <w:t>telefon na</w:t>
      </w:r>
      <w:r w:rsidRPr="00F835BC">
        <w:rPr>
          <w:rFonts w:cs="Calibri"/>
        </w:rPr>
        <w:t xml:space="preserve"> </w:t>
      </w:r>
      <w:r>
        <w:rPr>
          <w:rFonts w:cs="Calibri"/>
        </w:rPr>
        <w:t>pronajímatele</w:t>
      </w:r>
      <w:r w:rsidRPr="00F835BC">
        <w:rPr>
          <w:rFonts w:cs="Calibri"/>
        </w:rPr>
        <w:t xml:space="preserve"> je </w:t>
      </w:r>
      <w:r>
        <w:rPr>
          <w:rFonts w:cs="Calibri"/>
        </w:rPr>
        <w:t>773 584</w:t>
      </w:r>
      <w:r w:rsidR="005B1A5A">
        <w:rPr>
          <w:rFonts w:cs="Calibri"/>
        </w:rPr>
        <w:t> </w:t>
      </w:r>
      <w:r>
        <w:rPr>
          <w:rFonts w:cs="Calibri"/>
        </w:rPr>
        <w:t>374</w:t>
      </w:r>
      <w:r w:rsidR="005B1A5A">
        <w:rPr>
          <w:rFonts w:cs="Calibri"/>
        </w:rPr>
        <w:t xml:space="preserve"> nebo 482 321 811.</w:t>
      </w:r>
      <w:r>
        <w:rPr>
          <w:rFonts w:cs="Calibri"/>
        </w:rPr>
        <w:br/>
      </w:r>
      <w:r w:rsidRPr="00B1284C">
        <w:rPr>
          <w:rFonts w:cs="Calibri"/>
        </w:rPr>
        <w:t>Kontaktní</w:t>
      </w:r>
      <w:r w:rsidRPr="00F835BC">
        <w:rPr>
          <w:rFonts w:cs="Calibri"/>
        </w:rPr>
        <w:t xml:space="preserve"> telefon na nájemce je </w:t>
      </w:r>
      <w:r w:rsidR="00EE524E">
        <w:rPr>
          <w:rFonts w:cs="Calibri"/>
        </w:rPr>
        <w:t>723 716</w:t>
      </w:r>
      <w:r w:rsidR="00D240F9">
        <w:rPr>
          <w:rFonts w:cs="Calibri"/>
        </w:rPr>
        <w:t> </w:t>
      </w:r>
      <w:r w:rsidR="00EE524E">
        <w:rPr>
          <w:rFonts w:cs="Calibri"/>
        </w:rPr>
        <w:t>323</w:t>
      </w:r>
      <w:r w:rsidR="00D240F9">
        <w:rPr>
          <w:rFonts w:cs="Calibri"/>
        </w:rPr>
        <w:t xml:space="preserve"> (Romana Blinková – vedoucí fotbalového oddílu)</w:t>
      </w:r>
      <w:r w:rsidR="00EE524E">
        <w:rPr>
          <w:rFonts w:cs="Calibri"/>
        </w:rPr>
        <w:t>.</w:t>
      </w:r>
    </w:p>
    <w:p w:rsidR="005152CC" w:rsidRDefault="005152CC" w:rsidP="005152CC">
      <w:pPr>
        <w:widowControl w:val="0"/>
        <w:overflowPunct w:val="0"/>
        <w:autoSpaceDE w:val="0"/>
        <w:autoSpaceDN w:val="0"/>
        <w:adjustRightInd w:val="0"/>
        <w:ind w:left="426"/>
        <w:jc w:val="both"/>
        <w:rPr>
          <w:rFonts w:cs="Calibri"/>
        </w:rPr>
      </w:pPr>
    </w:p>
    <w:p w:rsidR="005152CC" w:rsidRDefault="005152CC" w:rsidP="005152CC">
      <w:pPr>
        <w:widowControl w:val="0"/>
        <w:numPr>
          <w:ilvl w:val="0"/>
          <w:numId w:val="1"/>
        </w:numPr>
        <w:tabs>
          <w:tab w:val="clear" w:pos="720"/>
          <w:tab w:val="num" w:pos="426"/>
        </w:tabs>
        <w:overflowPunct w:val="0"/>
        <w:autoSpaceDE w:val="0"/>
        <w:autoSpaceDN w:val="0"/>
        <w:adjustRightInd w:val="0"/>
        <w:ind w:left="426" w:hanging="426"/>
        <w:jc w:val="both"/>
        <w:rPr>
          <w:rFonts w:cs="Calibri"/>
        </w:rPr>
      </w:pPr>
      <w:r w:rsidRPr="00F835BC">
        <w:rPr>
          <w:rFonts w:cs="Calibri"/>
        </w:rPr>
        <w:t xml:space="preserve">Budou-li platby dle vzájemné dohody prováděny bezhotovostně, číslo účtu pronajímatele je </w:t>
      </w:r>
      <w:r w:rsidRPr="00F835BC">
        <w:t>0984943369/0800</w:t>
      </w:r>
      <w:r w:rsidRPr="00B1284C">
        <w:t xml:space="preserve"> variabilní symbol </w:t>
      </w:r>
      <w:r>
        <w:t>uveden na faktuře.</w:t>
      </w:r>
      <w:r w:rsidRPr="00F835BC">
        <w:rPr>
          <w:rFonts w:cs="Calibri"/>
        </w:rPr>
        <w:t xml:space="preserve"> Platba se má za provedenou </w:t>
      </w:r>
      <w:r w:rsidRPr="00F835BC">
        <w:rPr>
          <w:rFonts w:cs="Calibri"/>
        </w:rPr>
        <w:lastRenderedPageBreak/>
        <w:t xml:space="preserve">dnem připsání na účet pronajímatele. </w:t>
      </w:r>
    </w:p>
    <w:p w:rsidR="005152CC" w:rsidRDefault="005152CC" w:rsidP="005152CC">
      <w:pPr>
        <w:widowControl w:val="0"/>
        <w:overflowPunct w:val="0"/>
        <w:autoSpaceDE w:val="0"/>
        <w:autoSpaceDN w:val="0"/>
        <w:adjustRightInd w:val="0"/>
        <w:ind w:left="426"/>
        <w:jc w:val="both"/>
        <w:rPr>
          <w:rFonts w:cs="Calibri"/>
        </w:rPr>
      </w:pPr>
    </w:p>
    <w:p w:rsidR="005152CC" w:rsidRDefault="005152CC" w:rsidP="005152CC">
      <w:pPr>
        <w:widowControl w:val="0"/>
        <w:numPr>
          <w:ilvl w:val="0"/>
          <w:numId w:val="1"/>
        </w:numPr>
        <w:tabs>
          <w:tab w:val="clear" w:pos="720"/>
          <w:tab w:val="num" w:pos="426"/>
        </w:tabs>
        <w:overflowPunct w:val="0"/>
        <w:autoSpaceDE w:val="0"/>
        <w:autoSpaceDN w:val="0"/>
        <w:adjustRightInd w:val="0"/>
        <w:ind w:left="426" w:hanging="426"/>
        <w:jc w:val="both"/>
        <w:rPr>
          <w:rFonts w:cs="Calibri"/>
        </w:rPr>
      </w:pPr>
      <w:r w:rsidRPr="00C63F3F">
        <w:rPr>
          <w:rFonts w:cs="Calibri"/>
        </w:rPr>
        <w:t>A</w:t>
      </w:r>
      <w:r w:rsidRPr="00F835BC">
        <w:rPr>
          <w:rFonts w:cs="Calibri"/>
        </w:rPr>
        <w:t xml:space="preserve">utomobil </w:t>
      </w:r>
      <w:r w:rsidRPr="00C63F3F">
        <w:rPr>
          <w:rFonts w:cs="Calibri"/>
        </w:rPr>
        <w:t xml:space="preserve">bude </w:t>
      </w:r>
      <w:r w:rsidRPr="00F835BC">
        <w:rPr>
          <w:rFonts w:cs="Calibri"/>
        </w:rPr>
        <w:t xml:space="preserve">předán do nájmu </w:t>
      </w:r>
      <w:r w:rsidRPr="00C63F3F">
        <w:rPr>
          <w:rFonts w:cs="Calibri"/>
        </w:rPr>
        <w:t>na adrese Technického střediska</w:t>
      </w:r>
      <w:r>
        <w:rPr>
          <w:rFonts w:cs="Calibri"/>
        </w:rPr>
        <w:t>,</w:t>
      </w:r>
      <w:r w:rsidRPr="00C63F3F">
        <w:rPr>
          <w:rFonts w:cs="Calibri"/>
        </w:rPr>
        <w:t xml:space="preserve"> Dřevařská 1637, 463 11 Liberec</w:t>
      </w:r>
      <w:r>
        <w:rPr>
          <w:rFonts w:cs="Calibri"/>
        </w:rPr>
        <w:t xml:space="preserve"> 30</w:t>
      </w:r>
      <w:r w:rsidRPr="00C63F3F">
        <w:rPr>
          <w:rFonts w:cs="Calibri"/>
        </w:rPr>
        <w:t xml:space="preserve"> </w:t>
      </w:r>
      <w:r w:rsidRPr="00F835BC">
        <w:rPr>
          <w:rFonts w:cs="Calibri"/>
        </w:rPr>
        <w:t>a zde bude také nájemcem pronajímateli vrácen, nedohodnou-li sm</w:t>
      </w:r>
      <w:r w:rsidRPr="00C63F3F">
        <w:rPr>
          <w:rFonts w:cs="Calibri"/>
        </w:rPr>
        <w:t>l</w:t>
      </w:r>
      <w:r w:rsidRPr="00F835BC">
        <w:rPr>
          <w:rFonts w:cs="Calibri"/>
        </w:rPr>
        <w:t>uv</w:t>
      </w:r>
      <w:r w:rsidRPr="00C63F3F">
        <w:rPr>
          <w:rFonts w:cs="Calibri"/>
        </w:rPr>
        <w:t>n</w:t>
      </w:r>
      <w:r w:rsidRPr="00F835BC">
        <w:rPr>
          <w:rFonts w:cs="Calibri"/>
        </w:rPr>
        <w:t>í strany</w:t>
      </w:r>
      <w:r>
        <w:rPr>
          <w:rFonts w:cs="Calibri"/>
        </w:rPr>
        <w:t xml:space="preserve"> jinak</w:t>
      </w:r>
      <w:r w:rsidRPr="00F835BC">
        <w:rPr>
          <w:rFonts w:cs="Calibri"/>
        </w:rPr>
        <w:t xml:space="preserve">. </w:t>
      </w:r>
    </w:p>
    <w:p w:rsidR="005152CC" w:rsidRDefault="005152CC" w:rsidP="005152CC">
      <w:pPr>
        <w:widowControl w:val="0"/>
        <w:overflowPunct w:val="0"/>
        <w:autoSpaceDE w:val="0"/>
        <w:autoSpaceDN w:val="0"/>
        <w:adjustRightInd w:val="0"/>
        <w:ind w:left="426"/>
        <w:jc w:val="both"/>
        <w:rPr>
          <w:rFonts w:cs="Calibri"/>
        </w:rPr>
      </w:pPr>
    </w:p>
    <w:p w:rsidR="005152CC" w:rsidRPr="00F835BC" w:rsidRDefault="005152CC" w:rsidP="005152CC">
      <w:pPr>
        <w:widowControl w:val="0"/>
        <w:numPr>
          <w:ilvl w:val="0"/>
          <w:numId w:val="1"/>
        </w:numPr>
        <w:tabs>
          <w:tab w:val="clear" w:pos="720"/>
          <w:tab w:val="num" w:pos="426"/>
        </w:tabs>
        <w:overflowPunct w:val="0"/>
        <w:autoSpaceDE w:val="0"/>
        <w:autoSpaceDN w:val="0"/>
        <w:adjustRightInd w:val="0"/>
        <w:ind w:left="426" w:hanging="426"/>
        <w:jc w:val="both"/>
        <w:rPr>
          <w:rFonts w:cs="Calibri"/>
        </w:rPr>
      </w:pPr>
      <w:r w:rsidRPr="00F835BC">
        <w:rPr>
          <w:rFonts w:cs="Calibri"/>
        </w:rPr>
        <w:t xml:space="preserve">Nájemce splní svůj závazek - předmět nájmu převzít a po uplynutí sjednané doby nebo skončení nájmu jiným zákonem nebo touto smlouvou předpokládaným způsobem vrátit dojde-li k vrácení v místě </w:t>
      </w:r>
      <w:r w:rsidRPr="00C63F3F">
        <w:rPr>
          <w:rFonts w:cs="Calibri"/>
        </w:rPr>
        <w:t>uvedeném v odst. 4</w:t>
      </w:r>
      <w:r w:rsidRPr="00F835BC">
        <w:rPr>
          <w:rFonts w:cs="Calibri"/>
        </w:rPr>
        <w:t xml:space="preserve">, nedohodnou-li smluvní strany písemně něco jiného. Písemná forma dohody je splněna též potvrzením </w:t>
      </w:r>
      <w:r w:rsidRPr="00C63F3F">
        <w:rPr>
          <w:rFonts w:cs="Calibri"/>
        </w:rPr>
        <w:t>formou emailu</w:t>
      </w:r>
      <w:r w:rsidRPr="00F835BC">
        <w:rPr>
          <w:rFonts w:cs="Calibri"/>
        </w:rPr>
        <w:t xml:space="preserve">. </w:t>
      </w:r>
    </w:p>
    <w:p w:rsidR="005152CC" w:rsidRPr="00F835BC" w:rsidRDefault="005152CC" w:rsidP="005152CC">
      <w:pPr>
        <w:widowControl w:val="0"/>
        <w:autoSpaceDE w:val="0"/>
        <w:autoSpaceDN w:val="0"/>
        <w:adjustRightInd w:val="0"/>
        <w:spacing w:line="149" w:lineRule="exact"/>
        <w:ind w:left="426" w:hanging="426"/>
        <w:jc w:val="both"/>
        <w:rPr>
          <w:rFonts w:cs="Calibri"/>
        </w:rPr>
      </w:pPr>
    </w:p>
    <w:p w:rsidR="005152CC" w:rsidRDefault="005152CC" w:rsidP="005152CC">
      <w:pPr>
        <w:widowControl w:val="0"/>
        <w:numPr>
          <w:ilvl w:val="0"/>
          <w:numId w:val="2"/>
        </w:numPr>
        <w:tabs>
          <w:tab w:val="num" w:pos="348"/>
        </w:tabs>
        <w:overflowPunct w:val="0"/>
        <w:autoSpaceDE w:val="0"/>
        <w:autoSpaceDN w:val="0"/>
        <w:adjustRightInd w:val="0"/>
        <w:spacing w:line="259" w:lineRule="auto"/>
        <w:ind w:left="426" w:right="140" w:hanging="426"/>
        <w:jc w:val="both"/>
        <w:rPr>
          <w:rFonts w:cs="Calibri"/>
        </w:rPr>
      </w:pPr>
      <w:r w:rsidRPr="00F835BC">
        <w:rPr>
          <w:rFonts w:cs="Calibri"/>
        </w:rPr>
        <w:t xml:space="preserve">Nájemce je </w:t>
      </w:r>
      <w:r w:rsidRPr="00B1284C">
        <w:rPr>
          <w:rFonts w:cs="Calibri"/>
        </w:rPr>
        <w:t>spolkem</w:t>
      </w:r>
      <w:r w:rsidRPr="00F835BC">
        <w:rPr>
          <w:rFonts w:cs="Calibri"/>
        </w:rPr>
        <w:t xml:space="preserve">. Předmět nájmu nesmí být využit k podnikání nájemce, a to ani právně, ani fakticky. Účelem nájmu je využití předmětu nájmu </w:t>
      </w:r>
      <w:r>
        <w:rPr>
          <w:rFonts w:cs="Calibri"/>
        </w:rPr>
        <w:t>k naplnění hlavní činnosti nájemce</w:t>
      </w:r>
      <w:r w:rsidRPr="00F835BC">
        <w:rPr>
          <w:rFonts w:cs="Calibri"/>
        </w:rPr>
        <w:t xml:space="preserve">. Při porušení sjednaného účelu nájmu je pronajímatel oprávněn od smlouvy odstoupit. Pro případ porušení zde uvedené povinnosti sjednává se smluvní pokuta 3.000 Kč. Jejím zaplacením nezaniká právo pronajímatele na úhradu způsobené škody. </w:t>
      </w:r>
      <w:bookmarkStart w:id="1" w:name="page2"/>
      <w:bookmarkEnd w:id="1"/>
    </w:p>
    <w:p w:rsidR="005152CC" w:rsidRDefault="005152CC" w:rsidP="005152CC">
      <w:pPr>
        <w:widowControl w:val="0"/>
        <w:overflowPunct w:val="0"/>
        <w:autoSpaceDE w:val="0"/>
        <w:autoSpaceDN w:val="0"/>
        <w:adjustRightInd w:val="0"/>
        <w:spacing w:line="259" w:lineRule="auto"/>
        <w:ind w:left="426" w:right="140" w:hanging="426"/>
        <w:jc w:val="both"/>
        <w:rPr>
          <w:rFonts w:cs="Calibri"/>
        </w:rPr>
      </w:pPr>
    </w:p>
    <w:p w:rsidR="005152CC" w:rsidRPr="00F835BC" w:rsidRDefault="005152CC" w:rsidP="005152CC">
      <w:pPr>
        <w:widowControl w:val="0"/>
        <w:numPr>
          <w:ilvl w:val="0"/>
          <w:numId w:val="2"/>
        </w:numPr>
        <w:tabs>
          <w:tab w:val="num" w:pos="348"/>
        </w:tabs>
        <w:overflowPunct w:val="0"/>
        <w:autoSpaceDE w:val="0"/>
        <w:autoSpaceDN w:val="0"/>
        <w:adjustRightInd w:val="0"/>
        <w:spacing w:line="259" w:lineRule="auto"/>
        <w:ind w:left="426" w:right="140" w:hanging="426"/>
        <w:jc w:val="both"/>
        <w:rPr>
          <w:rFonts w:cs="Calibri"/>
        </w:rPr>
      </w:pPr>
      <w:r w:rsidRPr="00F835BC">
        <w:rPr>
          <w:rFonts w:cs="Calibri"/>
        </w:rPr>
        <w:t xml:space="preserve">Předmět nájmu – </w:t>
      </w:r>
      <w:r w:rsidRPr="00B1284C">
        <w:rPr>
          <w:rFonts w:cs="Calibri"/>
        </w:rPr>
        <w:t>osobní víceúčelový</w:t>
      </w:r>
      <w:r w:rsidRPr="00F835BC">
        <w:rPr>
          <w:rFonts w:cs="Calibri"/>
        </w:rPr>
        <w:t xml:space="preserve"> automobil – smí po dobu nájmu řídit pouze </w:t>
      </w:r>
      <w:r w:rsidRPr="00B1284C">
        <w:rPr>
          <w:rFonts w:cs="Calibri"/>
        </w:rPr>
        <w:t>statutární orgán spolku, případně jím pověřený člen spolku</w:t>
      </w:r>
      <w:r w:rsidRPr="00F835BC">
        <w:rPr>
          <w:rFonts w:cs="Calibri"/>
        </w:rPr>
        <w:t xml:space="preserve">. Použije-li k řízení nebo jinak užívání vozidla osoba od nájemce odlišná (vyjma osob v tomto ustanovení a vyjma případů odcizení vozidla) odpovídá nájemce pronajímateli za škody způsobené na předmětu nájmu tak, jakoby vozidlo řídil nebo užíval sám. Pro případ porušení povinnosti neumožnit řízení vozidla osobám v tomto ustanovení uvedeným se sjednává smluvní pokuta ve výši 3.000 Kč. Jejím zaplacením nezaniká právo pronajímatele na úhradu způsobené škody. </w:t>
      </w:r>
    </w:p>
    <w:p w:rsidR="005152CC" w:rsidRPr="00F835BC" w:rsidRDefault="005152CC" w:rsidP="005152CC">
      <w:pPr>
        <w:widowControl w:val="0"/>
        <w:autoSpaceDE w:val="0"/>
        <w:autoSpaceDN w:val="0"/>
        <w:adjustRightInd w:val="0"/>
        <w:spacing w:line="1" w:lineRule="exact"/>
        <w:ind w:left="426" w:hanging="426"/>
        <w:rPr>
          <w:rFonts w:cs="Calibri"/>
        </w:rPr>
      </w:pPr>
    </w:p>
    <w:p w:rsidR="005152CC" w:rsidRDefault="005152CC" w:rsidP="005152CC">
      <w:pPr>
        <w:widowControl w:val="0"/>
        <w:overflowPunct w:val="0"/>
        <w:autoSpaceDE w:val="0"/>
        <w:autoSpaceDN w:val="0"/>
        <w:adjustRightInd w:val="0"/>
        <w:ind w:left="426" w:hanging="426"/>
        <w:jc w:val="both"/>
        <w:rPr>
          <w:rFonts w:cs="Calibri"/>
        </w:rPr>
      </w:pPr>
    </w:p>
    <w:p w:rsidR="005152CC" w:rsidRPr="00F835BC" w:rsidRDefault="005152CC" w:rsidP="005152CC">
      <w:pPr>
        <w:widowControl w:val="0"/>
        <w:overflowPunct w:val="0"/>
        <w:autoSpaceDE w:val="0"/>
        <w:autoSpaceDN w:val="0"/>
        <w:adjustRightInd w:val="0"/>
        <w:ind w:left="426"/>
        <w:jc w:val="both"/>
        <w:rPr>
          <w:rFonts w:cs="Calibri"/>
        </w:rPr>
      </w:pPr>
      <w:r w:rsidRPr="00F835BC">
        <w:rPr>
          <w:rFonts w:cs="Calibri"/>
        </w:rPr>
        <w:t xml:space="preserve">Osoby, kterým je nájemce oprávněn svěřit k řízení vozidlo: </w:t>
      </w:r>
    </w:p>
    <w:p w:rsidR="005152CC" w:rsidRPr="00F835BC" w:rsidRDefault="005152CC" w:rsidP="005152CC">
      <w:pPr>
        <w:widowControl w:val="0"/>
        <w:autoSpaceDE w:val="0"/>
        <w:autoSpaceDN w:val="0"/>
        <w:adjustRightInd w:val="0"/>
        <w:spacing w:line="311" w:lineRule="exact"/>
        <w:ind w:left="426" w:hanging="426"/>
      </w:pPr>
    </w:p>
    <w:tbl>
      <w:tblPr>
        <w:tblW w:w="8802" w:type="dxa"/>
        <w:tblLayout w:type="fixed"/>
        <w:tblCellMar>
          <w:left w:w="0" w:type="dxa"/>
          <w:right w:w="0" w:type="dxa"/>
        </w:tblCellMar>
        <w:tblLook w:val="0000" w:firstRow="0" w:lastRow="0" w:firstColumn="0" w:lastColumn="0" w:noHBand="0" w:noVBand="0"/>
      </w:tblPr>
      <w:tblGrid>
        <w:gridCol w:w="567"/>
        <w:gridCol w:w="1560"/>
        <w:gridCol w:w="2835"/>
        <w:gridCol w:w="1417"/>
        <w:gridCol w:w="2423"/>
      </w:tblGrid>
      <w:tr w:rsidR="005152CC" w:rsidRPr="00012839" w:rsidTr="00D240F9">
        <w:trPr>
          <w:trHeight w:val="288"/>
        </w:trPr>
        <w:tc>
          <w:tcPr>
            <w:tcW w:w="567" w:type="dxa"/>
            <w:tcBorders>
              <w:top w:val="nil"/>
              <w:left w:val="nil"/>
              <w:bottom w:val="nil"/>
              <w:right w:val="nil"/>
            </w:tcBorders>
          </w:tcPr>
          <w:p w:rsidR="005152CC" w:rsidRPr="00F835BC" w:rsidRDefault="005152CC" w:rsidP="00341CBA">
            <w:pPr>
              <w:widowControl w:val="0"/>
              <w:autoSpaceDE w:val="0"/>
              <w:autoSpaceDN w:val="0"/>
              <w:adjustRightInd w:val="0"/>
              <w:ind w:left="426" w:hanging="426"/>
              <w:rPr>
                <w:rFonts w:cs="Calibri"/>
              </w:rPr>
            </w:pPr>
          </w:p>
        </w:tc>
        <w:tc>
          <w:tcPr>
            <w:tcW w:w="1560" w:type="dxa"/>
            <w:tcBorders>
              <w:top w:val="nil"/>
              <w:left w:val="nil"/>
              <w:bottom w:val="nil"/>
              <w:right w:val="nil"/>
            </w:tcBorders>
            <w:shd w:val="clear" w:color="auto" w:fill="auto"/>
            <w:vAlign w:val="bottom"/>
          </w:tcPr>
          <w:p w:rsidR="005152CC" w:rsidRPr="00D240F9" w:rsidRDefault="005152CC" w:rsidP="00341CBA">
            <w:pPr>
              <w:widowControl w:val="0"/>
              <w:autoSpaceDE w:val="0"/>
              <w:autoSpaceDN w:val="0"/>
              <w:adjustRightInd w:val="0"/>
              <w:ind w:left="426" w:hanging="426"/>
            </w:pPr>
            <w:r w:rsidRPr="00D240F9">
              <w:rPr>
                <w:rFonts w:cs="Calibri"/>
              </w:rPr>
              <w:t>Jméno</w:t>
            </w:r>
          </w:p>
        </w:tc>
        <w:tc>
          <w:tcPr>
            <w:tcW w:w="2835" w:type="dxa"/>
            <w:tcBorders>
              <w:top w:val="nil"/>
              <w:left w:val="nil"/>
              <w:bottom w:val="nil"/>
              <w:right w:val="nil"/>
            </w:tcBorders>
            <w:shd w:val="clear" w:color="auto" w:fill="auto"/>
            <w:vAlign w:val="bottom"/>
          </w:tcPr>
          <w:p w:rsidR="005152CC" w:rsidRPr="00D240F9" w:rsidRDefault="005152CC" w:rsidP="00341CBA">
            <w:pPr>
              <w:widowControl w:val="0"/>
              <w:autoSpaceDE w:val="0"/>
              <w:autoSpaceDN w:val="0"/>
              <w:adjustRightInd w:val="0"/>
              <w:ind w:left="426" w:hanging="426"/>
            </w:pPr>
            <w:r w:rsidRPr="00D240F9">
              <w:rPr>
                <w:rFonts w:cs="Calibri"/>
              </w:rPr>
              <w:t>Příjmení</w:t>
            </w:r>
          </w:p>
        </w:tc>
        <w:tc>
          <w:tcPr>
            <w:tcW w:w="1417" w:type="dxa"/>
            <w:tcBorders>
              <w:top w:val="nil"/>
              <w:left w:val="nil"/>
              <w:bottom w:val="nil"/>
              <w:right w:val="nil"/>
            </w:tcBorders>
            <w:shd w:val="clear" w:color="auto" w:fill="auto"/>
            <w:vAlign w:val="bottom"/>
          </w:tcPr>
          <w:p w:rsidR="005152CC" w:rsidRPr="00D240F9" w:rsidRDefault="005152CC" w:rsidP="00341CBA">
            <w:pPr>
              <w:widowControl w:val="0"/>
              <w:autoSpaceDE w:val="0"/>
              <w:autoSpaceDN w:val="0"/>
              <w:adjustRightInd w:val="0"/>
              <w:ind w:left="426" w:hanging="426"/>
            </w:pPr>
            <w:r w:rsidRPr="00D240F9">
              <w:rPr>
                <w:rFonts w:cs="Calibri"/>
              </w:rPr>
              <w:t>Datum nar.</w:t>
            </w:r>
          </w:p>
        </w:tc>
        <w:tc>
          <w:tcPr>
            <w:tcW w:w="2423" w:type="dxa"/>
            <w:tcBorders>
              <w:top w:val="nil"/>
              <w:left w:val="nil"/>
              <w:bottom w:val="nil"/>
              <w:right w:val="nil"/>
            </w:tcBorders>
            <w:shd w:val="clear" w:color="auto" w:fill="auto"/>
            <w:vAlign w:val="center"/>
          </w:tcPr>
          <w:p w:rsidR="005152CC" w:rsidRPr="00D240F9" w:rsidRDefault="005152CC" w:rsidP="00341CBA">
            <w:pPr>
              <w:widowControl w:val="0"/>
              <w:autoSpaceDE w:val="0"/>
              <w:autoSpaceDN w:val="0"/>
              <w:adjustRightInd w:val="0"/>
              <w:ind w:left="426" w:hanging="426"/>
              <w:rPr>
                <w:rFonts w:cs="Calibri"/>
              </w:rPr>
            </w:pPr>
            <w:r w:rsidRPr="00D240F9">
              <w:rPr>
                <w:rFonts w:cs="Calibri"/>
              </w:rPr>
              <w:t>Číslo řidičského průkazu</w:t>
            </w:r>
          </w:p>
        </w:tc>
      </w:tr>
      <w:tr w:rsidR="005152CC" w:rsidRPr="00F835BC" w:rsidTr="00D240F9">
        <w:trPr>
          <w:trHeight w:val="300"/>
        </w:trPr>
        <w:tc>
          <w:tcPr>
            <w:tcW w:w="567" w:type="dxa"/>
            <w:tcBorders>
              <w:top w:val="nil"/>
              <w:left w:val="nil"/>
              <w:bottom w:val="nil"/>
              <w:right w:val="nil"/>
            </w:tcBorders>
          </w:tcPr>
          <w:p w:rsidR="005152CC" w:rsidRPr="00F835BC" w:rsidDel="00492ED4" w:rsidRDefault="005152CC" w:rsidP="00341CBA">
            <w:pPr>
              <w:widowControl w:val="0"/>
              <w:autoSpaceDE w:val="0"/>
              <w:autoSpaceDN w:val="0"/>
              <w:adjustRightInd w:val="0"/>
              <w:ind w:left="426" w:hanging="426"/>
              <w:rPr>
                <w:rFonts w:cs="Calibri"/>
              </w:rPr>
            </w:pPr>
            <w:r>
              <w:rPr>
                <w:rFonts w:cs="Calibri"/>
              </w:rPr>
              <w:t>1.</w:t>
            </w:r>
          </w:p>
        </w:tc>
        <w:tc>
          <w:tcPr>
            <w:tcW w:w="1560"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 xml:space="preserve">Tomáš </w:t>
            </w:r>
          </w:p>
        </w:tc>
        <w:tc>
          <w:tcPr>
            <w:tcW w:w="2835"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Šidák</w:t>
            </w:r>
          </w:p>
        </w:tc>
        <w:tc>
          <w:tcPr>
            <w:tcW w:w="1417"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21. 11. 1975</w:t>
            </w:r>
          </w:p>
        </w:tc>
        <w:tc>
          <w:tcPr>
            <w:tcW w:w="2423"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EJ 459 792</w:t>
            </w:r>
          </w:p>
        </w:tc>
      </w:tr>
      <w:tr w:rsidR="005152CC" w:rsidRPr="00F835BC" w:rsidTr="00D240F9">
        <w:trPr>
          <w:trHeight w:val="300"/>
        </w:trPr>
        <w:tc>
          <w:tcPr>
            <w:tcW w:w="567" w:type="dxa"/>
            <w:tcBorders>
              <w:top w:val="nil"/>
              <w:left w:val="nil"/>
              <w:bottom w:val="nil"/>
              <w:right w:val="nil"/>
            </w:tcBorders>
          </w:tcPr>
          <w:p w:rsidR="005152CC" w:rsidRPr="00F835BC" w:rsidDel="00492ED4" w:rsidRDefault="005152CC" w:rsidP="00341CBA">
            <w:pPr>
              <w:widowControl w:val="0"/>
              <w:autoSpaceDE w:val="0"/>
              <w:autoSpaceDN w:val="0"/>
              <w:adjustRightInd w:val="0"/>
              <w:ind w:left="426" w:hanging="426"/>
              <w:rPr>
                <w:rFonts w:cs="Calibri"/>
              </w:rPr>
            </w:pPr>
            <w:r>
              <w:rPr>
                <w:rFonts w:cs="Calibri"/>
              </w:rPr>
              <w:t>2.</w:t>
            </w:r>
          </w:p>
        </w:tc>
        <w:tc>
          <w:tcPr>
            <w:tcW w:w="1560"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Ladislav</w:t>
            </w:r>
          </w:p>
        </w:tc>
        <w:tc>
          <w:tcPr>
            <w:tcW w:w="2835"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Hůza</w:t>
            </w:r>
          </w:p>
        </w:tc>
        <w:tc>
          <w:tcPr>
            <w:tcW w:w="1417"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12. 1. 1965</w:t>
            </w:r>
          </w:p>
        </w:tc>
        <w:tc>
          <w:tcPr>
            <w:tcW w:w="2423"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EB 475 357</w:t>
            </w:r>
          </w:p>
        </w:tc>
      </w:tr>
      <w:tr w:rsidR="005152CC" w:rsidRPr="00F835BC" w:rsidTr="00D240F9">
        <w:trPr>
          <w:trHeight w:val="300"/>
        </w:trPr>
        <w:tc>
          <w:tcPr>
            <w:tcW w:w="567" w:type="dxa"/>
            <w:tcBorders>
              <w:top w:val="nil"/>
              <w:left w:val="nil"/>
              <w:bottom w:val="nil"/>
              <w:right w:val="nil"/>
            </w:tcBorders>
          </w:tcPr>
          <w:p w:rsidR="005152CC" w:rsidRPr="00F835BC" w:rsidDel="00492ED4" w:rsidRDefault="005152CC" w:rsidP="00341CBA">
            <w:pPr>
              <w:widowControl w:val="0"/>
              <w:autoSpaceDE w:val="0"/>
              <w:autoSpaceDN w:val="0"/>
              <w:adjustRightInd w:val="0"/>
              <w:ind w:left="426" w:hanging="426"/>
              <w:rPr>
                <w:rFonts w:cs="Calibri"/>
              </w:rPr>
            </w:pPr>
            <w:r>
              <w:rPr>
                <w:rFonts w:cs="Calibri"/>
              </w:rPr>
              <w:t>3.</w:t>
            </w:r>
          </w:p>
        </w:tc>
        <w:tc>
          <w:tcPr>
            <w:tcW w:w="1560"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 xml:space="preserve">Daniel </w:t>
            </w:r>
          </w:p>
        </w:tc>
        <w:tc>
          <w:tcPr>
            <w:tcW w:w="2835"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Vlk</w:t>
            </w:r>
          </w:p>
        </w:tc>
        <w:tc>
          <w:tcPr>
            <w:tcW w:w="1417"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15. 12. 1981</w:t>
            </w:r>
          </w:p>
        </w:tc>
        <w:tc>
          <w:tcPr>
            <w:tcW w:w="2423" w:type="dxa"/>
            <w:tcBorders>
              <w:top w:val="nil"/>
              <w:left w:val="nil"/>
              <w:bottom w:val="nil"/>
              <w:right w:val="nil"/>
            </w:tcBorders>
            <w:shd w:val="clear" w:color="auto" w:fill="auto"/>
            <w:vAlign w:val="bottom"/>
          </w:tcPr>
          <w:p w:rsidR="005152CC" w:rsidRPr="00D240F9" w:rsidRDefault="00D240F9" w:rsidP="00341CBA">
            <w:pPr>
              <w:widowControl w:val="0"/>
              <w:autoSpaceDE w:val="0"/>
              <w:autoSpaceDN w:val="0"/>
              <w:adjustRightInd w:val="0"/>
              <w:ind w:left="426" w:hanging="426"/>
            </w:pPr>
            <w:r w:rsidRPr="00D240F9">
              <w:t>EJ 047342</w:t>
            </w:r>
          </w:p>
        </w:tc>
      </w:tr>
      <w:tr w:rsidR="005152CC" w:rsidRPr="00F835BC" w:rsidTr="00D240F9">
        <w:trPr>
          <w:trHeight w:val="300"/>
        </w:trPr>
        <w:tc>
          <w:tcPr>
            <w:tcW w:w="567" w:type="dxa"/>
            <w:tcBorders>
              <w:top w:val="nil"/>
              <w:left w:val="nil"/>
              <w:bottom w:val="nil"/>
              <w:right w:val="nil"/>
            </w:tcBorders>
          </w:tcPr>
          <w:p w:rsidR="005152CC" w:rsidRPr="00F835BC" w:rsidDel="00492ED4" w:rsidRDefault="005152CC" w:rsidP="00341CBA">
            <w:pPr>
              <w:widowControl w:val="0"/>
              <w:autoSpaceDE w:val="0"/>
              <w:autoSpaceDN w:val="0"/>
              <w:adjustRightInd w:val="0"/>
              <w:ind w:left="426" w:hanging="426"/>
              <w:rPr>
                <w:rFonts w:cs="Calibri"/>
              </w:rPr>
            </w:pPr>
          </w:p>
        </w:tc>
        <w:tc>
          <w:tcPr>
            <w:tcW w:w="1560"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2835"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1417"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2423"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r>
      <w:tr w:rsidR="005152CC" w:rsidRPr="00F835BC" w:rsidTr="00D240F9">
        <w:trPr>
          <w:trHeight w:val="300"/>
        </w:trPr>
        <w:tc>
          <w:tcPr>
            <w:tcW w:w="567" w:type="dxa"/>
            <w:tcBorders>
              <w:top w:val="nil"/>
              <w:left w:val="nil"/>
              <w:bottom w:val="nil"/>
              <w:right w:val="nil"/>
            </w:tcBorders>
          </w:tcPr>
          <w:p w:rsidR="005152CC" w:rsidRPr="00F835BC" w:rsidDel="00492ED4" w:rsidRDefault="005152CC" w:rsidP="00341CBA">
            <w:pPr>
              <w:widowControl w:val="0"/>
              <w:autoSpaceDE w:val="0"/>
              <w:autoSpaceDN w:val="0"/>
              <w:adjustRightInd w:val="0"/>
              <w:ind w:left="426" w:hanging="426"/>
              <w:rPr>
                <w:rFonts w:cs="Calibri"/>
              </w:rPr>
            </w:pPr>
          </w:p>
        </w:tc>
        <w:tc>
          <w:tcPr>
            <w:tcW w:w="1560"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2835"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1417"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c>
          <w:tcPr>
            <w:tcW w:w="2423" w:type="dxa"/>
            <w:tcBorders>
              <w:top w:val="nil"/>
              <w:left w:val="nil"/>
              <w:bottom w:val="nil"/>
              <w:right w:val="nil"/>
            </w:tcBorders>
            <w:vAlign w:val="bottom"/>
          </w:tcPr>
          <w:p w:rsidR="005152CC" w:rsidRPr="00F835BC" w:rsidRDefault="005152CC" w:rsidP="00341CBA">
            <w:pPr>
              <w:widowControl w:val="0"/>
              <w:autoSpaceDE w:val="0"/>
              <w:autoSpaceDN w:val="0"/>
              <w:adjustRightInd w:val="0"/>
              <w:ind w:left="426" w:hanging="426"/>
            </w:pPr>
          </w:p>
        </w:tc>
      </w:tr>
    </w:tbl>
    <w:p w:rsidR="005152CC" w:rsidRPr="00F835BC" w:rsidRDefault="005152CC" w:rsidP="005152CC">
      <w:pPr>
        <w:widowControl w:val="0"/>
        <w:autoSpaceDE w:val="0"/>
        <w:autoSpaceDN w:val="0"/>
        <w:adjustRightInd w:val="0"/>
        <w:spacing w:line="302" w:lineRule="exact"/>
        <w:ind w:left="426" w:hanging="426"/>
      </w:pPr>
    </w:p>
    <w:p w:rsidR="005152CC" w:rsidRPr="00F835BC" w:rsidRDefault="005152CC" w:rsidP="005152CC">
      <w:pPr>
        <w:widowControl w:val="0"/>
        <w:overflowPunct w:val="0"/>
        <w:autoSpaceDE w:val="0"/>
        <w:autoSpaceDN w:val="0"/>
        <w:adjustRightInd w:val="0"/>
        <w:spacing w:line="263" w:lineRule="auto"/>
        <w:ind w:left="426" w:right="60"/>
        <w:jc w:val="both"/>
      </w:pPr>
      <w:r w:rsidRPr="00F835BC">
        <w:rPr>
          <w:rFonts w:cs="Calibri"/>
        </w:rPr>
        <w:t>Nájemce prohlašuje a svým pod</w:t>
      </w:r>
      <w:r>
        <w:rPr>
          <w:rFonts w:cs="Calibri"/>
        </w:rPr>
        <w:t>p</w:t>
      </w:r>
      <w:r w:rsidRPr="00F835BC">
        <w:rPr>
          <w:rFonts w:cs="Calibri"/>
        </w:rPr>
        <w:t xml:space="preserve">isem stvrzuje, že tyto osoby označil v souladu se skutečností a s jejich výslovným souhlasem k tomu, aby jejich údaje byly takto v této smlouvě uvedeny. </w:t>
      </w:r>
    </w:p>
    <w:p w:rsidR="005152CC" w:rsidRPr="00F835BC" w:rsidRDefault="005152CC" w:rsidP="005152CC">
      <w:pPr>
        <w:widowControl w:val="0"/>
        <w:autoSpaceDE w:val="0"/>
        <w:autoSpaceDN w:val="0"/>
        <w:adjustRightInd w:val="0"/>
        <w:spacing w:line="147" w:lineRule="exact"/>
        <w:ind w:left="426" w:hanging="426"/>
        <w:jc w:val="both"/>
      </w:pPr>
    </w:p>
    <w:p w:rsidR="005152CC" w:rsidRPr="00F835BC" w:rsidRDefault="005152CC" w:rsidP="005152CC">
      <w:pPr>
        <w:widowControl w:val="0"/>
        <w:numPr>
          <w:ilvl w:val="0"/>
          <w:numId w:val="2"/>
        </w:numPr>
        <w:tabs>
          <w:tab w:val="clear" w:pos="2160"/>
          <w:tab w:val="num" w:pos="426"/>
        </w:tabs>
        <w:overflowPunct w:val="0"/>
        <w:autoSpaceDE w:val="0"/>
        <w:autoSpaceDN w:val="0"/>
        <w:adjustRightInd w:val="0"/>
        <w:spacing w:line="271" w:lineRule="auto"/>
        <w:ind w:left="426" w:right="53" w:hanging="426"/>
        <w:jc w:val="both"/>
        <w:rPr>
          <w:rFonts w:cs="Calibri"/>
        </w:rPr>
      </w:pPr>
      <w:r w:rsidRPr="00E33A3C">
        <w:rPr>
          <w:rFonts w:cs="Calibri"/>
        </w:rPr>
        <w:t>Nájemce</w:t>
      </w:r>
      <w:r w:rsidRPr="00F835BC">
        <w:rPr>
          <w:rFonts w:cs="Calibri"/>
        </w:rPr>
        <w:t xml:space="preserve"> prohlašuje a podpisem smlouvy potvrzuje, že </w:t>
      </w:r>
      <w:r>
        <w:rPr>
          <w:rFonts w:cs="Calibri"/>
        </w:rPr>
        <w:t xml:space="preserve">osoby zde uvedené </w:t>
      </w:r>
      <w:r w:rsidRPr="00F835BC">
        <w:rPr>
          <w:rFonts w:cs="Calibri"/>
        </w:rPr>
        <w:t>m</w:t>
      </w:r>
      <w:r>
        <w:rPr>
          <w:rFonts w:cs="Calibri"/>
        </w:rPr>
        <w:t>ají</w:t>
      </w:r>
      <w:r w:rsidRPr="00F835BC">
        <w:rPr>
          <w:rFonts w:cs="Calibri"/>
        </w:rPr>
        <w:t xml:space="preserve"> platné řidičské oprávnění k provozování předmětu nájmu a že toto oprávnění není omezeno soudním nebo administrativním rozhodnutím, a to ani pro státy, ve kterých bude předmět nájmu</w:t>
      </w:r>
      <w:r w:rsidRPr="00D21D67">
        <w:rPr>
          <w:rFonts w:cs="Calibri"/>
        </w:rPr>
        <w:t xml:space="preserve"> </w:t>
      </w:r>
      <w:r w:rsidRPr="00F835BC">
        <w:rPr>
          <w:rFonts w:cs="Calibri"/>
        </w:rPr>
        <w:t>dle této smlouvy využíván</w:t>
      </w:r>
      <w:r>
        <w:rPr>
          <w:rFonts w:cs="Calibri"/>
        </w:rPr>
        <w:t>.</w:t>
      </w:r>
      <w:r w:rsidRPr="00D21D67">
        <w:rPr>
          <w:rFonts w:cs="Calibri"/>
        </w:rPr>
        <w:t xml:space="preserve"> </w:t>
      </w:r>
      <w:r w:rsidRPr="00F835BC">
        <w:rPr>
          <w:rFonts w:cs="Calibri"/>
        </w:rPr>
        <w:t>Pro případ porušení zde uvedené povinnosti sjednává se pokuta ve výši 3.000 Kč. Jejím zaplacením nezaniká právo pronajímatele na úhradu způsobené škody.</w:t>
      </w:r>
      <w:r w:rsidRPr="00D21D67">
        <w:rPr>
          <w:rFonts w:cs="Calibri"/>
        </w:rPr>
        <w:t xml:space="preserve"> </w:t>
      </w:r>
      <w:r w:rsidRPr="00F835BC">
        <w:rPr>
          <w:rFonts w:cs="Calibri"/>
        </w:rPr>
        <w:t>Nájemce potvrzuje dále, že byl řádně seznámen a poučen o způsobu používání vozu a</w:t>
      </w:r>
      <w:r w:rsidRPr="00D21D67">
        <w:rPr>
          <w:rFonts w:cs="Calibri"/>
        </w:rPr>
        <w:t xml:space="preserve"> </w:t>
      </w:r>
      <w:r w:rsidRPr="00F835BC">
        <w:rPr>
          <w:rFonts w:cs="Calibri"/>
        </w:rPr>
        <w:t>jeho vnitřního vybavení</w:t>
      </w:r>
      <w:r>
        <w:rPr>
          <w:rFonts w:cs="Calibri"/>
        </w:rPr>
        <w:t>.</w:t>
      </w:r>
    </w:p>
    <w:p w:rsidR="005152CC" w:rsidRPr="00F835BC" w:rsidRDefault="005152CC" w:rsidP="005152CC">
      <w:pPr>
        <w:widowControl w:val="0"/>
        <w:tabs>
          <w:tab w:val="num" w:pos="709"/>
        </w:tabs>
        <w:autoSpaceDE w:val="0"/>
        <w:autoSpaceDN w:val="0"/>
        <w:adjustRightInd w:val="0"/>
        <w:spacing w:line="1" w:lineRule="exact"/>
        <w:ind w:left="709" w:hanging="709"/>
        <w:jc w:val="both"/>
        <w:rPr>
          <w:rFonts w:cs="Calibri"/>
        </w:rPr>
      </w:pPr>
    </w:p>
    <w:p w:rsidR="005152CC" w:rsidRPr="00F835BC" w:rsidRDefault="005152CC" w:rsidP="005152CC">
      <w:pPr>
        <w:widowControl w:val="0"/>
        <w:tabs>
          <w:tab w:val="num" w:pos="709"/>
        </w:tabs>
        <w:overflowPunct w:val="0"/>
        <w:autoSpaceDE w:val="0"/>
        <w:autoSpaceDN w:val="0"/>
        <w:adjustRightInd w:val="0"/>
        <w:spacing w:line="259" w:lineRule="auto"/>
        <w:ind w:left="709" w:right="280" w:hanging="709"/>
        <w:jc w:val="both"/>
        <w:rPr>
          <w:rFonts w:cs="Calibri"/>
        </w:rPr>
      </w:pPr>
      <w:r>
        <w:rPr>
          <w:rFonts w:cs="Calibri"/>
        </w:rPr>
        <w:t xml:space="preserve"> </w:t>
      </w:r>
    </w:p>
    <w:p w:rsidR="005152CC" w:rsidRPr="00F835BC" w:rsidRDefault="005152CC" w:rsidP="005152CC">
      <w:pPr>
        <w:widowControl w:val="0"/>
        <w:tabs>
          <w:tab w:val="num" w:pos="709"/>
        </w:tabs>
        <w:overflowPunct w:val="0"/>
        <w:autoSpaceDE w:val="0"/>
        <w:autoSpaceDN w:val="0"/>
        <w:adjustRightInd w:val="0"/>
        <w:spacing w:line="267" w:lineRule="auto"/>
        <w:ind w:right="320"/>
        <w:jc w:val="both"/>
        <w:rPr>
          <w:rFonts w:cs="Calibri"/>
        </w:rPr>
      </w:pPr>
    </w:p>
    <w:p w:rsidR="005152CC" w:rsidRPr="00F835BC" w:rsidRDefault="005152CC" w:rsidP="005152CC">
      <w:pPr>
        <w:widowControl w:val="0"/>
        <w:autoSpaceDE w:val="0"/>
        <w:autoSpaceDN w:val="0"/>
        <w:adjustRightInd w:val="0"/>
        <w:spacing w:line="141" w:lineRule="exact"/>
      </w:pPr>
    </w:p>
    <w:p w:rsidR="005152CC" w:rsidRPr="00EE524E" w:rsidRDefault="005152CC" w:rsidP="005152CC">
      <w:pPr>
        <w:widowControl w:val="0"/>
        <w:autoSpaceDE w:val="0"/>
        <w:autoSpaceDN w:val="0"/>
        <w:adjustRightInd w:val="0"/>
        <w:ind w:left="3160"/>
      </w:pPr>
      <w:r w:rsidRPr="00EE524E">
        <w:rPr>
          <w:rFonts w:cs="Calibri"/>
        </w:rPr>
        <w:t>Čl. II. Předmět nájmu</w:t>
      </w:r>
    </w:p>
    <w:p w:rsidR="005152CC" w:rsidRPr="00F835BC" w:rsidRDefault="005152CC" w:rsidP="005152CC">
      <w:pPr>
        <w:widowControl w:val="0"/>
        <w:autoSpaceDE w:val="0"/>
        <w:autoSpaceDN w:val="0"/>
        <w:adjustRightInd w:val="0"/>
        <w:spacing w:line="24" w:lineRule="exact"/>
      </w:pPr>
    </w:p>
    <w:p w:rsidR="005152CC" w:rsidRDefault="005152CC" w:rsidP="005152CC">
      <w:pPr>
        <w:widowControl w:val="0"/>
        <w:numPr>
          <w:ilvl w:val="0"/>
          <w:numId w:val="3"/>
        </w:numPr>
        <w:tabs>
          <w:tab w:val="clear" w:pos="720"/>
          <w:tab w:val="num" w:pos="340"/>
        </w:tabs>
        <w:overflowPunct w:val="0"/>
        <w:autoSpaceDE w:val="0"/>
        <w:autoSpaceDN w:val="0"/>
        <w:adjustRightInd w:val="0"/>
        <w:ind w:left="340" w:hanging="340"/>
        <w:jc w:val="both"/>
        <w:rPr>
          <w:rFonts w:cs="Calibri"/>
        </w:rPr>
      </w:pPr>
      <w:r w:rsidRPr="00F835BC">
        <w:rPr>
          <w:rFonts w:cs="Calibri"/>
        </w:rPr>
        <w:t xml:space="preserve">Předmět nájmu je osobní </w:t>
      </w:r>
      <w:r>
        <w:rPr>
          <w:rFonts w:cs="Calibri"/>
        </w:rPr>
        <w:t xml:space="preserve">víceúčelový </w:t>
      </w:r>
      <w:r w:rsidRPr="00F835BC">
        <w:rPr>
          <w:rFonts w:cs="Calibri"/>
        </w:rPr>
        <w:t xml:space="preserve">automobil typu </w:t>
      </w:r>
      <w:r>
        <w:rPr>
          <w:rFonts w:cs="Calibri"/>
        </w:rPr>
        <w:t>Renault  JT Trafic</w:t>
      </w:r>
      <w:r w:rsidRPr="00F835BC">
        <w:rPr>
          <w:rFonts w:cs="Calibri"/>
        </w:rPr>
        <w:t xml:space="preserve">, </w:t>
      </w:r>
      <w:r>
        <w:rPr>
          <w:rFonts w:cs="Calibri"/>
        </w:rPr>
        <w:t xml:space="preserve">reg. zn. 5L0 3302, VIN VF13JL70052872592. </w:t>
      </w:r>
    </w:p>
    <w:p w:rsidR="005152CC" w:rsidRDefault="005152CC" w:rsidP="005152CC">
      <w:pPr>
        <w:widowControl w:val="0"/>
        <w:overflowPunct w:val="0"/>
        <w:autoSpaceDE w:val="0"/>
        <w:autoSpaceDN w:val="0"/>
        <w:adjustRightInd w:val="0"/>
        <w:ind w:left="340"/>
        <w:jc w:val="both"/>
        <w:rPr>
          <w:rFonts w:cs="Calibri"/>
        </w:rPr>
      </w:pPr>
    </w:p>
    <w:p w:rsidR="005152CC" w:rsidRPr="00F835BC" w:rsidRDefault="005152CC" w:rsidP="005152CC">
      <w:pPr>
        <w:widowControl w:val="0"/>
        <w:numPr>
          <w:ilvl w:val="0"/>
          <w:numId w:val="3"/>
        </w:numPr>
        <w:tabs>
          <w:tab w:val="clear" w:pos="720"/>
          <w:tab w:val="num" w:pos="340"/>
        </w:tabs>
        <w:overflowPunct w:val="0"/>
        <w:autoSpaceDE w:val="0"/>
        <w:autoSpaceDN w:val="0"/>
        <w:adjustRightInd w:val="0"/>
        <w:ind w:left="340" w:hanging="340"/>
        <w:jc w:val="both"/>
        <w:rPr>
          <w:rFonts w:cs="Calibri"/>
        </w:rPr>
      </w:pPr>
      <w:r w:rsidRPr="00F835BC">
        <w:rPr>
          <w:rFonts w:cs="Calibri"/>
        </w:rPr>
        <w:t>Předmět nájmu je řádně vybaven</w:t>
      </w:r>
      <w:r w:rsidRPr="004E1B0A">
        <w:rPr>
          <w:rFonts w:cs="Calibri"/>
        </w:rPr>
        <w:t xml:space="preserve"> povinn</w:t>
      </w:r>
      <w:r>
        <w:rPr>
          <w:rFonts w:cs="Calibri"/>
        </w:rPr>
        <w:t>ou</w:t>
      </w:r>
      <w:r w:rsidRPr="004E1B0A">
        <w:rPr>
          <w:rFonts w:cs="Calibri"/>
        </w:rPr>
        <w:t xml:space="preserve"> výbav</w:t>
      </w:r>
      <w:r>
        <w:rPr>
          <w:rFonts w:cs="Calibri"/>
        </w:rPr>
        <w:t>ou</w:t>
      </w:r>
      <w:r w:rsidRPr="004E1B0A">
        <w:rPr>
          <w:rFonts w:cs="Calibri"/>
        </w:rPr>
        <w:t xml:space="preserve"> vozidla</w:t>
      </w:r>
      <w:r w:rsidRPr="00F835BC">
        <w:rPr>
          <w:rFonts w:cs="Calibri"/>
        </w:rPr>
        <w:t xml:space="preserve">. V tomto stavu se jej také zavazuje pronajímateli vrátit a uhradit případné škody po dobu užívání vzniklé. Předmět nájmu není zatížen právy třetích osob, které by bránily jeho užívání v souladu s touto smlouvou. </w:t>
      </w:r>
    </w:p>
    <w:p w:rsidR="005152CC" w:rsidRPr="00F835BC" w:rsidRDefault="005152CC" w:rsidP="005152CC">
      <w:pPr>
        <w:widowControl w:val="0"/>
        <w:autoSpaceDE w:val="0"/>
        <w:autoSpaceDN w:val="0"/>
        <w:adjustRightInd w:val="0"/>
        <w:spacing w:line="151" w:lineRule="exact"/>
        <w:jc w:val="both"/>
        <w:rPr>
          <w:rFonts w:cs="Calibri"/>
        </w:rPr>
      </w:pPr>
    </w:p>
    <w:p w:rsidR="005152CC" w:rsidRDefault="005152CC" w:rsidP="005152CC">
      <w:pPr>
        <w:widowControl w:val="0"/>
        <w:numPr>
          <w:ilvl w:val="0"/>
          <w:numId w:val="3"/>
        </w:numPr>
        <w:tabs>
          <w:tab w:val="clear" w:pos="720"/>
          <w:tab w:val="num" w:pos="348"/>
        </w:tabs>
        <w:overflowPunct w:val="0"/>
        <w:autoSpaceDE w:val="0"/>
        <w:autoSpaceDN w:val="0"/>
        <w:adjustRightInd w:val="0"/>
        <w:spacing w:line="260" w:lineRule="auto"/>
        <w:ind w:left="360"/>
        <w:jc w:val="both"/>
        <w:rPr>
          <w:rFonts w:cs="Calibri"/>
        </w:rPr>
      </w:pPr>
      <w:r w:rsidRPr="00F835BC">
        <w:rPr>
          <w:rFonts w:cs="Calibri"/>
        </w:rPr>
        <w:t xml:space="preserve">Spolu s předmětem nájmu je nájemci předán technický průkaz a tzv. zelená karta s dokladem o úhradě zákonného ručení. Nájemce je </w:t>
      </w:r>
      <w:r w:rsidRPr="00E33A3C">
        <w:rPr>
          <w:rFonts w:cs="Calibri"/>
        </w:rPr>
        <w:t>povinen</w:t>
      </w:r>
      <w:r w:rsidRPr="00F835BC">
        <w:rPr>
          <w:rFonts w:cs="Calibri"/>
        </w:rPr>
        <w:t xml:space="preserve"> tyto doklady zabezpečit proti ztrátě, zničení či odcizení a odpovídá za škody porušením této povinnosti způsobené. Při porušení této povinnosti, tedy </w:t>
      </w:r>
      <w:r w:rsidRPr="00E33A3C">
        <w:rPr>
          <w:rFonts w:cs="Calibri"/>
        </w:rPr>
        <w:t>technický</w:t>
      </w:r>
      <w:r w:rsidRPr="00F835BC">
        <w:rPr>
          <w:rFonts w:cs="Calibri"/>
        </w:rPr>
        <w:t xml:space="preserve"> průkaz a doklad o pojištění (zelenou kartu) nepoškozené vrátit pronajímateli se sjedná smluvní pokuta ve výši </w:t>
      </w:r>
      <w:r>
        <w:rPr>
          <w:rFonts w:cs="Calibri"/>
        </w:rPr>
        <w:t>3</w:t>
      </w:r>
      <w:r w:rsidRPr="00F835BC">
        <w:rPr>
          <w:rFonts w:cs="Calibri"/>
        </w:rPr>
        <w:t xml:space="preserve">.000 Kč. Při porušení povinnosti vrátit funkční klíče od zapalování se sjednává smluvní pokuta ve výši 10.000 Kč. </w:t>
      </w:r>
    </w:p>
    <w:p w:rsidR="005152CC" w:rsidRPr="00F835BC" w:rsidRDefault="005152CC" w:rsidP="005152CC">
      <w:pPr>
        <w:widowControl w:val="0"/>
        <w:overflowPunct w:val="0"/>
        <w:autoSpaceDE w:val="0"/>
        <w:autoSpaceDN w:val="0"/>
        <w:adjustRightInd w:val="0"/>
        <w:spacing w:line="260" w:lineRule="auto"/>
        <w:ind w:left="360"/>
        <w:jc w:val="both"/>
        <w:rPr>
          <w:rFonts w:cs="Calibri"/>
        </w:rPr>
      </w:pPr>
    </w:p>
    <w:p w:rsidR="005152CC" w:rsidRPr="00F835BC" w:rsidRDefault="005152CC" w:rsidP="005152CC">
      <w:pPr>
        <w:widowControl w:val="0"/>
        <w:autoSpaceDE w:val="0"/>
        <w:autoSpaceDN w:val="0"/>
        <w:adjustRightInd w:val="0"/>
        <w:spacing w:line="153" w:lineRule="exact"/>
      </w:pPr>
    </w:p>
    <w:p w:rsidR="005152CC" w:rsidRPr="00EE524E" w:rsidRDefault="005152CC" w:rsidP="005152CC">
      <w:pPr>
        <w:widowControl w:val="0"/>
        <w:autoSpaceDE w:val="0"/>
        <w:autoSpaceDN w:val="0"/>
        <w:adjustRightInd w:val="0"/>
        <w:ind w:left="3280"/>
      </w:pPr>
      <w:r w:rsidRPr="00EE524E">
        <w:rPr>
          <w:rFonts w:cs="Calibri"/>
        </w:rPr>
        <w:t>Čl. III. Doba nájmu</w:t>
      </w:r>
    </w:p>
    <w:p w:rsidR="005152CC" w:rsidRPr="00F835BC" w:rsidRDefault="005152CC" w:rsidP="005152CC">
      <w:pPr>
        <w:widowControl w:val="0"/>
        <w:autoSpaceDE w:val="0"/>
        <w:autoSpaceDN w:val="0"/>
        <w:adjustRightInd w:val="0"/>
        <w:spacing w:line="24" w:lineRule="exact"/>
      </w:pPr>
    </w:p>
    <w:p w:rsidR="005152CC" w:rsidRPr="00F835BC" w:rsidRDefault="005152CC" w:rsidP="005152CC">
      <w:pPr>
        <w:widowControl w:val="0"/>
        <w:tabs>
          <w:tab w:val="left" w:pos="4080"/>
          <w:tab w:val="left" w:pos="5500"/>
        </w:tabs>
        <w:autoSpaceDE w:val="0"/>
        <w:autoSpaceDN w:val="0"/>
        <w:adjustRightInd w:val="0"/>
        <w:ind w:left="284" w:hanging="284"/>
        <w:jc w:val="both"/>
      </w:pPr>
      <w:r>
        <w:rPr>
          <w:rFonts w:cs="Calibri"/>
        </w:rPr>
        <w:t>1. Rámcový nájem se sjednává na dobu neurčitou. Konkrétní nájem s</w:t>
      </w:r>
      <w:r w:rsidRPr="00F835BC">
        <w:rPr>
          <w:rFonts w:cs="Calibri"/>
        </w:rPr>
        <w:t>e sjednává na dobu</w:t>
      </w:r>
      <w:r>
        <w:rPr>
          <w:rFonts w:cs="Calibri"/>
        </w:rPr>
        <w:t xml:space="preserve"> </w:t>
      </w:r>
      <w:r w:rsidRPr="00F835BC">
        <w:rPr>
          <w:rFonts w:cs="Calibri"/>
        </w:rPr>
        <w:t xml:space="preserve"> </w:t>
      </w:r>
      <w:r>
        <w:rPr>
          <w:rFonts w:cs="Calibri"/>
        </w:rPr>
        <w:t xml:space="preserve">určenou dle objednávky nájemce, která musí být potvrzena pronajímatelem. </w:t>
      </w:r>
      <w:r w:rsidRPr="00F835BC">
        <w:rPr>
          <w:rFonts w:cs="Calibri"/>
        </w:rPr>
        <w:t>Pro případ prodlení</w:t>
      </w:r>
      <w:r>
        <w:rPr>
          <w:rFonts w:cs="Calibri"/>
        </w:rPr>
        <w:t xml:space="preserve"> </w:t>
      </w:r>
      <w:r w:rsidRPr="00F835BC">
        <w:rPr>
          <w:rFonts w:cs="Calibri"/>
        </w:rPr>
        <w:t xml:space="preserve">s plněním povinnosti nájemce vrátit </w:t>
      </w:r>
      <w:r w:rsidRPr="00E33A3C">
        <w:rPr>
          <w:rFonts w:cs="Calibri"/>
        </w:rPr>
        <w:t>pronajímateli</w:t>
      </w:r>
      <w:r w:rsidRPr="00F835BC">
        <w:rPr>
          <w:rFonts w:cs="Calibri"/>
        </w:rPr>
        <w:t xml:space="preserve"> předmět nájmu řádně a včas se sjednává smluvní pokuta ve výši </w:t>
      </w:r>
      <w:r>
        <w:rPr>
          <w:rFonts w:cs="Calibri"/>
        </w:rPr>
        <w:t>5</w:t>
      </w:r>
      <w:r w:rsidRPr="00F835BC">
        <w:rPr>
          <w:rFonts w:cs="Calibri"/>
        </w:rPr>
        <w:t>.000 Kč za každý (i jen započ</w:t>
      </w:r>
      <w:r>
        <w:rPr>
          <w:rFonts w:cs="Calibri"/>
        </w:rPr>
        <w:t>atý</w:t>
      </w:r>
      <w:r w:rsidRPr="00F835BC">
        <w:rPr>
          <w:rFonts w:cs="Calibri"/>
        </w:rPr>
        <w:t xml:space="preserve">) den prodlení. Výslovně se sjednává jako liberační důvod těžký zdravotní stav </w:t>
      </w:r>
      <w:r>
        <w:rPr>
          <w:rFonts w:cs="Calibri"/>
        </w:rPr>
        <w:t xml:space="preserve">zástupce </w:t>
      </w:r>
      <w:r w:rsidRPr="00F835BC">
        <w:rPr>
          <w:rFonts w:cs="Calibri"/>
        </w:rPr>
        <w:t xml:space="preserve">nájemce způsobený v </w:t>
      </w:r>
      <w:r w:rsidRPr="00E33A3C">
        <w:rPr>
          <w:rFonts w:cs="Calibri"/>
        </w:rPr>
        <w:t>souvislosti</w:t>
      </w:r>
      <w:r w:rsidRPr="00F835BC">
        <w:rPr>
          <w:rFonts w:cs="Calibri"/>
        </w:rPr>
        <w:t xml:space="preserve"> s </w:t>
      </w:r>
      <w:r w:rsidRPr="00E33A3C">
        <w:rPr>
          <w:rFonts w:cs="Calibri"/>
        </w:rPr>
        <w:t>užíváním předmětu</w:t>
      </w:r>
      <w:r w:rsidRPr="00F835BC">
        <w:rPr>
          <w:rFonts w:cs="Calibri"/>
        </w:rPr>
        <w:t xml:space="preserve"> nájmu (dopravní nehoda). Tuto skutečnost se však nájemce zavazuje oznámit pronajímateli bez zbytečného odkladu. Dále se sjednává jako liberační důvod závažná porucha na předmětu nájmu bránící jeho předání za předpokladu, že taková porucha bude prokazatelně oznámena pronajímateli v den jejího vzniku</w:t>
      </w:r>
      <w:r>
        <w:rPr>
          <w:rFonts w:cs="Calibri"/>
        </w:rPr>
        <w:t>.</w:t>
      </w:r>
    </w:p>
    <w:p w:rsidR="005152CC" w:rsidRPr="00F835BC" w:rsidRDefault="005152CC" w:rsidP="005152CC">
      <w:pPr>
        <w:widowControl w:val="0"/>
        <w:autoSpaceDE w:val="0"/>
        <w:autoSpaceDN w:val="0"/>
        <w:adjustRightInd w:val="0"/>
        <w:spacing w:line="152" w:lineRule="exact"/>
        <w:jc w:val="both"/>
      </w:pPr>
      <w:bookmarkStart w:id="2" w:name="page3"/>
      <w:bookmarkEnd w:id="2"/>
    </w:p>
    <w:p w:rsidR="005152CC" w:rsidRPr="00F835BC" w:rsidRDefault="005152CC" w:rsidP="005152CC">
      <w:pPr>
        <w:widowControl w:val="0"/>
        <w:overflowPunct w:val="0"/>
        <w:autoSpaceDE w:val="0"/>
        <w:autoSpaceDN w:val="0"/>
        <w:adjustRightInd w:val="0"/>
        <w:spacing w:line="267" w:lineRule="auto"/>
        <w:ind w:left="360" w:right="340"/>
        <w:jc w:val="both"/>
        <w:rPr>
          <w:rFonts w:cs="Calibri"/>
        </w:rPr>
      </w:pPr>
      <w:r>
        <w:rPr>
          <w:rFonts w:cs="Calibri"/>
        </w:rPr>
        <w:t xml:space="preserve"> </w:t>
      </w:r>
    </w:p>
    <w:p w:rsidR="005152CC" w:rsidRPr="00F835BC" w:rsidRDefault="005152CC" w:rsidP="005152CC">
      <w:pPr>
        <w:widowControl w:val="0"/>
        <w:numPr>
          <w:ilvl w:val="0"/>
          <w:numId w:val="4"/>
        </w:numPr>
        <w:tabs>
          <w:tab w:val="clear" w:pos="720"/>
          <w:tab w:val="num" w:pos="348"/>
        </w:tabs>
        <w:overflowPunct w:val="0"/>
        <w:autoSpaceDE w:val="0"/>
        <w:autoSpaceDN w:val="0"/>
        <w:adjustRightInd w:val="0"/>
        <w:spacing w:line="271" w:lineRule="auto"/>
        <w:ind w:left="360" w:right="320"/>
        <w:jc w:val="both"/>
        <w:rPr>
          <w:rFonts w:cs="Calibri"/>
        </w:rPr>
      </w:pPr>
      <w:r w:rsidRPr="00F835BC">
        <w:rPr>
          <w:rFonts w:cs="Calibri"/>
        </w:rPr>
        <w:t xml:space="preserve">Při předání a převzetí vozidla </w:t>
      </w:r>
      <w:r>
        <w:rPr>
          <w:rFonts w:cs="Calibri"/>
        </w:rPr>
        <w:t xml:space="preserve">nebude sepisován </w:t>
      </w:r>
      <w:r w:rsidRPr="00F835BC">
        <w:rPr>
          <w:rFonts w:cs="Calibri"/>
        </w:rPr>
        <w:t>předávací protokol,</w:t>
      </w:r>
      <w:r>
        <w:rPr>
          <w:rFonts w:cs="Calibri"/>
        </w:rPr>
        <w:t xml:space="preserve"> nájemce je proto povinen si zkontrolovat, že je předmět nájmu vybaven v souladu s touto smlouvou</w:t>
      </w:r>
      <w:r w:rsidRPr="00F835BC">
        <w:rPr>
          <w:rFonts w:cs="Calibri"/>
        </w:rPr>
        <w:t>. Pronajímate</w:t>
      </w:r>
      <w:r>
        <w:rPr>
          <w:rFonts w:cs="Calibri"/>
        </w:rPr>
        <w:t>l</w:t>
      </w:r>
      <w:r w:rsidRPr="00F835BC">
        <w:rPr>
          <w:rFonts w:cs="Calibri"/>
        </w:rPr>
        <w:t xml:space="preserve"> garantuje nájemci způsobilost předmětu nájmu k účelu sjednaného nájmu. V případě závažných závad nebo technické nezpůsobilosti není nájemce povinen předmět nájmu převzít</w:t>
      </w:r>
      <w:r>
        <w:rPr>
          <w:rFonts w:cs="Calibri"/>
        </w:rPr>
        <w:t xml:space="preserve">. </w:t>
      </w:r>
    </w:p>
    <w:p w:rsidR="005152CC" w:rsidRDefault="005152CC" w:rsidP="005152CC">
      <w:pPr>
        <w:widowControl w:val="0"/>
        <w:autoSpaceDE w:val="0"/>
        <w:autoSpaceDN w:val="0"/>
        <w:adjustRightInd w:val="0"/>
        <w:spacing w:line="146" w:lineRule="exact"/>
      </w:pPr>
    </w:p>
    <w:p w:rsidR="005152CC" w:rsidRPr="00F835BC" w:rsidRDefault="005152CC" w:rsidP="005152CC">
      <w:pPr>
        <w:widowControl w:val="0"/>
        <w:autoSpaceDE w:val="0"/>
        <w:autoSpaceDN w:val="0"/>
        <w:adjustRightInd w:val="0"/>
        <w:spacing w:line="146" w:lineRule="exact"/>
      </w:pPr>
    </w:p>
    <w:p w:rsidR="005152CC" w:rsidRPr="00EE524E" w:rsidRDefault="005152CC" w:rsidP="005152CC">
      <w:pPr>
        <w:widowControl w:val="0"/>
        <w:autoSpaceDE w:val="0"/>
        <w:autoSpaceDN w:val="0"/>
        <w:adjustRightInd w:val="0"/>
        <w:ind w:left="3440"/>
      </w:pPr>
      <w:r w:rsidRPr="00EE524E">
        <w:rPr>
          <w:rFonts w:cs="Calibri"/>
        </w:rPr>
        <w:t>Čl. IV. Nájemné</w:t>
      </w:r>
    </w:p>
    <w:p w:rsidR="005152CC" w:rsidRPr="00F835BC" w:rsidRDefault="005152CC" w:rsidP="005152CC">
      <w:pPr>
        <w:widowControl w:val="0"/>
        <w:autoSpaceDE w:val="0"/>
        <w:autoSpaceDN w:val="0"/>
        <w:adjustRightInd w:val="0"/>
        <w:spacing w:line="24" w:lineRule="exact"/>
      </w:pPr>
    </w:p>
    <w:p w:rsidR="005152CC" w:rsidRDefault="005152CC" w:rsidP="005152CC">
      <w:pPr>
        <w:widowControl w:val="0"/>
        <w:numPr>
          <w:ilvl w:val="0"/>
          <w:numId w:val="5"/>
        </w:numPr>
        <w:tabs>
          <w:tab w:val="clear" w:pos="720"/>
          <w:tab w:val="num" w:pos="348"/>
        </w:tabs>
        <w:overflowPunct w:val="0"/>
        <w:autoSpaceDE w:val="0"/>
        <w:autoSpaceDN w:val="0"/>
        <w:adjustRightInd w:val="0"/>
        <w:spacing w:line="267" w:lineRule="auto"/>
        <w:ind w:left="360" w:right="200"/>
        <w:jc w:val="both"/>
        <w:rPr>
          <w:rFonts w:cs="Calibri"/>
        </w:rPr>
      </w:pPr>
      <w:r w:rsidRPr="00F835BC">
        <w:rPr>
          <w:rFonts w:cs="Calibri"/>
        </w:rPr>
        <w:t xml:space="preserve">Výše nájemného se sjednává </w:t>
      </w:r>
      <w:r>
        <w:rPr>
          <w:rFonts w:cs="Calibri"/>
        </w:rPr>
        <w:t>ve výši 5 Kč (včetně DPH) za každý ujetý kilometr nájemcem</w:t>
      </w:r>
      <w:r w:rsidRPr="00F835BC">
        <w:rPr>
          <w:rFonts w:cs="Calibri"/>
        </w:rPr>
        <w:t xml:space="preserve">. </w:t>
      </w:r>
      <w:r>
        <w:rPr>
          <w:rFonts w:cs="Calibri"/>
        </w:rPr>
        <w:t>V ceně nájemného je kalkulována i spotřeba pohonných hmot.</w:t>
      </w:r>
    </w:p>
    <w:p w:rsidR="005152CC" w:rsidRDefault="005152CC" w:rsidP="005152CC">
      <w:pPr>
        <w:widowControl w:val="0"/>
        <w:overflowPunct w:val="0"/>
        <w:autoSpaceDE w:val="0"/>
        <w:autoSpaceDN w:val="0"/>
        <w:adjustRightInd w:val="0"/>
        <w:spacing w:line="267" w:lineRule="auto"/>
        <w:ind w:left="360" w:right="200"/>
        <w:jc w:val="both"/>
        <w:rPr>
          <w:rFonts w:cs="Calibri"/>
        </w:rPr>
      </w:pPr>
    </w:p>
    <w:p w:rsidR="005152CC" w:rsidRDefault="005152CC" w:rsidP="005152CC">
      <w:pPr>
        <w:widowControl w:val="0"/>
        <w:numPr>
          <w:ilvl w:val="0"/>
          <w:numId w:val="5"/>
        </w:numPr>
        <w:tabs>
          <w:tab w:val="clear" w:pos="720"/>
          <w:tab w:val="num" w:pos="348"/>
        </w:tabs>
        <w:overflowPunct w:val="0"/>
        <w:autoSpaceDE w:val="0"/>
        <w:autoSpaceDN w:val="0"/>
        <w:adjustRightInd w:val="0"/>
        <w:spacing w:line="267" w:lineRule="auto"/>
        <w:ind w:left="360" w:right="200"/>
        <w:jc w:val="both"/>
        <w:rPr>
          <w:rFonts w:cs="Calibri"/>
        </w:rPr>
      </w:pPr>
      <w:r w:rsidRPr="00F835BC">
        <w:rPr>
          <w:rFonts w:cs="Calibri"/>
        </w:rPr>
        <w:t xml:space="preserve">Nájemné je splatné </w:t>
      </w:r>
      <w:r w:rsidRPr="00453F6C">
        <w:rPr>
          <w:rFonts w:cs="Calibri"/>
        </w:rPr>
        <w:t>čtvrtletně pozadu dle elektronické evidence</w:t>
      </w:r>
      <w:r>
        <w:rPr>
          <w:rFonts w:cs="Calibri"/>
        </w:rPr>
        <w:t xml:space="preserve"> GPS</w:t>
      </w:r>
      <w:r w:rsidRPr="00453F6C">
        <w:rPr>
          <w:rFonts w:cs="Calibri"/>
        </w:rPr>
        <w:t xml:space="preserve"> </w:t>
      </w:r>
      <w:r>
        <w:rPr>
          <w:rFonts w:cs="Calibri"/>
        </w:rPr>
        <w:t>vyhotovené pronajímatelem.</w:t>
      </w:r>
    </w:p>
    <w:p w:rsidR="005152CC" w:rsidRDefault="005152CC" w:rsidP="005152CC">
      <w:pPr>
        <w:widowControl w:val="0"/>
        <w:overflowPunct w:val="0"/>
        <w:autoSpaceDE w:val="0"/>
        <w:autoSpaceDN w:val="0"/>
        <w:adjustRightInd w:val="0"/>
        <w:spacing w:line="267" w:lineRule="auto"/>
        <w:ind w:left="360" w:right="200"/>
        <w:jc w:val="both"/>
        <w:rPr>
          <w:rFonts w:cs="Calibri"/>
        </w:rPr>
      </w:pPr>
    </w:p>
    <w:p w:rsidR="005152CC" w:rsidRPr="00F835BC" w:rsidRDefault="005152CC" w:rsidP="005152CC">
      <w:pPr>
        <w:widowControl w:val="0"/>
        <w:numPr>
          <w:ilvl w:val="0"/>
          <w:numId w:val="5"/>
        </w:numPr>
        <w:tabs>
          <w:tab w:val="clear" w:pos="720"/>
          <w:tab w:val="num" w:pos="348"/>
        </w:tabs>
        <w:overflowPunct w:val="0"/>
        <w:autoSpaceDE w:val="0"/>
        <w:autoSpaceDN w:val="0"/>
        <w:adjustRightInd w:val="0"/>
        <w:spacing w:line="267" w:lineRule="auto"/>
        <w:ind w:left="360" w:right="200"/>
        <w:jc w:val="both"/>
        <w:rPr>
          <w:rFonts w:cs="Calibri"/>
        </w:rPr>
      </w:pPr>
      <w:r>
        <w:rPr>
          <w:rFonts w:cs="Calibri"/>
        </w:rPr>
        <w:t xml:space="preserve">Předmět nájmu je vybaven jednotkou </w:t>
      </w:r>
      <w:r w:rsidRPr="00453F6C">
        <w:rPr>
          <w:rFonts w:cs="Calibri"/>
        </w:rPr>
        <w:t>CarNet 85</w:t>
      </w:r>
      <w:r w:rsidRPr="00850E7D">
        <w:rPr>
          <w:rFonts w:cs="Calibri"/>
        </w:rPr>
        <w:t xml:space="preserve"> </w:t>
      </w:r>
      <w:r>
        <w:rPr>
          <w:rFonts w:cs="Calibri"/>
        </w:rPr>
        <w:t>(</w:t>
      </w:r>
      <w:r w:rsidRPr="00453F6C">
        <w:rPr>
          <w:rFonts w:cs="Calibri"/>
        </w:rPr>
        <w:t>GPS</w:t>
      </w:r>
      <w:r>
        <w:rPr>
          <w:rFonts w:cs="Calibri"/>
        </w:rPr>
        <w:t xml:space="preserve">), která slouží k záznamu o jízdě. Smluvní strany výslovně sjednávají, že souhlasí s tím, aby počet nájemcem najetých kilometrů byl určován elektronickou evidencí této jednotky.  </w:t>
      </w:r>
    </w:p>
    <w:p w:rsidR="005152CC" w:rsidRPr="00F835BC" w:rsidRDefault="005152CC" w:rsidP="005152CC">
      <w:pPr>
        <w:widowControl w:val="0"/>
        <w:autoSpaceDE w:val="0"/>
        <w:autoSpaceDN w:val="0"/>
        <w:adjustRightInd w:val="0"/>
        <w:spacing w:line="142" w:lineRule="exact"/>
        <w:rPr>
          <w:rFonts w:cs="Calibri"/>
        </w:rPr>
      </w:pPr>
    </w:p>
    <w:p w:rsidR="005152CC" w:rsidRPr="00F835BC" w:rsidRDefault="005152CC" w:rsidP="005152CC">
      <w:pPr>
        <w:widowControl w:val="0"/>
        <w:overflowPunct w:val="0"/>
        <w:autoSpaceDE w:val="0"/>
        <w:autoSpaceDN w:val="0"/>
        <w:adjustRightInd w:val="0"/>
        <w:spacing w:line="291" w:lineRule="auto"/>
        <w:ind w:left="360" w:right="340"/>
      </w:pPr>
      <w:r>
        <w:rPr>
          <w:rFonts w:cs="Calibri"/>
        </w:rPr>
        <w:lastRenderedPageBreak/>
        <w:t xml:space="preserve"> </w:t>
      </w:r>
    </w:p>
    <w:p w:rsidR="005152CC" w:rsidRPr="00F835BC" w:rsidRDefault="005152CC" w:rsidP="005152CC">
      <w:pPr>
        <w:widowControl w:val="0"/>
        <w:autoSpaceDE w:val="0"/>
        <w:autoSpaceDN w:val="0"/>
        <w:adjustRightInd w:val="0"/>
        <w:spacing w:line="117" w:lineRule="exact"/>
      </w:pPr>
    </w:p>
    <w:p w:rsidR="005152CC" w:rsidRPr="00EE524E" w:rsidRDefault="005152CC" w:rsidP="005152CC">
      <w:pPr>
        <w:widowControl w:val="0"/>
        <w:autoSpaceDE w:val="0"/>
        <w:autoSpaceDN w:val="0"/>
        <w:adjustRightInd w:val="0"/>
        <w:ind w:left="2860"/>
      </w:pPr>
      <w:r w:rsidRPr="00EE524E">
        <w:rPr>
          <w:rFonts w:cs="Calibri"/>
        </w:rPr>
        <w:t>Čl.V. Způsob užívání vozidla</w:t>
      </w:r>
    </w:p>
    <w:p w:rsidR="005152CC" w:rsidRPr="00F835BC" w:rsidRDefault="005152CC" w:rsidP="005152CC">
      <w:pPr>
        <w:widowControl w:val="0"/>
        <w:autoSpaceDE w:val="0"/>
        <w:autoSpaceDN w:val="0"/>
        <w:adjustRightInd w:val="0"/>
        <w:spacing w:line="24" w:lineRule="exact"/>
      </w:pPr>
    </w:p>
    <w:p w:rsidR="005152CC" w:rsidRPr="00F835BC" w:rsidRDefault="005152CC" w:rsidP="005152CC">
      <w:pPr>
        <w:widowControl w:val="0"/>
        <w:numPr>
          <w:ilvl w:val="0"/>
          <w:numId w:val="6"/>
        </w:numPr>
        <w:tabs>
          <w:tab w:val="clear" w:pos="720"/>
          <w:tab w:val="num" w:pos="348"/>
        </w:tabs>
        <w:overflowPunct w:val="0"/>
        <w:autoSpaceDE w:val="0"/>
        <w:autoSpaceDN w:val="0"/>
        <w:adjustRightInd w:val="0"/>
        <w:spacing w:line="275" w:lineRule="auto"/>
        <w:ind w:left="360" w:right="40"/>
        <w:jc w:val="both"/>
        <w:rPr>
          <w:rFonts w:cs="Calibri"/>
        </w:rPr>
      </w:pPr>
      <w:r w:rsidRPr="00F835BC">
        <w:rPr>
          <w:rFonts w:cs="Calibri"/>
        </w:rPr>
        <w:t xml:space="preserve">Nájemce se zavazuje užívat předmět nájmu v souladu se sjednaným účelem nájmu a předmět nájmu chránit před poškozením a odcizením. Je povinen předmět nájmu vrátit </w:t>
      </w:r>
      <w:r>
        <w:rPr>
          <w:rFonts w:cs="Calibri"/>
        </w:rPr>
        <w:t>ve stanovené době</w:t>
      </w:r>
      <w:r w:rsidRPr="00F835BC">
        <w:rPr>
          <w:rFonts w:cs="Calibri"/>
        </w:rPr>
        <w:t xml:space="preserve">. Odpovídá pronajímateli za škody porušením této povinnosti způsobené. Nájemce nesmí </w:t>
      </w:r>
      <w:r>
        <w:rPr>
          <w:rFonts w:cs="Calibri"/>
        </w:rPr>
        <w:t>předmět nájmu</w:t>
      </w:r>
      <w:r w:rsidRPr="00F835BC">
        <w:rPr>
          <w:rFonts w:cs="Calibri"/>
        </w:rPr>
        <w:t xml:space="preserve"> použít k tažení jiných přívěsů nebo návěsů. Pro případ porušení této povinnosti sjednává se smluvní pokuta ve výši 3.000 Kč. Jejím zaplacením nezaniká právo pronajímatele na úhradu způsobené škody. </w:t>
      </w:r>
    </w:p>
    <w:p w:rsidR="005152CC" w:rsidRPr="00F835BC" w:rsidRDefault="005152CC" w:rsidP="005152CC">
      <w:pPr>
        <w:widowControl w:val="0"/>
        <w:autoSpaceDE w:val="0"/>
        <w:autoSpaceDN w:val="0"/>
        <w:adjustRightInd w:val="0"/>
        <w:spacing w:line="137" w:lineRule="exact"/>
        <w:jc w:val="both"/>
        <w:rPr>
          <w:rFonts w:cs="Calibri"/>
        </w:rPr>
      </w:pPr>
    </w:p>
    <w:p w:rsidR="005152CC" w:rsidRPr="00F835BC" w:rsidRDefault="005152CC" w:rsidP="005152CC">
      <w:pPr>
        <w:widowControl w:val="0"/>
        <w:numPr>
          <w:ilvl w:val="0"/>
          <w:numId w:val="6"/>
        </w:numPr>
        <w:tabs>
          <w:tab w:val="clear" w:pos="720"/>
          <w:tab w:val="num" w:pos="348"/>
        </w:tabs>
        <w:overflowPunct w:val="0"/>
        <w:autoSpaceDE w:val="0"/>
        <w:autoSpaceDN w:val="0"/>
        <w:adjustRightInd w:val="0"/>
        <w:spacing w:line="263" w:lineRule="auto"/>
        <w:ind w:left="360" w:right="53"/>
        <w:jc w:val="both"/>
        <w:rPr>
          <w:rFonts w:cs="Calibri"/>
        </w:rPr>
      </w:pPr>
      <w:r w:rsidRPr="00F835BC">
        <w:rPr>
          <w:rFonts w:cs="Calibri"/>
        </w:rPr>
        <w:t>Nájemce se zavazuje užívat předmět nájmu pouze v České republice</w:t>
      </w:r>
      <w:r>
        <w:rPr>
          <w:rFonts w:cs="Calibri"/>
        </w:rPr>
        <w:t xml:space="preserve"> a </w:t>
      </w:r>
      <w:r w:rsidRPr="00F835BC">
        <w:rPr>
          <w:rFonts w:cs="Calibri"/>
        </w:rPr>
        <w:t xml:space="preserve">státech EU, Norska, Švýcarska a států bývalé Jugoslávie, v jiných případech pouze tehdy, obdrží-li předchozí písemný souhlas pronajímatele. </w:t>
      </w:r>
    </w:p>
    <w:p w:rsidR="005152CC" w:rsidRPr="00F835BC" w:rsidRDefault="005152CC" w:rsidP="005152CC">
      <w:pPr>
        <w:widowControl w:val="0"/>
        <w:autoSpaceDE w:val="0"/>
        <w:autoSpaceDN w:val="0"/>
        <w:adjustRightInd w:val="0"/>
        <w:spacing w:line="147" w:lineRule="exact"/>
        <w:jc w:val="both"/>
        <w:rPr>
          <w:rFonts w:cs="Calibri"/>
        </w:rPr>
      </w:pPr>
    </w:p>
    <w:p w:rsidR="005152CC" w:rsidRPr="00F835BC" w:rsidRDefault="005152CC" w:rsidP="005152CC">
      <w:pPr>
        <w:widowControl w:val="0"/>
        <w:numPr>
          <w:ilvl w:val="0"/>
          <w:numId w:val="6"/>
        </w:numPr>
        <w:tabs>
          <w:tab w:val="clear" w:pos="720"/>
          <w:tab w:val="num" w:pos="348"/>
        </w:tabs>
        <w:overflowPunct w:val="0"/>
        <w:autoSpaceDE w:val="0"/>
        <w:autoSpaceDN w:val="0"/>
        <w:adjustRightInd w:val="0"/>
        <w:spacing w:line="278" w:lineRule="auto"/>
        <w:ind w:left="360" w:right="100"/>
        <w:jc w:val="both"/>
        <w:rPr>
          <w:rFonts w:cs="Calibri"/>
        </w:rPr>
      </w:pPr>
      <w:r w:rsidRPr="00F835BC">
        <w:rPr>
          <w:rFonts w:cs="Calibri"/>
        </w:rPr>
        <w:t xml:space="preserve">Údržbu zajišťuje nájemce sám, ke své tíži. V případě pochybností má se za údržbu oprava a výměna píchlé duše nebo pláště. </w:t>
      </w:r>
      <w:r>
        <w:rPr>
          <w:rFonts w:cs="Calibri"/>
        </w:rPr>
        <w:t xml:space="preserve"> </w:t>
      </w:r>
    </w:p>
    <w:p w:rsidR="005152CC" w:rsidRPr="00F835BC" w:rsidRDefault="005152CC" w:rsidP="005152CC">
      <w:pPr>
        <w:widowControl w:val="0"/>
        <w:autoSpaceDE w:val="0"/>
        <w:autoSpaceDN w:val="0"/>
        <w:adjustRightInd w:val="0"/>
        <w:spacing w:line="132" w:lineRule="exact"/>
        <w:jc w:val="both"/>
        <w:rPr>
          <w:rFonts w:cs="Calibri"/>
        </w:rPr>
      </w:pPr>
    </w:p>
    <w:p w:rsidR="005152CC" w:rsidRPr="00F835BC" w:rsidRDefault="005152CC" w:rsidP="005152CC">
      <w:pPr>
        <w:widowControl w:val="0"/>
        <w:numPr>
          <w:ilvl w:val="0"/>
          <w:numId w:val="6"/>
        </w:numPr>
        <w:tabs>
          <w:tab w:val="clear" w:pos="720"/>
          <w:tab w:val="num" w:pos="348"/>
        </w:tabs>
        <w:overflowPunct w:val="0"/>
        <w:autoSpaceDE w:val="0"/>
        <w:autoSpaceDN w:val="0"/>
        <w:adjustRightInd w:val="0"/>
        <w:spacing w:line="263" w:lineRule="auto"/>
        <w:ind w:left="360" w:right="40"/>
        <w:jc w:val="both"/>
        <w:rPr>
          <w:rFonts w:cs="Calibri"/>
        </w:rPr>
      </w:pPr>
      <w:r w:rsidRPr="00F835BC">
        <w:rPr>
          <w:rFonts w:cs="Calibri"/>
        </w:rPr>
        <w:t xml:space="preserve">Odcizení vozidla zavazuje se nájemce ohlásit pronajímateli bez zbytečného odkladu a řídit se jeho pokyny. Vždy je však </w:t>
      </w:r>
      <w:r>
        <w:rPr>
          <w:rFonts w:cs="Calibri"/>
        </w:rPr>
        <w:t xml:space="preserve">nájemce povinen </w:t>
      </w:r>
      <w:r w:rsidRPr="00F835BC">
        <w:rPr>
          <w:rFonts w:cs="Calibri"/>
        </w:rPr>
        <w:t xml:space="preserve">odcizení nebo poškození způsobené třetí osobou ohlásit místně příslušné policii a vyžádat si stvrzení. </w:t>
      </w:r>
      <w:r w:rsidRPr="00850E7D">
        <w:rPr>
          <w:rFonts w:cs="Calibri"/>
        </w:rPr>
        <w:t>Nájemce je povinen</w:t>
      </w:r>
      <w:r w:rsidRPr="00F835BC">
        <w:rPr>
          <w:rFonts w:cs="Calibri"/>
        </w:rPr>
        <w:t xml:space="preserve"> si zajistit identifikační údaje škůdce (v dostupném rozsahu) a případných svědků. Hlášením bez zbytečného odkladu rozumí se u takových závad, které brání řádnému užívání vozu pozdějšími nájemci, nerozumí se ohlášení závad v den vrácení vozidla. Pro případ porušení povinnosti nahlásit vzniklé opravy (závady) na předmětu nájmu se sjednává smluvní pokuta ve výši 10.000 Kč. Jejím zaplacením nezaniká právo pronajímatele na úhradu způsobené škody. </w:t>
      </w:r>
    </w:p>
    <w:p w:rsidR="005152CC" w:rsidRPr="00F835BC" w:rsidRDefault="005152CC" w:rsidP="005152CC">
      <w:pPr>
        <w:widowControl w:val="0"/>
        <w:autoSpaceDE w:val="0"/>
        <w:autoSpaceDN w:val="0"/>
        <w:adjustRightInd w:val="0"/>
        <w:spacing w:line="147" w:lineRule="exact"/>
        <w:jc w:val="both"/>
        <w:rPr>
          <w:rFonts w:cs="Calibri"/>
        </w:rPr>
      </w:pPr>
    </w:p>
    <w:p w:rsidR="00EE524E" w:rsidRDefault="005152CC" w:rsidP="00EE524E">
      <w:pPr>
        <w:widowControl w:val="0"/>
        <w:numPr>
          <w:ilvl w:val="0"/>
          <w:numId w:val="6"/>
        </w:numPr>
        <w:tabs>
          <w:tab w:val="clear" w:pos="720"/>
          <w:tab w:val="num" w:pos="348"/>
        </w:tabs>
        <w:overflowPunct w:val="0"/>
        <w:autoSpaceDE w:val="0"/>
        <w:autoSpaceDN w:val="0"/>
        <w:adjustRightInd w:val="0"/>
        <w:ind w:left="360" w:right="260"/>
        <w:jc w:val="both"/>
      </w:pPr>
      <w:r w:rsidRPr="00F835BC">
        <w:rPr>
          <w:rFonts w:cs="Calibri"/>
        </w:rPr>
        <w:t>Nájemce se zavazuje předmět nájmu udržovat v čistotě a čistý a uklizený jej vrátit pronajímateli. Pro případ porušení této povinnost sjednává se smluvní pokuta ve výši 1.500 Kč. Bude-li však předmět nájmu znečištěn hrubě, kdy k čištění bude potřeba speciální techniky (písek, bláto), sjednává se smluvní pokuta ve výši 5.000 Kč</w:t>
      </w:r>
      <w:r w:rsidRPr="00850E7D">
        <w:rPr>
          <w:rFonts w:cs="Calibri"/>
        </w:rPr>
        <w:t>.</w:t>
      </w:r>
      <w:r w:rsidR="00EE524E">
        <w:rPr>
          <w:rFonts w:cs="Calibri"/>
        </w:rPr>
        <w:br/>
      </w:r>
    </w:p>
    <w:p w:rsidR="00EE524E" w:rsidRDefault="005152CC" w:rsidP="00EE524E">
      <w:pPr>
        <w:widowControl w:val="0"/>
        <w:numPr>
          <w:ilvl w:val="0"/>
          <w:numId w:val="6"/>
        </w:numPr>
        <w:tabs>
          <w:tab w:val="clear" w:pos="720"/>
          <w:tab w:val="num" w:pos="348"/>
        </w:tabs>
        <w:overflowPunct w:val="0"/>
        <w:autoSpaceDE w:val="0"/>
        <w:autoSpaceDN w:val="0"/>
        <w:adjustRightInd w:val="0"/>
        <w:ind w:left="360" w:right="260"/>
        <w:jc w:val="both"/>
      </w:pPr>
      <w:r w:rsidRPr="00EE524E">
        <w:rPr>
          <w:rFonts w:cs="Calibri"/>
        </w:rPr>
        <w:t xml:space="preserve"> Nejpozději při vrácení vozidla (předmětu nájmu) se nájemce zavazuje pronajímateli nahlásit škody způsobené třetím osobám při jeho užívání předmětu nájmu a předložit mu doklady o nich (např. formulář protokolu o dopravní nehodě) a to i tehdy, nevznikla-li na předmětu nájmu škoda. Nájemce odpovídá pronajímateli za škodu porušením této povinnosti způsobenou.</w:t>
      </w:r>
      <w:r w:rsidR="00EE524E">
        <w:rPr>
          <w:rFonts w:cs="Calibri"/>
        </w:rPr>
        <w:br/>
      </w:r>
    </w:p>
    <w:p w:rsidR="00EE524E" w:rsidRDefault="005152CC" w:rsidP="00EE524E">
      <w:pPr>
        <w:widowControl w:val="0"/>
        <w:numPr>
          <w:ilvl w:val="0"/>
          <w:numId w:val="6"/>
        </w:numPr>
        <w:tabs>
          <w:tab w:val="clear" w:pos="720"/>
          <w:tab w:val="num" w:pos="348"/>
        </w:tabs>
        <w:overflowPunct w:val="0"/>
        <w:autoSpaceDE w:val="0"/>
        <w:autoSpaceDN w:val="0"/>
        <w:adjustRightInd w:val="0"/>
        <w:ind w:left="360" w:right="260"/>
        <w:jc w:val="both"/>
      </w:pPr>
      <w:r w:rsidRPr="00EE524E">
        <w:rPr>
          <w:rFonts w:cs="Calibri"/>
        </w:rPr>
        <w:t xml:space="preserve">Vedle v této smlouvě sjednaných smluvních pokut zavazuje se nájemce uhradit i skutečně vzniklou škodu. Pokud způsobí škodu pod vlivem alkoholu nebo návykových látek a ta nebude hrazena pojišťovnou, zavazuje se ji uhradit v plném rozsahu. </w:t>
      </w:r>
      <w:r w:rsidR="00EE524E">
        <w:rPr>
          <w:rFonts w:cs="Calibri"/>
        </w:rPr>
        <w:br/>
      </w:r>
    </w:p>
    <w:p w:rsidR="005152CC" w:rsidRPr="00EE524E" w:rsidRDefault="005152CC" w:rsidP="00EE524E">
      <w:pPr>
        <w:widowControl w:val="0"/>
        <w:numPr>
          <w:ilvl w:val="0"/>
          <w:numId w:val="6"/>
        </w:numPr>
        <w:tabs>
          <w:tab w:val="clear" w:pos="720"/>
          <w:tab w:val="num" w:pos="348"/>
        </w:tabs>
        <w:overflowPunct w:val="0"/>
        <w:autoSpaceDE w:val="0"/>
        <w:autoSpaceDN w:val="0"/>
        <w:adjustRightInd w:val="0"/>
        <w:ind w:left="360" w:right="260"/>
        <w:jc w:val="both"/>
      </w:pPr>
      <w:r w:rsidRPr="00EE524E">
        <w:rPr>
          <w:rFonts w:cs="Calibri"/>
        </w:rPr>
        <w:t xml:space="preserve">Nájemce při podpisu této smlouvy převzal od pronajímatele elektronické čipy, které jej nezaměnitelně identifikují jako osobu užívající předmět nájmu. Smluvní strany sjednávají, že těmito čipy se nájemce </w:t>
      </w:r>
      <w:r w:rsidR="00EE524E">
        <w:rPr>
          <w:rFonts w:cs="Calibri"/>
        </w:rPr>
        <w:t xml:space="preserve">přihlásí při převzetí vozidla, </w:t>
      </w:r>
      <w:r w:rsidRPr="00EE524E">
        <w:rPr>
          <w:rFonts w:cs="Calibri"/>
        </w:rPr>
        <w:t>při započetí každé realizované jízdy a odhlásí při vrácení vozidla. Nájemce se zavazuje uhradit nájemné přepočtené na ujeté km dle elektronické evidence těmito čipy ohraničené. Nesplnění povinnosti elektronické identifikace nájemce těmito čipy zakládá právo pronajímatele odstoupit od této smlouvy a současně provést korekci skutečně ujetých km nájemcem.</w:t>
      </w:r>
    </w:p>
    <w:p w:rsidR="005152CC" w:rsidRPr="00F835BC" w:rsidRDefault="005152CC" w:rsidP="005152CC">
      <w:pPr>
        <w:widowControl w:val="0"/>
        <w:overflowPunct w:val="0"/>
        <w:autoSpaceDE w:val="0"/>
        <w:autoSpaceDN w:val="0"/>
        <w:adjustRightInd w:val="0"/>
        <w:spacing w:line="263" w:lineRule="auto"/>
        <w:ind w:left="720"/>
        <w:jc w:val="both"/>
        <w:rPr>
          <w:rFonts w:cs="Calibri"/>
        </w:rPr>
      </w:pPr>
    </w:p>
    <w:p w:rsidR="005152CC" w:rsidRDefault="005152CC" w:rsidP="005152CC">
      <w:pPr>
        <w:widowControl w:val="0"/>
        <w:autoSpaceDE w:val="0"/>
        <w:autoSpaceDN w:val="0"/>
        <w:adjustRightInd w:val="0"/>
        <w:spacing w:line="146" w:lineRule="exact"/>
      </w:pPr>
    </w:p>
    <w:p w:rsidR="00EE524E" w:rsidRPr="00F835BC" w:rsidRDefault="00EE524E" w:rsidP="005152CC">
      <w:pPr>
        <w:widowControl w:val="0"/>
        <w:autoSpaceDE w:val="0"/>
        <w:autoSpaceDN w:val="0"/>
        <w:adjustRightInd w:val="0"/>
        <w:spacing w:line="146" w:lineRule="exact"/>
      </w:pPr>
    </w:p>
    <w:p w:rsidR="005152CC" w:rsidRPr="00EE524E" w:rsidRDefault="005152CC" w:rsidP="005152CC">
      <w:pPr>
        <w:widowControl w:val="0"/>
        <w:autoSpaceDE w:val="0"/>
        <w:autoSpaceDN w:val="0"/>
        <w:adjustRightInd w:val="0"/>
        <w:ind w:left="3180"/>
      </w:pPr>
      <w:r w:rsidRPr="00EE524E">
        <w:rPr>
          <w:rFonts w:cs="Calibri"/>
        </w:rPr>
        <w:t>Čl. VI. Závěrečná ustanovení</w:t>
      </w:r>
    </w:p>
    <w:p w:rsidR="005152CC" w:rsidRPr="00F835BC" w:rsidRDefault="005152CC" w:rsidP="005152CC">
      <w:pPr>
        <w:widowControl w:val="0"/>
        <w:autoSpaceDE w:val="0"/>
        <w:autoSpaceDN w:val="0"/>
        <w:adjustRightInd w:val="0"/>
        <w:spacing w:line="24" w:lineRule="exact"/>
      </w:pPr>
    </w:p>
    <w:p w:rsidR="005152CC" w:rsidRPr="005B1A5A" w:rsidRDefault="005152CC" w:rsidP="005B1A5A">
      <w:pPr>
        <w:pStyle w:val="Odstavecseseznamem"/>
        <w:numPr>
          <w:ilvl w:val="0"/>
          <w:numId w:val="9"/>
        </w:numPr>
        <w:jc w:val="both"/>
        <w:rPr>
          <w:b/>
          <w:sz w:val="20"/>
          <w:szCs w:val="20"/>
        </w:rPr>
      </w:pPr>
      <w:r w:rsidRPr="005B1A5A">
        <w:t xml:space="preserve">Smlouva byla schválena usnesením Rady Městského obvodu Liberec - Vratislavice nad Nisou </w:t>
      </w:r>
      <w:r w:rsidR="005B1A5A" w:rsidRPr="00EE524E">
        <w:t>usnesení č. 496/09/2015</w:t>
      </w:r>
      <w:r w:rsidR="005B1A5A" w:rsidRPr="00EE524E">
        <w:rPr>
          <w:b/>
        </w:rPr>
        <w:t xml:space="preserve"> </w:t>
      </w:r>
      <w:r w:rsidRPr="00EE524E">
        <w:t>ze dne</w:t>
      </w:r>
      <w:r w:rsidR="005B1A5A" w:rsidRPr="00EE524E">
        <w:t xml:space="preserve"> 14. 9. 2015.</w:t>
      </w:r>
      <w:r w:rsidR="005B1A5A" w:rsidRPr="005B1A5A">
        <w:t xml:space="preserve"> </w:t>
      </w:r>
    </w:p>
    <w:p w:rsidR="005152CC" w:rsidRPr="00F835BC" w:rsidRDefault="005152CC" w:rsidP="005152CC">
      <w:pPr>
        <w:widowControl w:val="0"/>
        <w:autoSpaceDE w:val="0"/>
        <w:autoSpaceDN w:val="0"/>
        <w:adjustRightInd w:val="0"/>
        <w:spacing w:line="152" w:lineRule="exact"/>
        <w:jc w:val="both"/>
        <w:rPr>
          <w:rFonts w:cs="Calibri"/>
        </w:rPr>
      </w:pPr>
    </w:p>
    <w:p w:rsidR="005152CC" w:rsidRPr="00F835BC" w:rsidRDefault="005152CC" w:rsidP="005152CC">
      <w:pPr>
        <w:widowControl w:val="0"/>
        <w:numPr>
          <w:ilvl w:val="0"/>
          <w:numId w:val="9"/>
        </w:numPr>
        <w:overflowPunct w:val="0"/>
        <w:autoSpaceDE w:val="0"/>
        <w:autoSpaceDN w:val="0"/>
        <w:adjustRightInd w:val="0"/>
        <w:spacing w:line="267" w:lineRule="auto"/>
        <w:ind w:right="40"/>
        <w:jc w:val="both"/>
        <w:rPr>
          <w:rFonts w:cs="Calibri"/>
        </w:rPr>
      </w:pPr>
      <w:r w:rsidRPr="00F835BC">
        <w:rPr>
          <w:rFonts w:cs="Calibri"/>
        </w:rPr>
        <w:t xml:space="preserve">Tato smlouva se řídí českým právem občanským. Sepsána je ve dvou vyhotoveních s platností originálu, přičemž každá ze smluvních stran obdrží po jednom. </w:t>
      </w:r>
    </w:p>
    <w:p w:rsidR="005152CC" w:rsidRPr="00F835BC" w:rsidRDefault="005152CC" w:rsidP="005152CC">
      <w:pPr>
        <w:widowControl w:val="0"/>
        <w:autoSpaceDE w:val="0"/>
        <w:autoSpaceDN w:val="0"/>
        <w:adjustRightInd w:val="0"/>
        <w:spacing w:line="142" w:lineRule="exact"/>
        <w:jc w:val="both"/>
        <w:rPr>
          <w:rFonts w:cs="Calibri"/>
        </w:rPr>
      </w:pPr>
    </w:p>
    <w:p w:rsidR="005152CC" w:rsidRPr="00F835BC" w:rsidRDefault="005152CC" w:rsidP="005152CC">
      <w:pPr>
        <w:widowControl w:val="0"/>
        <w:numPr>
          <w:ilvl w:val="0"/>
          <w:numId w:val="9"/>
        </w:numPr>
        <w:overflowPunct w:val="0"/>
        <w:autoSpaceDE w:val="0"/>
        <w:autoSpaceDN w:val="0"/>
        <w:adjustRightInd w:val="0"/>
        <w:spacing w:line="267" w:lineRule="auto"/>
        <w:ind w:right="420"/>
        <w:jc w:val="both"/>
        <w:rPr>
          <w:rFonts w:cs="Calibri"/>
        </w:rPr>
      </w:pPr>
      <w:r w:rsidRPr="00F835BC">
        <w:rPr>
          <w:rFonts w:cs="Calibri"/>
        </w:rPr>
        <w:t>Smluvní strany potvrzují, že s</w:t>
      </w:r>
      <w:r>
        <w:rPr>
          <w:rFonts w:cs="Calibri"/>
        </w:rPr>
        <w:t>i</w:t>
      </w:r>
      <w:r w:rsidRPr="00F835BC">
        <w:rPr>
          <w:rFonts w:cs="Calibri"/>
        </w:rPr>
        <w:t xml:space="preserve"> smlouvu řádně pročetly, její faktický i právní význam je jim zřejmý a odpovídá jejich shodné, svobodné a vážné vůli. </w:t>
      </w:r>
    </w:p>
    <w:p w:rsidR="005152CC" w:rsidRPr="00F835BC" w:rsidRDefault="005152CC" w:rsidP="005152CC">
      <w:pPr>
        <w:widowControl w:val="0"/>
        <w:autoSpaceDE w:val="0"/>
        <w:autoSpaceDN w:val="0"/>
        <w:adjustRightInd w:val="0"/>
        <w:spacing w:line="142" w:lineRule="exact"/>
        <w:jc w:val="both"/>
        <w:rPr>
          <w:rFonts w:cs="Calibri"/>
        </w:rPr>
      </w:pPr>
    </w:p>
    <w:p w:rsidR="005152CC" w:rsidRPr="00F835BC" w:rsidRDefault="005152CC" w:rsidP="005152CC">
      <w:pPr>
        <w:widowControl w:val="0"/>
        <w:numPr>
          <w:ilvl w:val="0"/>
          <w:numId w:val="9"/>
        </w:numPr>
        <w:overflowPunct w:val="0"/>
        <w:autoSpaceDE w:val="0"/>
        <w:autoSpaceDN w:val="0"/>
        <w:adjustRightInd w:val="0"/>
        <w:spacing w:line="267" w:lineRule="auto"/>
        <w:ind w:right="720"/>
        <w:jc w:val="both"/>
        <w:rPr>
          <w:rFonts w:cs="Calibri"/>
        </w:rPr>
      </w:pPr>
      <w:r w:rsidRPr="00F835BC">
        <w:rPr>
          <w:rFonts w:cs="Calibri"/>
        </w:rPr>
        <w:t xml:space="preserve">Smlouva nabývá platnosti a účinnosti dnem podpisu, její ustanovení týkající se užívání </w:t>
      </w:r>
      <w:r w:rsidRPr="00E33A3C">
        <w:rPr>
          <w:rFonts w:cs="Calibri"/>
        </w:rPr>
        <w:t>předmětu nájmu</w:t>
      </w:r>
      <w:r w:rsidRPr="00F835BC">
        <w:rPr>
          <w:rFonts w:cs="Calibri"/>
        </w:rPr>
        <w:t xml:space="preserve"> dnem převzetí předmětu nájmu. </w:t>
      </w:r>
    </w:p>
    <w:p w:rsidR="005152CC" w:rsidRPr="00F835BC" w:rsidRDefault="005152CC" w:rsidP="005152CC">
      <w:pPr>
        <w:widowControl w:val="0"/>
        <w:autoSpaceDE w:val="0"/>
        <w:autoSpaceDN w:val="0"/>
        <w:adjustRightInd w:val="0"/>
        <w:spacing w:line="200" w:lineRule="exact"/>
      </w:pPr>
    </w:p>
    <w:p w:rsidR="005152CC" w:rsidRPr="00F835BC" w:rsidRDefault="005152CC" w:rsidP="005152CC">
      <w:pPr>
        <w:widowControl w:val="0"/>
        <w:autoSpaceDE w:val="0"/>
        <w:autoSpaceDN w:val="0"/>
        <w:adjustRightInd w:val="0"/>
        <w:spacing w:line="200" w:lineRule="exact"/>
      </w:pPr>
    </w:p>
    <w:p w:rsidR="005152CC" w:rsidRPr="00F835BC" w:rsidRDefault="005152CC" w:rsidP="005152CC">
      <w:pPr>
        <w:widowControl w:val="0"/>
        <w:autoSpaceDE w:val="0"/>
        <w:autoSpaceDN w:val="0"/>
        <w:adjustRightInd w:val="0"/>
        <w:spacing w:line="200" w:lineRule="exact"/>
      </w:pPr>
    </w:p>
    <w:p w:rsidR="005152CC" w:rsidRPr="00B24265" w:rsidRDefault="005152CC" w:rsidP="005152CC">
      <w:pPr>
        <w:widowControl w:val="0"/>
        <w:tabs>
          <w:tab w:val="left" w:pos="1740"/>
          <w:tab w:val="left" w:pos="5280"/>
          <w:tab w:val="left" w:pos="7180"/>
        </w:tabs>
        <w:autoSpaceDE w:val="0"/>
        <w:autoSpaceDN w:val="0"/>
        <w:adjustRightInd w:val="0"/>
      </w:pPr>
      <w:r>
        <w:rPr>
          <w:rFonts w:cs="Calibri"/>
        </w:rPr>
        <w:t xml:space="preserve">Ve Vratislavicích </w:t>
      </w:r>
      <w:r>
        <w:t>dne</w:t>
      </w:r>
      <w:r w:rsidR="00F40506">
        <w:t xml:space="preserve">………….. </w:t>
      </w:r>
    </w:p>
    <w:p w:rsidR="005152CC" w:rsidRPr="00B24265" w:rsidRDefault="005152CC" w:rsidP="005152CC">
      <w:pPr>
        <w:widowControl w:val="0"/>
        <w:tabs>
          <w:tab w:val="left" w:pos="1740"/>
          <w:tab w:val="left" w:pos="5280"/>
          <w:tab w:val="left" w:pos="7180"/>
        </w:tabs>
        <w:autoSpaceDE w:val="0"/>
        <w:autoSpaceDN w:val="0"/>
        <w:adjustRightInd w:val="0"/>
      </w:pPr>
    </w:p>
    <w:p w:rsidR="005152CC" w:rsidRDefault="005152CC" w:rsidP="005152CC">
      <w:pPr>
        <w:widowControl w:val="0"/>
        <w:tabs>
          <w:tab w:val="left" w:pos="1740"/>
          <w:tab w:val="left" w:pos="5280"/>
          <w:tab w:val="left" w:pos="7180"/>
        </w:tabs>
        <w:autoSpaceDE w:val="0"/>
        <w:autoSpaceDN w:val="0"/>
        <w:adjustRightInd w:val="0"/>
      </w:pPr>
      <w:r>
        <w:t xml:space="preserve"> </w:t>
      </w:r>
    </w:p>
    <w:p w:rsidR="00EE524E" w:rsidRPr="00B24265" w:rsidRDefault="00EE524E" w:rsidP="005152CC">
      <w:pPr>
        <w:widowControl w:val="0"/>
        <w:tabs>
          <w:tab w:val="left" w:pos="1740"/>
          <w:tab w:val="left" w:pos="5280"/>
          <w:tab w:val="left" w:pos="7180"/>
        </w:tabs>
        <w:autoSpaceDE w:val="0"/>
        <w:autoSpaceDN w:val="0"/>
        <w:adjustRightInd w:val="0"/>
      </w:pPr>
    </w:p>
    <w:p w:rsidR="005152CC" w:rsidRPr="00B24265" w:rsidRDefault="005152CC" w:rsidP="005152CC">
      <w:pPr>
        <w:widowControl w:val="0"/>
        <w:tabs>
          <w:tab w:val="left" w:pos="1740"/>
          <w:tab w:val="left" w:pos="5280"/>
          <w:tab w:val="left" w:pos="7180"/>
        </w:tabs>
        <w:autoSpaceDE w:val="0"/>
        <w:autoSpaceDN w:val="0"/>
        <w:adjustRightInd w:val="0"/>
      </w:pPr>
    </w:p>
    <w:p w:rsidR="005152CC" w:rsidRPr="00B24265" w:rsidRDefault="005152CC" w:rsidP="005152CC">
      <w:pPr>
        <w:widowControl w:val="0"/>
        <w:tabs>
          <w:tab w:val="left" w:pos="1740"/>
          <w:tab w:val="left" w:pos="5280"/>
          <w:tab w:val="left" w:pos="7180"/>
        </w:tabs>
        <w:autoSpaceDE w:val="0"/>
        <w:autoSpaceDN w:val="0"/>
        <w:adjustRightInd w:val="0"/>
      </w:pPr>
      <w:r w:rsidRPr="00B24265">
        <w:t>………………………………</w:t>
      </w:r>
      <w:r w:rsidRPr="00B24265">
        <w:tab/>
        <w:t>…………………………</w:t>
      </w:r>
    </w:p>
    <w:p w:rsidR="005152CC" w:rsidRPr="00B24265" w:rsidRDefault="00EE524E" w:rsidP="005152CC">
      <w:pPr>
        <w:widowControl w:val="0"/>
        <w:tabs>
          <w:tab w:val="left" w:pos="1740"/>
          <w:tab w:val="left" w:pos="5280"/>
          <w:tab w:val="left" w:pos="7180"/>
        </w:tabs>
        <w:autoSpaceDE w:val="0"/>
        <w:autoSpaceDN w:val="0"/>
        <w:adjustRightInd w:val="0"/>
      </w:pPr>
      <w:r>
        <w:t xml:space="preserve">             </w:t>
      </w:r>
      <w:r w:rsidR="005152CC" w:rsidRPr="00B24265">
        <w:t xml:space="preserve">Lukáš Pohanka </w:t>
      </w:r>
      <w:r w:rsidR="005152CC" w:rsidRPr="00B24265">
        <w:tab/>
      </w:r>
      <w:r>
        <w:t xml:space="preserve">  </w:t>
      </w:r>
      <w:r w:rsidR="005B1A5A">
        <w:t xml:space="preserve">    </w:t>
      </w:r>
      <w:r>
        <w:t>Ing. Tomáš Nejdl</w:t>
      </w:r>
    </w:p>
    <w:p w:rsidR="005152CC" w:rsidRPr="00F835BC" w:rsidRDefault="00EE524E" w:rsidP="00EE524E">
      <w:pPr>
        <w:widowControl w:val="0"/>
        <w:tabs>
          <w:tab w:val="left" w:pos="1740"/>
          <w:tab w:val="left" w:pos="5850"/>
        </w:tabs>
        <w:autoSpaceDE w:val="0"/>
        <w:autoSpaceDN w:val="0"/>
        <w:adjustRightInd w:val="0"/>
      </w:pPr>
      <w:r>
        <w:t xml:space="preserve">           </w:t>
      </w:r>
      <w:r w:rsidR="00D240F9">
        <w:t xml:space="preserve">      </w:t>
      </w:r>
      <w:r w:rsidR="005152CC" w:rsidRPr="00B24265">
        <w:t>starosta</w:t>
      </w:r>
      <w:r w:rsidR="005152CC" w:rsidRPr="00B24265">
        <w:tab/>
      </w:r>
      <w:r>
        <w:t xml:space="preserve">  předseda</w:t>
      </w:r>
    </w:p>
    <w:p w:rsidR="00514044" w:rsidRDefault="00514044"/>
    <w:sectPr w:rsidR="005140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AA" w:rsidRDefault="00D950AA" w:rsidP="00D240F9">
      <w:r>
        <w:separator/>
      </w:r>
    </w:p>
  </w:endnote>
  <w:endnote w:type="continuationSeparator" w:id="0">
    <w:p w:rsidR="00D950AA" w:rsidRDefault="00D950AA" w:rsidP="00D2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4913"/>
      <w:docPartObj>
        <w:docPartGallery w:val="Page Numbers (Bottom of Page)"/>
        <w:docPartUnique/>
      </w:docPartObj>
    </w:sdtPr>
    <w:sdtEndPr/>
    <w:sdtContent>
      <w:p w:rsidR="00D240F9" w:rsidRDefault="00D240F9">
        <w:pPr>
          <w:pStyle w:val="Zpat"/>
          <w:jc w:val="right"/>
        </w:pPr>
        <w:r>
          <w:fldChar w:fldCharType="begin"/>
        </w:r>
        <w:r>
          <w:instrText>PAGE   \* MERGEFORMAT</w:instrText>
        </w:r>
        <w:r>
          <w:fldChar w:fldCharType="separate"/>
        </w:r>
        <w:r w:rsidR="00D87E51">
          <w:rPr>
            <w:noProof/>
          </w:rPr>
          <w:t>1</w:t>
        </w:r>
        <w:r>
          <w:fldChar w:fldCharType="end"/>
        </w:r>
      </w:p>
    </w:sdtContent>
  </w:sdt>
  <w:p w:rsidR="00D240F9" w:rsidRDefault="00D240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AA" w:rsidRDefault="00D950AA" w:rsidP="00D240F9">
      <w:r>
        <w:separator/>
      </w:r>
    </w:p>
  </w:footnote>
  <w:footnote w:type="continuationSeparator" w:id="0">
    <w:p w:rsidR="00D950AA" w:rsidRDefault="00D950AA" w:rsidP="00D24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05E"/>
    <w:multiLevelType w:val="hybridMultilevel"/>
    <w:tmpl w:val="0000440D"/>
    <w:lvl w:ilvl="0" w:tplc="0000491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6"/>
      <w:numFmt w:val="decimal"/>
      <w:lvlText w:val="%1."/>
      <w:lvlJc w:val="left"/>
      <w:pPr>
        <w:tabs>
          <w:tab w:val="num" w:pos="720"/>
        </w:tabs>
        <w:ind w:left="720" w:hanging="360"/>
      </w:pPr>
    </w:lvl>
    <w:lvl w:ilvl="1" w:tplc="0000012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B65205DA"/>
    <w:lvl w:ilvl="0" w:tplc="00003D6C">
      <w:start w:val="6"/>
      <w:numFmt w:val="decimal"/>
      <w:lvlText w:val="%1."/>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7"/>
  </w:num>
  <w:num w:numId="4">
    <w:abstractNumId w:val="6"/>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CC"/>
    <w:rsid w:val="00514044"/>
    <w:rsid w:val="005152CC"/>
    <w:rsid w:val="005B1A5A"/>
    <w:rsid w:val="00911997"/>
    <w:rsid w:val="009A39C6"/>
    <w:rsid w:val="00D240F9"/>
    <w:rsid w:val="00D45CAD"/>
    <w:rsid w:val="00D87E51"/>
    <w:rsid w:val="00D950AA"/>
    <w:rsid w:val="00EB337E"/>
    <w:rsid w:val="00EE524E"/>
    <w:rsid w:val="00F40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CA56-AB17-4346-AA43-6F10BCA8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52C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1A5A"/>
    <w:pPr>
      <w:ind w:left="720"/>
      <w:contextualSpacing/>
    </w:pPr>
  </w:style>
  <w:style w:type="paragraph" w:styleId="Zhlav">
    <w:name w:val="header"/>
    <w:basedOn w:val="Normln"/>
    <w:link w:val="ZhlavChar"/>
    <w:uiPriority w:val="99"/>
    <w:unhideWhenUsed/>
    <w:rsid w:val="00D240F9"/>
    <w:pPr>
      <w:tabs>
        <w:tab w:val="center" w:pos="4536"/>
        <w:tab w:val="right" w:pos="9072"/>
      </w:tabs>
    </w:pPr>
  </w:style>
  <w:style w:type="character" w:customStyle="1" w:styleId="ZhlavChar">
    <w:name w:val="Záhlaví Char"/>
    <w:basedOn w:val="Standardnpsmoodstavce"/>
    <w:link w:val="Zhlav"/>
    <w:uiPriority w:val="99"/>
    <w:rsid w:val="00D240F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40F9"/>
    <w:pPr>
      <w:tabs>
        <w:tab w:val="center" w:pos="4536"/>
        <w:tab w:val="right" w:pos="9072"/>
      </w:tabs>
    </w:pPr>
  </w:style>
  <w:style w:type="character" w:customStyle="1" w:styleId="ZpatChar">
    <w:name w:val="Zápatí Char"/>
    <w:basedOn w:val="Standardnpsmoodstavce"/>
    <w:link w:val="Zpat"/>
    <w:uiPriority w:val="99"/>
    <w:rsid w:val="00D240F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240F9"/>
    <w:rPr>
      <w:rFonts w:ascii="Tahoma" w:hAnsi="Tahoma" w:cs="Tahoma"/>
      <w:sz w:val="16"/>
      <w:szCs w:val="16"/>
    </w:rPr>
  </w:style>
  <w:style w:type="character" w:customStyle="1" w:styleId="TextbublinyChar">
    <w:name w:val="Text bubliny Char"/>
    <w:basedOn w:val="Standardnpsmoodstavce"/>
    <w:link w:val="Textbubliny"/>
    <w:uiPriority w:val="99"/>
    <w:semiHidden/>
    <w:rsid w:val="00D240F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C113-342F-49EE-911B-A94036B0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F273AC00</Template>
  <TotalTime>0</TotalTime>
  <Pages>5</Pages>
  <Words>1573</Words>
  <Characters>9284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Křečková Markéta</dc:creator>
  <cp:lastModifiedBy>Prorok Martin</cp:lastModifiedBy>
  <cp:revision>2</cp:revision>
  <cp:lastPrinted>2016-02-01T12:59:00Z</cp:lastPrinted>
  <dcterms:created xsi:type="dcterms:W3CDTF">2018-03-13T13:45:00Z</dcterms:created>
  <dcterms:modified xsi:type="dcterms:W3CDTF">2018-03-13T13:45:00Z</dcterms:modified>
</cp:coreProperties>
</file>