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CA058A" w:rsidRDefault="00F3762E" w:rsidP="00F3762E">
      <w:pPr>
        <w:pStyle w:val="Nadpis1"/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</w:pPr>
      <w:bookmarkStart w:id="0" w:name="_GoBack"/>
      <w:bookmarkEnd w:id="0"/>
      <w:r w:rsidRPr="00CA058A"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  <w:t>Stanovení finančních oprav pro konkrétní pochybení v rámci veřejných zakázek</w:t>
      </w: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0"/>
        <w:gridCol w:w="3976"/>
        <w:gridCol w:w="2766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byla dodržena určitá míra uveřejnění, která umožnila dodavatelům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přístup k zadávané zakázce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v případě, že se jedná pouze o formální porušení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pokud byla dodržena určitá míra uveřejnění, která umožnila dodavatelům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 jiného členského státu přístup k zadávané zakázce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Nedodržení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zkrácení lhůty je vyšší nebo rovno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minimální zákonné délky,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10 %, pokud zkrácení lhůty je vyšší nebo rovno 30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minimální zákonné délky,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zkrácení lhůty nedosahuje 30 % minimální zákonné délky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u marginálních zkrácení lhůty.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ve které mohou dodavatelé získat zadávací dokumentaci kratší než 50 % lhůty pro podání nabídek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ve které mohou dodavatelé získat zadávací dokumentaci kratší než 60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je doba, ve které mohou dodavatelé získat zadávací dokumentaci kratší než 80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Neuveřejnění informací o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Prodloužení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- Lhůty pro podání žádostí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může být snížena na 5% s ohledem na nižší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</w:tc>
      </w:tr>
      <w:tr w:rsidR="00F3762E" w:rsidRPr="00CA058A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Neuvedení kvalifikačních předpokladů nebo hodnotících kritérií v Oznámení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Například: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  <w:t>- Povinnost mít provozovnu nebo zástupce v dané zemi nebo regionu;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s ohledem na malou závažnost porušení 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může být snížena </w:t>
            </w:r>
            <w:r w:rsidR="00094C3B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  <w:p w:rsidR="00F3762E" w:rsidRPr="00CA058A" w:rsidRDefault="00F3762E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V případě, že část předmětu veřejné zakázky nebyla součástí uveřejnění zakázky, bude 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odpovídat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hodnoty této části.</w:t>
            </w:r>
          </w:p>
        </w:tc>
      </w:tr>
    </w:tbl>
    <w:p w:rsidR="00F3762E" w:rsidRPr="00CA058A" w:rsidRDefault="00F3762E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9"/>
        <w:gridCol w:w="4111"/>
        <w:gridCol w:w="2801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Nezákonné nebo netransparentní 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Dokumentace o průběhu zadávacího řízení neexistuje nebo neobsahuje všechny 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Jednání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Pokud je střet zájmu shledán pravomocným rozhodnutím soudu.</w:t>
            </w:r>
          </w:p>
          <w:p w:rsidR="00F3762E" w:rsidRPr="00CA058A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v případě střetu zájmů.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v případě zvýhodnění některého z uchazečů s možností snížení na 25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nižší závažnost porušení.</w:t>
            </w:r>
          </w:p>
        </w:tc>
      </w:tr>
    </w:tbl>
    <w:p w:rsidR="00F3762E" w:rsidRPr="00CA058A" w:rsidRDefault="00F3762E" w:rsidP="00F3762E">
      <w:pPr>
        <w:suppressAutoHyphens/>
        <w:spacing w:after="240"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60"/>
        <w:gridCol w:w="4111"/>
        <w:gridCol w:w="2801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smlouvy ve smyslu ZVZ.</w:t>
            </w:r>
          </w:p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 hodnoty zakázky,</w:t>
            </w:r>
          </w:p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celá hodnota případného navýšení zakázky, které bylo podstatnou změnou smlouvy provedeno.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Celou částku, o kterou byla snížena hodnota veřejné zakázky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ootnoteReference w:id="1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,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</w:p>
          <w:p w:rsidR="00F3762E" w:rsidRPr="00CA058A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E747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hodnoty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dodatečných prací.</w:t>
            </w:r>
          </w:p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 případě, že dodatečné práce nepřekročí prahovou hodnotu pro nadlimitní veřejnou zakázku, a zároveň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 hodnoty původní zakázky, může být korekce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100 % z částky přesahující 50 % hodnoty původní zakázky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sz w:val="20"/>
          <w:szCs w:val="20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9"/>
        <w:gridCol w:w="4111"/>
        <w:gridCol w:w="2801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25 % s možností snížení na 10 %, nejedná-li se </w:t>
            </w:r>
            <w:r w:rsidR="00FC1AE1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 nadlimitní veřejnou zakázku.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 ohledem na malou závažnost porušení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7F4F79" w:rsidRPr="00CA058A" w:rsidRDefault="007F4F79">
      <w:pPr>
        <w:rPr>
          <w:rFonts w:ascii="Segoe UI" w:hAnsi="Segoe UI" w:cs="Segoe UI"/>
          <w:sz w:val="20"/>
          <w:szCs w:val="20"/>
        </w:rPr>
      </w:pPr>
    </w:p>
    <w:sectPr w:rsidR="007F4F79" w:rsidRPr="00CA05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2A" w:rsidRDefault="007C092A" w:rsidP="00F3762E">
      <w:pPr>
        <w:spacing w:line="240" w:lineRule="auto"/>
      </w:pPr>
      <w:r>
        <w:separator/>
      </w:r>
    </w:p>
  </w:endnote>
  <w:endnote w:type="continuationSeparator" w:id="0">
    <w:p w:rsidR="007C092A" w:rsidRDefault="007C092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E2E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2A" w:rsidRDefault="007C092A" w:rsidP="00F3762E">
      <w:pPr>
        <w:spacing w:line="240" w:lineRule="auto"/>
      </w:pPr>
      <w:r>
        <w:separator/>
      </w:r>
    </w:p>
  </w:footnote>
  <w:footnote w:type="continuationSeparator" w:id="0">
    <w:p w:rsidR="007C092A" w:rsidRDefault="007C092A" w:rsidP="00F3762E">
      <w:pPr>
        <w:spacing w:line="240" w:lineRule="auto"/>
      </w:pPr>
      <w:r>
        <w:continuationSeparator/>
      </w:r>
    </w:p>
  </w:footnote>
  <w:footnote w:id="1">
    <w:p w:rsidR="00F3762E" w:rsidRPr="00CA058A" w:rsidRDefault="00F3762E" w:rsidP="00C14764">
      <w:pPr>
        <w:pStyle w:val="Textpoznpodarou"/>
        <w:ind w:left="142" w:hanging="142"/>
        <w:rPr>
          <w:rFonts w:ascii="Segoe UI" w:hAnsi="Segoe UI" w:cs="Segoe U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A058A">
        <w:rPr>
          <w:rFonts w:ascii="Segoe UI" w:hAnsi="Segoe UI" w:cs="Segoe UI"/>
          <w:sz w:val="18"/>
          <w:szCs w:val="18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CA058A" w:rsidRDefault="003430CC" w:rsidP="00743644">
    <w:pPr>
      <w:pStyle w:val="Zkladntext"/>
      <w:jc w:val="both"/>
      <w:rPr>
        <w:rFonts w:ascii="Segoe UI" w:hAnsi="Segoe UI" w:cs="Segoe UI"/>
        <w:sz w:val="20"/>
      </w:rPr>
    </w:pPr>
    <w:r w:rsidRPr="00CA058A">
      <w:rPr>
        <w:rFonts w:ascii="Segoe UI" w:hAnsi="Segoe UI" w:cs="Segoe UI"/>
        <w:sz w:val="20"/>
      </w:rPr>
      <w:t>Příloha č. 1</w:t>
    </w:r>
    <w:r w:rsidR="00743644" w:rsidRPr="00CA058A">
      <w:rPr>
        <w:rFonts w:ascii="Segoe UI" w:hAnsi="Segoe UI" w:cs="Segoe UI"/>
        <w:sz w:val="20"/>
      </w:rPr>
      <w:t xml:space="preserve"> - Smlouva o poskytnutí podpory 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C092A"/>
    <w:rsid w:val="007E3CC3"/>
    <w:rsid w:val="007F3928"/>
    <w:rsid w:val="007F4F79"/>
    <w:rsid w:val="00885357"/>
    <w:rsid w:val="009F6C9F"/>
    <w:rsid w:val="00A0427B"/>
    <w:rsid w:val="00A0610A"/>
    <w:rsid w:val="00A105EB"/>
    <w:rsid w:val="00C14764"/>
    <w:rsid w:val="00C46980"/>
    <w:rsid w:val="00CA058A"/>
    <w:rsid w:val="00D42991"/>
    <w:rsid w:val="00D84E2E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EE8C-597F-46D7-B3F5-5FE79A64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1C37-606D-46EC-AA27-B7446C35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1613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2018-03-12T11:39:00Z</dcterms:created>
  <dcterms:modified xsi:type="dcterms:W3CDTF">2018-03-12T11:39:00Z</dcterms:modified>
</cp:coreProperties>
</file>