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CF06D1" w:rsidP="00CF06D1">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CF06D1" w:rsidRDefault="00CF06D1" w:rsidP="005A5637">
      <w:pPr>
        <w:jc w:val="center"/>
        <w:rPr>
          <w:rFonts w:asciiTheme="minorHAnsi" w:hAnsiTheme="minorHAnsi" w:cstheme="minorHAnsi"/>
          <w:b/>
          <w:sz w:val="10"/>
          <w:szCs w:val="10"/>
        </w:rPr>
      </w:pPr>
      <w:r>
        <w:rPr>
          <w:rFonts w:asciiTheme="minorHAnsi" w:hAnsiTheme="minorHAnsi" w:cstheme="minorHAnsi"/>
          <w:b/>
          <w:sz w:val="24"/>
          <w:szCs w:val="24"/>
        </w:rPr>
        <w:t>O POSKYTNUTÍ INVESTIČNÍ DOTACE č. KT/</w:t>
      </w:r>
      <w:r w:rsidR="005A5637">
        <w:rPr>
          <w:rFonts w:asciiTheme="minorHAnsi" w:hAnsiTheme="minorHAnsi" w:cstheme="minorHAnsi"/>
          <w:b/>
          <w:sz w:val="24"/>
          <w:szCs w:val="24"/>
        </w:rPr>
        <w:t>9513/17</w:t>
      </w:r>
    </w:p>
    <w:p w:rsidR="00CF06D1" w:rsidRDefault="00CF06D1" w:rsidP="00CF06D1">
      <w:pPr>
        <w:jc w:val="center"/>
        <w:rPr>
          <w:rFonts w:asciiTheme="minorHAnsi" w:hAnsiTheme="minorHAnsi" w:cstheme="minorHAnsi"/>
          <w:sz w:val="16"/>
          <w:szCs w:val="16"/>
        </w:rPr>
      </w:pP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226AFD">
        <w:rPr>
          <w:rFonts w:asciiTheme="minorHAnsi" w:hAnsiTheme="minorHAnsi" w:cstheme="minorHAnsi"/>
          <w:sz w:val="22"/>
          <w:szCs w:val="22"/>
        </w:rPr>
        <w:t>842/31</w:t>
      </w:r>
      <w:r w:rsidRPr="008554AD">
        <w:rPr>
          <w:rFonts w:asciiTheme="minorHAnsi" w:hAnsiTheme="minorHAnsi" w:cstheme="minorHAnsi"/>
          <w:sz w:val="22"/>
          <w:szCs w:val="22"/>
        </w:rPr>
        <w:t xml:space="preserve"> ze dne </w:t>
      </w:r>
      <w:proofErr w:type="gramStart"/>
      <w:r w:rsidR="006F650E">
        <w:rPr>
          <w:rFonts w:asciiTheme="minorHAnsi" w:hAnsiTheme="minorHAnsi" w:cstheme="minorHAnsi"/>
          <w:sz w:val="22"/>
          <w:szCs w:val="22"/>
        </w:rPr>
        <w:t>14.12.</w:t>
      </w:r>
      <w:r w:rsidRPr="008554AD">
        <w:rPr>
          <w:rFonts w:asciiTheme="minorHAnsi" w:hAnsiTheme="minorHAnsi" w:cstheme="minorHAnsi"/>
          <w:sz w:val="22"/>
          <w:szCs w:val="22"/>
        </w:rPr>
        <w:t>2017</w:t>
      </w:r>
      <w:proofErr w:type="gramEnd"/>
      <w:r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B438DA" w:rsidRDefault="00CF06D1" w:rsidP="00CF06D1">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CF06D1" w:rsidRPr="003A2563" w:rsidRDefault="008D510A" w:rsidP="00CF06D1">
      <w:pPr>
        <w:jc w:val="both"/>
        <w:rPr>
          <w:rFonts w:ascii="Calibri" w:hAnsi="Calibri" w:cs="Calibri"/>
          <w:b/>
          <w:bCs/>
          <w:sz w:val="22"/>
          <w:szCs w:val="22"/>
        </w:rPr>
      </w:pPr>
      <w:r>
        <w:rPr>
          <w:rFonts w:ascii="Calibri" w:hAnsi="Calibri" w:cs="Calibri"/>
          <w:b/>
          <w:bCs/>
          <w:sz w:val="22"/>
          <w:szCs w:val="22"/>
        </w:rPr>
        <w:t xml:space="preserve">Tělovýchovná jednota </w:t>
      </w:r>
      <w:proofErr w:type="gramStart"/>
      <w:r>
        <w:rPr>
          <w:rFonts w:ascii="Calibri" w:hAnsi="Calibri" w:cs="Calibri"/>
          <w:b/>
          <w:bCs/>
          <w:sz w:val="22"/>
          <w:szCs w:val="22"/>
        </w:rPr>
        <w:t xml:space="preserve">Kopisty, </w:t>
      </w:r>
      <w:proofErr w:type="spellStart"/>
      <w:r>
        <w:rPr>
          <w:rFonts w:ascii="Calibri" w:hAnsi="Calibri" w:cs="Calibri"/>
          <w:b/>
          <w:bCs/>
          <w:sz w:val="22"/>
          <w:szCs w:val="22"/>
        </w:rPr>
        <w:t>z.s</w:t>
      </w:r>
      <w:proofErr w:type="spellEnd"/>
      <w:r>
        <w:rPr>
          <w:rFonts w:ascii="Calibri" w:hAnsi="Calibri" w:cs="Calibri"/>
          <w:b/>
          <w:bCs/>
          <w:sz w:val="22"/>
          <w:szCs w:val="22"/>
        </w:rPr>
        <w:t>.</w:t>
      </w:r>
      <w:proofErr w:type="gramEnd"/>
    </w:p>
    <w:p w:rsidR="00CF06D1" w:rsidRDefault="00CF06D1" w:rsidP="00CF06D1">
      <w:pPr>
        <w:jc w:val="both"/>
        <w:rPr>
          <w:rFonts w:ascii="Calibri" w:hAnsi="Calibri" w:cs="Calibri"/>
          <w:bCs/>
          <w:sz w:val="22"/>
          <w:szCs w:val="22"/>
        </w:rPr>
      </w:pPr>
      <w:r w:rsidRPr="003A2563">
        <w:rPr>
          <w:rFonts w:ascii="Calibri" w:hAnsi="Calibri" w:cs="Calibri"/>
          <w:bCs/>
          <w:sz w:val="22"/>
          <w:szCs w:val="22"/>
        </w:rPr>
        <w:t>zastoupená:</w:t>
      </w:r>
      <w:r w:rsidRPr="003A2563">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t xml:space="preserve">Miroslavem </w:t>
      </w:r>
      <w:proofErr w:type="spellStart"/>
      <w:r w:rsidR="008D510A">
        <w:rPr>
          <w:rFonts w:ascii="Calibri" w:hAnsi="Calibri" w:cs="Calibri"/>
          <w:bCs/>
          <w:sz w:val="22"/>
          <w:szCs w:val="22"/>
        </w:rPr>
        <w:t>Suttnerem</w:t>
      </w:r>
      <w:proofErr w:type="spellEnd"/>
      <w:r w:rsidR="008D510A">
        <w:rPr>
          <w:rFonts w:ascii="Calibri" w:hAnsi="Calibri" w:cs="Calibri"/>
          <w:bCs/>
          <w:sz w:val="22"/>
          <w:szCs w:val="22"/>
        </w:rPr>
        <w:t>, předsedou</w:t>
      </w:r>
      <w:r w:rsidRPr="003A2563">
        <w:rPr>
          <w:rFonts w:ascii="Calibri" w:hAnsi="Calibri" w:cs="Calibri"/>
          <w:bCs/>
          <w:sz w:val="22"/>
          <w:szCs w:val="22"/>
        </w:rPr>
        <w:tab/>
      </w:r>
      <w:r w:rsidRPr="003A2563">
        <w:rPr>
          <w:rFonts w:ascii="Calibri" w:hAnsi="Calibri" w:cs="Calibri"/>
          <w:bCs/>
          <w:sz w:val="22"/>
          <w:szCs w:val="22"/>
        </w:rPr>
        <w:tab/>
      </w:r>
    </w:p>
    <w:p w:rsidR="00CF06D1" w:rsidRPr="003A2563" w:rsidRDefault="00CF06D1" w:rsidP="00CF06D1">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t>Hamerská 166,435 42 – Litvínov-Janov</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p>
    <w:p w:rsidR="00CF06D1" w:rsidRPr="003A2563" w:rsidRDefault="00CF06D1" w:rsidP="00CF06D1">
      <w:pPr>
        <w:jc w:val="both"/>
        <w:rPr>
          <w:rFonts w:ascii="Calibri" w:hAnsi="Calibri" w:cs="Calibri"/>
          <w:bCs/>
          <w:sz w:val="22"/>
          <w:szCs w:val="22"/>
        </w:rPr>
      </w:pPr>
      <w:r w:rsidRPr="003A2563">
        <w:rPr>
          <w:rFonts w:ascii="Calibri" w:hAnsi="Calibri" w:cs="Calibri"/>
          <w:bCs/>
          <w:sz w:val="22"/>
          <w:szCs w:val="22"/>
        </w:rPr>
        <w:t>IČO: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8D510A">
        <w:rPr>
          <w:rFonts w:ascii="Calibri" w:hAnsi="Calibri" w:cs="Calibri"/>
          <w:bCs/>
          <w:sz w:val="22"/>
          <w:szCs w:val="22"/>
        </w:rPr>
        <w:t>473 26 930</w:t>
      </w:r>
    </w:p>
    <w:p w:rsidR="00CF06D1" w:rsidRPr="003A2563" w:rsidRDefault="00CF06D1" w:rsidP="00CF06D1">
      <w:pPr>
        <w:jc w:val="both"/>
        <w:rPr>
          <w:rFonts w:ascii="Calibri" w:hAnsi="Calibri" w:cs="Calibri"/>
          <w:bCs/>
          <w:sz w:val="22"/>
          <w:szCs w:val="22"/>
        </w:rPr>
      </w:pPr>
      <w:r>
        <w:rPr>
          <w:rFonts w:ascii="Calibri" w:hAnsi="Calibri" w:cs="Calibri"/>
          <w:bCs/>
          <w:sz w:val="22"/>
          <w:szCs w:val="22"/>
        </w:rPr>
        <w:t xml:space="preserve">bankovní spojení: </w:t>
      </w:r>
      <w:r>
        <w:rPr>
          <w:rFonts w:ascii="Calibri" w:hAnsi="Calibri" w:cs="Calibri"/>
          <w:bCs/>
          <w:sz w:val="22"/>
          <w:szCs w:val="22"/>
        </w:rPr>
        <w:tab/>
      </w:r>
      <w:r>
        <w:rPr>
          <w:rFonts w:ascii="Calibri" w:hAnsi="Calibri" w:cs="Calibri"/>
          <w:bCs/>
          <w:sz w:val="22"/>
          <w:szCs w:val="22"/>
        </w:rPr>
        <w:tab/>
      </w:r>
      <w:proofErr w:type="spellStart"/>
      <w:r w:rsidR="008827BB">
        <w:rPr>
          <w:rFonts w:ascii="Calibri" w:hAnsi="Calibri" w:cs="Calibri"/>
          <w:bCs/>
          <w:sz w:val="22"/>
          <w:szCs w:val="22"/>
        </w:rPr>
        <w:t>xxxxxxxxxx</w:t>
      </w:r>
      <w:proofErr w:type="spellEnd"/>
    </w:p>
    <w:p w:rsidR="00CF06D1" w:rsidRPr="003A2563" w:rsidRDefault="00CF06D1" w:rsidP="00CF06D1">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8827BB">
        <w:rPr>
          <w:rFonts w:ascii="Calibri" w:hAnsi="Calibri" w:cs="Calibri"/>
          <w:bCs/>
          <w:sz w:val="22"/>
          <w:szCs w:val="22"/>
        </w:rPr>
        <w:t>xxxxxxxxxxx</w:t>
      </w:r>
      <w:bookmarkStart w:id="0" w:name="_GoBack"/>
      <w:bookmarkEnd w:id="0"/>
    </w:p>
    <w:p w:rsidR="00CF06D1" w:rsidRPr="00B438DA" w:rsidRDefault="00CF06D1" w:rsidP="00CF06D1">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Účelem dotace je poskytnutí peněžních prostředků na realizaci projektu </w:t>
      </w:r>
      <w:r w:rsidR="008D510A" w:rsidRPr="00B8111B">
        <w:rPr>
          <w:rFonts w:asciiTheme="minorHAnsi" w:hAnsiTheme="minorHAnsi" w:cstheme="minorHAnsi"/>
          <w:b/>
          <w:sz w:val="22"/>
          <w:szCs w:val="22"/>
        </w:rPr>
        <w:t>„Celková oprava vstupních dveří, únikového vchodu a instalace zabezpečovacího zařízení ve sportovní hale TJ Kopisty“</w:t>
      </w:r>
      <w:r w:rsidRPr="00B8111B">
        <w:rPr>
          <w:rFonts w:asciiTheme="minorHAnsi" w:hAnsiTheme="minorHAnsi" w:cstheme="minorHAnsi"/>
          <w:b/>
          <w:sz w:val="22"/>
          <w:szCs w:val="22"/>
        </w:rPr>
        <w:t xml:space="preserve"> </w:t>
      </w:r>
      <w:r w:rsidRPr="00B8111B">
        <w:rPr>
          <w:rFonts w:asciiTheme="minorHAnsi" w:hAnsiTheme="minorHAnsi" w:cstheme="minorHAnsi"/>
          <w:sz w:val="22"/>
          <w:szCs w:val="22"/>
        </w:rPr>
        <w:t>(dále jen „projekt“).</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Projekt bude realizován v termínu od 1. 1. 2018 do 31. 12. 2018. Ukončení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Peněžní prostředky dotace nesmí příjemce poskytnout jiným právnickým nebo fyzickým osobám, pokud nejde o úhrady spojené s realizací projektu, na který byly poskytnuty a smí je zároveň použít jen k účelu, který je upraven v odst. 1 tohoto ustanovení.</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 xml:space="preserve">Celková výše dotace, tj. </w:t>
      </w:r>
      <w:r w:rsidR="008D510A" w:rsidRPr="008D510A">
        <w:rPr>
          <w:rFonts w:ascii="Calibri" w:hAnsi="Calibri" w:cs="Calibri"/>
          <w:b/>
          <w:sz w:val="22"/>
          <w:szCs w:val="22"/>
        </w:rPr>
        <w:t>245</w:t>
      </w:r>
      <w:r w:rsidRPr="00960533">
        <w:rPr>
          <w:rFonts w:ascii="Calibri" w:hAnsi="Calibri" w:cs="Calibri"/>
          <w:b/>
          <w:sz w:val="22"/>
          <w:szCs w:val="22"/>
        </w:rPr>
        <w:t xml:space="preserve"> 000,- Kč</w:t>
      </w:r>
      <w:r>
        <w:rPr>
          <w:rFonts w:ascii="Calibri" w:hAnsi="Calibri" w:cs="Calibri"/>
          <w:sz w:val="22"/>
          <w:szCs w:val="22"/>
        </w:rPr>
        <w:t xml:space="preserve"> (slovy: </w:t>
      </w:r>
      <w:proofErr w:type="spellStart"/>
      <w:r w:rsidR="008D510A">
        <w:rPr>
          <w:rFonts w:ascii="Calibri" w:hAnsi="Calibri" w:cs="Calibri"/>
          <w:sz w:val="22"/>
          <w:szCs w:val="22"/>
        </w:rPr>
        <w:t>dvěstěčtyřicetpět</w:t>
      </w:r>
      <w:proofErr w:type="spellEnd"/>
      <w:r>
        <w:rPr>
          <w:rFonts w:ascii="Calibri" w:hAnsi="Calibri" w:cs="Calibri"/>
          <w:sz w:val="22"/>
          <w:szCs w:val="22"/>
        </w:rPr>
        <w:t xml:space="preserve"> tisíc korun českých), bude vyplacena po nabytí platnosti a účinnosti smlouvy nejpozději do 30 dnů od </w:t>
      </w:r>
      <w:r w:rsidR="008D510A">
        <w:rPr>
          <w:rFonts w:ascii="Calibri" w:hAnsi="Calibri" w:cs="Calibri"/>
          <w:sz w:val="22"/>
          <w:szCs w:val="22"/>
        </w:rPr>
        <w:t>dodání požadovaných dokladů dle podmínek Pravidel pro poskytování dotací z rozpočtu města Litvínova č. 10 odst. 6) – rozpočet akce, cenová</w:t>
      </w:r>
      <w:r w:rsidR="00226AFD">
        <w:rPr>
          <w:rFonts w:ascii="Calibri" w:hAnsi="Calibri" w:cs="Calibri"/>
          <w:sz w:val="22"/>
          <w:szCs w:val="22"/>
        </w:rPr>
        <w:t xml:space="preserve"> nabídka</w:t>
      </w:r>
      <w:r w:rsidR="006749FF">
        <w:rPr>
          <w:rFonts w:ascii="Calibri" w:hAnsi="Calibri" w:cs="Calibri"/>
          <w:sz w:val="22"/>
          <w:szCs w:val="22"/>
        </w:rPr>
        <w:t>, protokol o výběru zhotovitele, smlouva o dílo s dodavatelem atd.</w:t>
      </w:r>
    </w:p>
    <w:p w:rsidR="006749FF" w:rsidRPr="00B8111B" w:rsidRDefault="006749FF" w:rsidP="00CF06D1">
      <w:pPr>
        <w:jc w:val="both"/>
        <w:rPr>
          <w:rFonts w:ascii="Calibri" w:hAnsi="Calibri" w:cs="Calibri"/>
          <w:sz w:val="22"/>
          <w:szCs w:val="22"/>
        </w:rPr>
      </w:pPr>
      <w:r>
        <w:rPr>
          <w:rFonts w:ascii="Calibri" w:hAnsi="Calibri" w:cs="Calibri"/>
          <w:sz w:val="22"/>
          <w:szCs w:val="22"/>
        </w:rPr>
        <w:t xml:space="preserve"> </w:t>
      </w: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Pr="006A4570" w:rsidRDefault="005A5637"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Celková oprava vstupních dveří a únikového vchodu</w:t>
      </w:r>
    </w:p>
    <w:p w:rsidR="00CF06D1" w:rsidRDefault="005A5637"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Instalace zabezpečovacího zařízení ve sportovní hale TJ Kopisty</w:t>
      </w:r>
    </w:p>
    <w:p w:rsidR="00CF06D1" w:rsidRDefault="00CF06D1" w:rsidP="00CF06D1">
      <w:pPr>
        <w:pStyle w:val="Odstavecseseznamem"/>
        <w:jc w:val="both"/>
        <w:textAlignment w:val="auto"/>
        <w:rPr>
          <w:rFonts w:ascii="Calibri" w:hAnsi="Calibri" w:cs="Calibri"/>
          <w:bCs/>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lastRenderedPageBreak/>
        <w:t>Neuznatelnými výdaji podle této smlouvy jsou všechny ostatní výdaje, které by nesouvisely s projekty uveden</w:t>
      </w:r>
      <w:r w:rsidR="00226AFD">
        <w:rPr>
          <w:rFonts w:ascii="Calibri" w:hAnsi="Calibri" w:cs="Calibri"/>
          <w:bCs/>
          <w:sz w:val="22"/>
          <w:szCs w:val="22"/>
        </w:rPr>
        <w:t>ými</w:t>
      </w:r>
      <w:r w:rsidRPr="00B8111B">
        <w:rPr>
          <w:rFonts w:ascii="Calibri" w:hAnsi="Calibri" w:cs="Calibri"/>
          <w:bCs/>
          <w:sz w:val="22"/>
          <w:szCs w:val="22"/>
        </w:rPr>
        <w:t xml:space="preserve"> v předchozím odstavci.</w:t>
      </w:r>
    </w:p>
    <w:p w:rsidR="00CF06D1" w:rsidRDefault="00CF06D1" w:rsidP="00B8111B">
      <w:pPr>
        <w:ind w:left="709"/>
        <w:jc w:val="both"/>
        <w:rPr>
          <w:rFonts w:ascii="Calibri" w:hAnsi="Calibri" w:cs="Calibri"/>
          <w:bCs/>
          <w:sz w:val="22"/>
          <w:szCs w:val="22"/>
        </w:rPr>
      </w:pPr>
      <w:r w:rsidRPr="00735984">
        <w:rPr>
          <w:rFonts w:ascii="Calibri" w:hAnsi="Calibri" w:cs="Calibri"/>
          <w:bCs/>
          <w:sz w:val="22"/>
          <w:szCs w:val="22"/>
        </w:rPr>
        <w:t>Pozn. Navazuje na čl. IX odst. 5 smlouvy.</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do </w:t>
      </w:r>
      <w:r w:rsidRPr="005A5637">
        <w:rPr>
          <w:rFonts w:ascii="Calibri" w:hAnsi="Calibri" w:cs="Calibri"/>
          <w:b/>
          <w:bCs/>
          <w:sz w:val="22"/>
          <w:szCs w:val="22"/>
        </w:rPr>
        <w:t>31. 3. 2019</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povinen na originále účetního dokladu uvést, že úhrada byla financována z dotace města Litvínova s odkazem na příslušný smluvní vztah (dle smlouvy číslo KT/</w:t>
      </w:r>
      <w:r w:rsidR="005A5637">
        <w:rPr>
          <w:rFonts w:ascii="Calibri" w:hAnsi="Calibri" w:cs="Calibri"/>
          <w:bCs/>
          <w:sz w:val="22"/>
          <w:szCs w:val="22"/>
        </w:rPr>
        <w:t>9513/17</w:t>
      </w:r>
      <w:r w:rsidRPr="0018045D">
        <w:rPr>
          <w:rFonts w:ascii="Calibri" w:hAnsi="Calibri" w:cs="Calibri"/>
          <w:bCs/>
          <w:sz w:val="22"/>
          <w:szCs w:val="22"/>
        </w:rPr>
        <w:t>).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Pokud příjemce nevyčerpá všechny prostředky dotace na stanovený účel, je povinen vrátit poskytovateli nevyčerpanou částku nejpozději ve lhůtě, ve které je povinen předložit řádné vyúčtování poskytnuté neinvestiční dotace a na č. </w:t>
      </w:r>
      <w:proofErr w:type="spellStart"/>
      <w:r w:rsidRPr="0018045D">
        <w:rPr>
          <w:rFonts w:ascii="Calibri" w:hAnsi="Calibri" w:cs="Calibri"/>
          <w:bCs/>
          <w:sz w:val="22"/>
          <w:szCs w:val="22"/>
        </w:rPr>
        <w:t>ú.</w:t>
      </w:r>
      <w:proofErr w:type="spellEnd"/>
      <w:r w:rsidRPr="0018045D">
        <w:rPr>
          <w:rFonts w:ascii="Calibri" w:hAnsi="Calibri" w:cs="Calibri"/>
          <w:bCs/>
          <w:sz w:val="22"/>
          <w:szCs w:val="22"/>
        </w:rPr>
        <w:t>: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odpovídá za hospodárné použití poskytnutých prostředků v souladu s účelem dle článku VI. odstavce  1a zajistí ve svém účetnictví nebo daňové evidenci, v souladu s platnými obecně závaznými právními předpisy, zejména se zákonem 563/1991 sb. o účetnictví, v platném znění, řádné a prokazatelně oddělené sledování poskytnuté neinvestiční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18045D" w:rsidRPr="0018045D">
        <w:rPr>
          <w:rFonts w:ascii="Calibri" w:hAnsi="Calibri" w:cs="Calibri"/>
          <w:b/>
          <w:bCs/>
          <w:sz w:val="22"/>
          <w:szCs w:val="22"/>
        </w:rPr>
        <w:t>31. 12. 201</w:t>
      </w:r>
      <w:r w:rsidR="00B86FBA">
        <w:rPr>
          <w:rFonts w:ascii="Calibri" w:hAnsi="Calibri" w:cs="Calibri"/>
          <w:b/>
          <w:bCs/>
          <w:sz w:val="22"/>
          <w:szCs w:val="22"/>
        </w:rPr>
        <w:t>8</w:t>
      </w:r>
      <w:r w:rsidR="0018045D">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w:t>
      </w:r>
      <w:r w:rsidRPr="0018045D">
        <w:rPr>
          <w:rFonts w:ascii="Calibri" w:hAnsi="Calibri" w:cs="Calibri"/>
          <w:bCs/>
          <w:sz w:val="22"/>
          <w:szCs w:val="22"/>
        </w:rPr>
        <w:lastRenderedPageBreak/>
        <w:t xml:space="preserve">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CF06D1" w:rsidRDefault="00CF06D1" w:rsidP="0018045D">
      <w:pPr>
        <w:ind w:left="708"/>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w:t>
      </w:r>
      <w:r w:rsidRPr="0018045D">
        <w:rPr>
          <w:rFonts w:ascii="Calibri" w:hAnsi="Calibri" w:cs="Calibri"/>
          <w:bCs/>
          <w:sz w:val="22"/>
          <w:szCs w:val="22"/>
        </w:rPr>
        <w:lastRenderedPageBreak/>
        <w:t>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 xml:space="preserve">Příjemce bere na vědomí, že poskytnutí této investiční dotace spadá pod režim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v souladu s článkem 2 nařízení Komise (EU) č. 1407/2013, kdy celková výše podpory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poskytnutá příjemci, nesmí v rozhodném </w:t>
      </w:r>
      <w:proofErr w:type="gramStart"/>
      <w:r w:rsidRPr="00A0090C">
        <w:rPr>
          <w:rFonts w:ascii="Calibri" w:hAnsi="Calibri" w:cs="Calibri"/>
          <w:bCs/>
          <w:sz w:val="22"/>
          <w:szCs w:val="22"/>
        </w:rPr>
        <w:t>období ( v kterémkoliv</w:t>
      </w:r>
      <w:proofErr w:type="gramEnd"/>
      <w:r w:rsidRPr="00A0090C">
        <w:rPr>
          <w:rFonts w:ascii="Calibri" w:hAnsi="Calibri" w:cs="Calibri"/>
          <w:bCs/>
          <w:sz w:val="22"/>
          <w:szCs w:val="22"/>
        </w:rPr>
        <w:t xml:space="preserve"> tříletém období) přesáhnout  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Poskytnutí této investiční dotace poskytovatelem příjemci předcházelo předložení písemného čestného prohlášení příjemce o získaných podporách de </w:t>
      </w:r>
      <w:proofErr w:type="spellStart"/>
      <w:r>
        <w:rPr>
          <w:rFonts w:ascii="Calibri" w:hAnsi="Calibri" w:cs="Calibri"/>
          <w:bCs/>
          <w:sz w:val="22"/>
          <w:szCs w:val="22"/>
        </w:rPr>
        <w:t>minimis</w:t>
      </w:r>
      <w:proofErr w:type="spellEnd"/>
      <w:r>
        <w:rPr>
          <w:rFonts w:ascii="Calibri" w:hAnsi="Calibri" w:cs="Calibri"/>
          <w:bCs/>
          <w:sz w:val="22"/>
          <w:szCs w:val="22"/>
        </w:rPr>
        <w:t xml:space="preserve">, jímž poskytovatel ověřil možnost takovou podporu poskytnout v souladu s nařízením Komise (EU) č. 1407/2013 ze dne </w:t>
      </w:r>
      <w:proofErr w:type="gramStart"/>
      <w:r>
        <w:rPr>
          <w:rFonts w:ascii="Calibri" w:hAnsi="Calibri" w:cs="Calibri"/>
          <w:bCs/>
          <w:sz w:val="22"/>
          <w:szCs w:val="22"/>
        </w:rPr>
        <w:t>18.12.2013</w:t>
      </w:r>
      <w:proofErr w:type="gramEnd"/>
      <w:r>
        <w:rPr>
          <w:rFonts w:ascii="Calibri" w:hAnsi="Calibri" w:cs="Calibri"/>
          <w:bCs/>
          <w:sz w:val="22"/>
          <w:szCs w:val="22"/>
        </w:rPr>
        <w:t xml:space="preserve"> o použití článků 107 a 108 Smlouvy u fungování EU na podporu de </w:t>
      </w:r>
      <w:proofErr w:type="spellStart"/>
      <w:r>
        <w:rPr>
          <w:rFonts w:ascii="Calibri" w:hAnsi="Calibri" w:cs="Calibri"/>
          <w:bCs/>
          <w:sz w:val="22"/>
          <w:szCs w:val="22"/>
        </w:rPr>
        <w:t>minimis</w:t>
      </w:r>
      <w:proofErr w:type="spellEnd"/>
      <w:r>
        <w:rPr>
          <w:rFonts w:ascii="Calibri" w:hAnsi="Calibri" w:cs="Calibri"/>
          <w:bCs/>
          <w:sz w:val="22"/>
          <w:szCs w:val="22"/>
        </w:rPr>
        <w:t xml:space="preserve">, pro účely zaznamenávání údajů do registru de </w:t>
      </w:r>
      <w:proofErr w:type="spellStart"/>
      <w:r>
        <w:rPr>
          <w:rFonts w:ascii="Calibri" w:hAnsi="Calibri" w:cs="Calibri"/>
          <w:bCs/>
          <w:sz w:val="22"/>
          <w:szCs w:val="22"/>
        </w:rPr>
        <w:t>minimis</w:t>
      </w:r>
      <w:proofErr w:type="spellEnd"/>
      <w:r>
        <w:rPr>
          <w:rFonts w:ascii="Calibri" w:hAnsi="Calibri" w:cs="Calibri"/>
          <w:bCs/>
          <w:sz w:val="22"/>
          <w:szCs w:val="22"/>
        </w:rPr>
        <w:t xml:space="preserve"> ( dále jen „čestné prohlášení příjemce“).</w:t>
      </w:r>
    </w:p>
    <w:p w:rsidR="00D214EC" w:rsidRPr="00D214EC" w:rsidRDefault="00D214EC" w:rsidP="00D214EC">
      <w:pPr>
        <w:jc w:val="both"/>
        <w:rPr>
          <w:rFonts w:ascii="Calibri" w:hAnsi="Calibri" w:cs="Calibri"/>
          <w:bCs/>
          <w:sz w:val="22"/>
          <w:szCs w:val="22"/>
        </w:rPr>
      </w:pP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Příjemce také bere na vědomí a souhlasí s tím, že údaje o poskytnutí této investiční dotace budou vedeny v centrálním registru podpor de </w:t>
      </w:r>
      <w:proofErr w:type="spellStart"/>
      <w:r>
        <w:rPr>
          <w:rFonts w:ascii="Calibri" w:hAnsi="Calibri" w:cs="Calibri"/>
          <w:bCs/>
          <w:sz w:val="22"/>
          <w:szCs w:val="22"/>
        </w:rPr>
        <w:t>minimis</w:t>
      </w:r>
      <w:proofErr w:type="spellEnd"/>
      <w:r>
        <w:rPr>
          <w:rFonts w:ascii="Calibri" w:hAnsi="Calibri" w:cs="Calibri"/>
          <w:bCs/>
          <w:sz w:val="22"/>
          <w:szCs w:val="22"/>
        </w:rPr>
        <w:t>.</w:t>
      </w:r>
    </w:p>
    <w:p w:rsidR="00D214EC" w:rsidRPr="00D214EC" w:rsidRDefault="00D214EC" w:rsidP="00D214EC">
      <w:pPr>
        <w:pStyle w:val="Odstavecseseznamem"/>
        <w:rPr>
          <w:rFonts w:ascii="Calibri" w:hAnsi="Calibri" w:cs="Calibri"/>
          <w:bCs/>
          <w:sz w:val="22"/>
          <w:szCs w:val="22"/>
        </w:rPr>
      </w:pP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D214EC" w:rsidRPr="00D214EC" w:rsidRDefault="00D214EC" w:rsidP="00D214EC">
      <w:pPr>
        <w:pStyle w:val="Odstavecseseznamem"/>
        <w:rPr>
          <w:rFonts w:ascii="Calibri" w:hAnsi="Calibri" w:cs="Calibri"/>
          <w:bCs/>
          <w:sz w:val="22"/>
          <w:szCs w:val="22"/>
        </w:rPr>
      </w:pPr>
    </w:p>
    <w:p w:rsidR="00D214EC" w:rsidRDefault="00D214EC" w:rsidP="00D214EC">
      <w:pPr>
        <w:pStyle w:val="Odstavecseseznamem"/>
        <w:jc w:val="both"/>
        <w:rPr>
          <w:rFonts w:ascii="Calibri" w:hAnsi="Calibri" w:cs="Calibri"/>
          <w:bCs/>
          <w:sz w:val="22"/>
          <w:szCs w:val="22"/>
        </w:rPr>
      </w:pPr>
    </w:p>
    <w:p w:rsidR="004E1FE7" w:rsidRDefault="004E1FE7" w:rsidP="004E1FE7">
      <w:pPr>
        <w:jc w:val="both"/>
        <w:rPr>
          <w:rFonts w:ascii="Calibri" w:hAnsi="Calibri" w:cs="Calibri"/>
          <w:bCs/>
          <w:sz w:val="22"/>
          <w:szCs w:val="22"/>
        </w:rPr>
      </w:pPr>
      <w:r>
        <w:rPr>
          <w:rFonts w:ascii="Calibri" w:hAnsi="Calibri" w:cs="Calibri"/>
          <w:bCs/>
          <w:sz w:val="22"/>
          <w:szCs w:val="22"/>
        </w:rPr>
        <w:t xml:space="preserve">Podpisem této smlouvy příjemce stvrzuje, že byl seznámen s charakterem poskytované investiční dotace jakožto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a s následky vyplývajícími z nedodržení ustanovení této smlouvy a obecně závazných, platných právních předpisů</w:t>
      </w:r>
      <w:r w:rsidR="00D214EC">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lastRenderedPageBreak/>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Smluvní strany souhlasí s tím, aby tato Smlouva KT/</w:t>
      </w:r>
      <w:r w:rsidR="005A5637">
        <w:rPr>
          <w:rFonts w:asciiTheme="minorHAnsi" w:hAnsiTheme="minorHAnsi" w:cs="Arial"/>
          <w:sz w:val="22"/>
          <w:szCs w:val="22"/>
        </w:rPr>
        <w:t>9513</w:t>
      </w:r>
      <w:r w:rsidRPr="00B8111B">
        <w:rPr>
          <w:rFonts w:asciiTheme="minorHAnsi" w:hAnsiTheme="minorHAnsi" w:cs="Arial"/>
          <w:sz w:val="22"/>
          <w:szCs w:val="22"/>
        </w:rPr>
        <w:t xml:space="preserve">/17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lastRenderedPageBreak/>
        <w:t xml:space="preserve">Tato Smlouva nabývá platnosti dnem podpisu smluvních stran a  zahájením poskytování dotace dle splátkového kalendáře, uvedeného v článku 3 </w:t>
      </w:r>
      <w:proofErr w:type="gramStart"/>
      <w:r w:rsidRPr="00B8111B">
        <w:rPr>
          <w:rFonts w:asciiTheme="minorHAnsi" w:hAnsiTheme="minorHAnsi" w:cs="Arial"/>
          <w:sz w:val="22"/>
          <w:szCs w:val="22"/>
        </w:rPr>
        <w:t>této</w:t>
      </w:r>
      <w:proofErr w:type="gramEnd"/>
      <w:r w:rsidRPr="00B8111B">
        <w:rPr>
          <w:rFonts w:asciiTheme="minorHAnsi" w:hAnsiTheme="minorHAnsi" w:cs="Arial"/>
          <w:sz w:val="22"/>
          <w:szCs w:val="22"/>
        </w:rPr>
        <w:t xml:space="preserve"> smlouvy. Je vyhotovena ve třech stejnopisech, z nichž dvě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 xml:space="preserve">Doložka platnosti právního úkonu dle </w:t>
      </w:r>
      <w:proofErr w:type="spellStart"/>
      <w:r w:rsidRPr="00B8111B">
        <w:rPr>
          <w:rFonts w:asciiTheme="minorHAnsi" w:hAnsiTheme="minorHAnsi" w:cs="Arial"/>
          <w:sz w:val="22"/>
          <w:szCs w:val="22"/>
        </w:rPr>
        <w:t>ust</w:t>
      </w:r>
      <w:proofErr w:type="spellEnd"/>
      <w:r w:rsidRPr="00B8111B">
        <w:rPr>
          <w:rFonts w:asciiTheme="minorHAnsi" w:hAnsiTheme="minorHAnsi" w:cs="Arial"/>
          <w:sz w:val="22"/>
          <w:szCs w:val="22"/>
        </w:rPr>
        <w:t>. § 41 zák. č. 128/2000 Sb. o obcích, v platném znění: O uzavření veřejnoprávní smlouvy rozhodlo Zastupitelstvo města Litvínov usnesením č. Z</w:t>
      </w:r>
      <w:r w:rsidRPr="005A5637">
        <w:rPr>
          <w:rFonts w:asciiTheme="minorHAnsi" w:hAnsiTheme="minorHAnsi" w:cs="Arial"/>
          <w:sz w:val="22"/>
          <w:szCs w:val="22"/>
        </w:rPr>
        <w:t>/</w:t>
      </w:r>
      <w:r w:rsidR="00D6743C">
        <w:rPr>
          <w:rFonts w:asciiTheme="minorHAnsi" w:hAnsiTheme="minorHAnsi" w:cs="Arial"/>
          <w:sz w:val="22"/>
          <w:szCs w:val="22"/>
        </w:rPr>
        <w:t>………….</w:t>
      </w:r>
      <w:r w:rsidR="00401F85" w:rsidRPr="005A5637">
        <w:rPr>
          <w:rFonts w:asciiTheme="minorHAnsi" w:hAnsiTheme="minorHAnsi" w:cs="Arial"/>
          <w:sz w:val="22"/>
          <w:szCs w:val="22"/>
        </w:rPr>
        <w:t xml:space="preserve"> </w:t>
      </w:r>
      <w:r w:rsidRPr="005A5637">
        <w:rPr>
          <w:rFonts w:asciiTheme="minorHAnsi" w:hAnsiTheme="minorHAnsi" w:cs="Arial"/>
          <w:sz w:val="22"/>
          <w:szCs w:val="22"/>
        </w:rPr>
        <w:t>z</w:t>
      </w:r>
      <w:r w:rsidRPr="00B8111B">
        <w:rPr>
          <w:rFonts w:asciiTheme="minorHAnsi" w:hAnsiTheme="minorHAnsi" w:cs="Arial"/>
          <w:sz w:val="22"/>
          <w:szCs w:val="22"/>
        </w:rPr>
        <w:t xml:space="preserve">e dne </w:t>
      </w:r>
      <w:proofErr w:type="gramStart"/>
      <w:r w:rsidR="00D6743C">
        <w:rPr>
          <w:rFonts w:asciiTheme="minorHAnsi" w:hAnsiTheme="minorHAnsi" w:cs="Arial"/>
          <w:sz w:val="22"/>
          <w:szCs w:val="22"/>
        </w:rPr>
        <w:t>22</w:t>
      </w:r>
      <w:r w:rsidRPr="00B8111B">
        <w:rPr>
          <w:rFonts w:asciiTheme="minorHAnsi" w:hAnsiTheme="minorHAnsi" w:cs="Arial"/>
          <w:sz w:val="22"/>
          <w:szCs w:val="22"/>
        </w:rPr>
        <w:t>.</w:t>
      </w:r>
      <w:r w:rsidR="00D6743C">
        <w:rPr>
          <w:rFonts w:asciiTheme="minorHAnsi" w:hAnsiTheme="minorHAnsi" w:cs="Arial"/>
          <w:sz w:val="22"/>
          <w:szCs w:val="22"/>
        </w:rPr>
        <w:t>0</w:t>
      </w:r>
      <w:r w:rsidRPr="00B8111B">
        <w:rPr>
          <w:rFonts w:asciiTheme="minorHAnsi" w:hAnsiTheme="minorHAnsi" w:cs="Arial"/>
          <w:sz w:val="22"/>
          <w:szCs w:val="22"/>
        </w:rPr>
        <w:t>2.201</w:t>
      </w:r>
      <w:r w:rsidR="00D6743C">
        <w:rPr>
          <w:rFonts w:asciiTheme="minorHAnsi" w:hAnsiTheme="minorHAnsi" w:cs="Arial"/>
          <w:sz w:val="22"/>
          <w:szCs w:val="22"/>
        </w:rPr>
        <w:t>8</w:t>
      </w:r>
      <w:proofErr w:type="gramEnd"/>
      <w:r w:rsidRPr="00B8111B">
        <w:rPr>
          <w:rFonts w:asciiTheme="minorHAnsi" w:hAnsiTheme="minorHAnsi" w:cs="Arial"/>
          <w:sz w:val="22"/>
          <w:szCs w:val="22"/>
        </w:rPr>
        <w:t>,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CF06D1" w:rsidRDefault="006F650E" w:rsidP="00CF06D1">
      <w:pPr>
        <w:jc w:val="both"/>
        <w:rPr>
          <w:rFonts w:ascii="Calibri" w:hAnsi="Calibri" w:cs="Calibri"/>
          <w:sz w:val="22"/>
          <w:szCs w:val="22"/>
        </w:rPr>
      </w:pPr>
      <w:r>
        <w:rPr>
          <w:rFonts w:asciiTheme="minorHAnsi" w:hAnsiTheme="minorHAnsi" w:cstheme="minorHAnsi"/>
          <w:sz w:val="22"/>
          <w:szCs w:val="22"/>
        </w:rPr>
        <w:t xml:space="preserve">Miroslav </w:t>
      </w:r>
      <w:proofErr w:type="spellStart"/>
      <w:r>
        <w:rPr>
          <w:rFonts w:asciiTheme="minorHAnsi" w:hAnsiTheme="minorHAnsi" w:cstheme="minorHAnsi"/>
          <w:sz w:val="22"/>
          <w:szCs w:val="22"/>
        </w:rPr>
        <w:t>Suttner</w:t>
      </w:r>
      <w:proofErr w:type="spellEnd"/>
      <w:r w:rsidR="00D5453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sidR="00CF06D1">
        <w:rPr>
          <w:rFonts w:ascii="Calibri" w:hAnsi="Calibri" w:cs="Calibri"/>
          <w:sz w:val="22"/>
          <w:szCs w:val="22"/>
        </w:rPr>
        <w:t>Mgr. Kamila Bláhová</w:t>
      </w:r>
    </w:p>
    <w:p w:rsidR="00CF06D1" w:rsidRDefault="00CF06D1" w:rsidP="00CF06D1">
      <w:pPr>
        <w:jc w:val="both"/>
        <w:rPr>
          <w:rFonts w:ascii="Calibri" w:hAnsi="Calibri" w:cs="Calibri"/>
          <w:sz w:val="22"/>
          <w:szCs w:val="22"/>
        </w:rPr>
      </w:pPr>
      <w:r>
        <w:rPr>
          <w:rFonts w:ascii="Calibri" w:hAnsi="Calibri" w:cs="Calibri"/>
          <w:sz w:val="22"/>
          <w:szCs w:val="22"/>
        </w:rPr>
        <w:t xml:space="preserve">       předseda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5A5637">
        <w:rPr>
          <w:rFonts w:ascii="Arial" w:hAnsi="Arial" w:cs="Arial"/>
        </w:rPr>
        <w:t>9513/17</w:t>
      </w:r>
    </w:p>
    <w:p w:rsidR="00CF06D1" w:rsidRDefault="00CF06D1" w:rsidP="00CF06D1">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Lucie Krupková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sz w:val="16"/>
                <w:szCs w:val="16"/>
                <w:lang w:eastAsia="en-US"/>
              </w:rPr>
            </w:pPr>
            <w:r>
              <w:rPr>
                <w:rFonts w:ascii="Arial" w:hAnsi="Arial" w:cs="Arial"/>
                <w:sz w:val="16"/>
                <w:szCs w:val="16"/>
                <w:lang w:eastAsia="en-US"/>
              </w:rPr>
              <w:t>referent OIRR</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sidRPr="006F650E">
              <w:rPr>
                <w:rFonts w:ascii="Arial" w:hAnsi="Arial" w:cs="Arial"/>
                <w:lang w:eastAsia="en-US"/>
              </w:rPr>
              <w:t>Ing. Eva Rambousková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Romana Švarcová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Mgr. Jan Buchta</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R/</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758" w:type="dxa"/>
          </w:tcPr>
          <w:p w:rsidR="00CF06D1" w:rsidRDefault="00CF06D1" w:rsidP="00F77F26">
            <w:pPr>
              <w:spacing w:line="276" w:lineRule="auto"/>
              <w:rPr>
                <w:rFonts w:ascii="Arial" w:hAnsi="Arial" w:cs="Arial"/>
                <w:b/>
                <w:sz w:val="18"/>
                <w:szCs w:val="18"/>
                <w:lang w:eastAsia="en-US"/>
              </w:rPr>
            </w:pP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2FF" w:rsidRDefault="008862FF" w:rsidP="00BA1DEB">
      <w:r>
        <w:separator/>
      </w:r>
    </w:p>
  </w:endnote>
  <w:endnote w:type="continuationSeparator" w:id="0">
    <w:p w:rsidR="008862FF" w:rsidRDefault="008862FF"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8D510A">
    <w:pPr>
      <w:pStyle w:val="Zpat"/>
      <w:jc w:val="right"/>
    </w:pPr>
    <w:r>
      <w:t xml:space="preserve">TJ Kopisty, </w:t>
    </w:r>
    <w:proofErr w:type="spellStart"/>
    <w:r>
      <w:t>z.s</w:t>
    </w:r>
    <w:proofErr w:type="spellEnd"/>
    <w:r>
      <w:t>.</w:t>
    </w:r>
    <w:r w:rsidR="00F44CCA">
      <w:t xml:space="preserve"> </w:t>
    </w:r>
    <w:r>
      <w:t>–</w:t>
    </w:r>
    <w:r w:rsidR="00F44CCA">
      <w:t xml:space="preserve"> poskytnutí</w:t>
    </w:r>
    <w:r>
      <w:t xml:space="preserve"> </w:t>
    </w:r>
    <w:r w:rsidR="00F44CCA">
      <w:t xml:space="preserve">investiční </w:t>
    </w:r>
    <w:proofErr w:type="gramStart"/>
    <w:r w:rsidR="00F44CCA">
      <w:t>dotace  na</w:t>
    </w:r>
    <w:proofErr w:type="gramEnd"/>
    <w:r w:rsidR="00F44CCA">
      <w:t xml:space="preserve"> rok 2018</w:t>
    </w:r>
  </w:p>
  <w:p w:rsidR="00936E05" w:rsidRDefault="00F44CCA">
    <w:pPr>
      <w:pStyle w:val="Zpat"/>
      <w:jc w:val="right"/>
    </w:pPr>
    <w:r>
      <w:fldChar w:fldCharType="begin"/>
    </w:r>
    <w:r>
      <w:instrText xml:space="preserve"> PAGE </w:instrText>
    </w:r>
    <w:r>
      <w:fldChar w:fldCharType="separate"/>
    </w:r>
    <w:r w:rsidR="008827BB">
      <w:rPr>
        <w:noProof/>
      </w:rPr>
      <w:t>2</w:t>
    </w:r>
    <w:r>
      <w:fldChar w:fldCharType="end"/>
    </w:r>
  </w:p>
  <w:p w:rsidR="00936E05" w:rsidRDefault="008862FF">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2FF" w:rsidRDefault="008862FF" w:rsidP="00BA1DEB">
      <w:r>
        <w:separator/>
      </w:r>
    </w:p>
  </w:footnote>
  <w:footnote w:type="continuationSeparator" w:id="0">
    <w:p w:rsidR="008862FF" w:rsidRDefault="008862FF"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F44CCA">
    <w:pPr>
      <w:pStyle w:val="Zhlav"/>
    </w:pPr>
    <w:r>
      <w:tab/>
    </w:r>
    <w:r>
      <w:tab/>
      <w:t>KT/</w:t>
    </w:r>
    <w:r w:rsidR="005A5637">
      <w:t>9513/17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1">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num>
  <w:num w:numId="3">
    <w:abstractNumId w:val="6"/>
  </w:num>
  <w:num w:numId="4">
    <w:abstractNumId w:val="12"/>
  </w:num>
  <w:num w:numId="5">
    <w:abstractNumId w:val="3"/>
  </w:num>
  <w:num w:numId="6">
    <w:abstractNumId w:val="10"/>
  </w:num>
  <w:num w:numId="7">
    <w:abstractNumId w:val="0"/>
  </w:num>
  <w:num w:numId="8">
    <w:abstractNumId w:val="5"/>
  </w:num>
  <w:num w:numId="9">
    <w:abstractNumId w:val="9"/>
  </w:num>
  <w:num w:numId="10">
    <w:abstractNumId w:val="8"/>
  </w:num>
  <w:num w:numId="11">
    <w:abstractNumId w:val="11"/>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165B28"/>
    <w:rsid w:val="0018045D"/>
    <w:rsid w:val="001E6973"/>
    <w:rsid w:val="00226AFD"/>
    <w:rsid w:val="00401F85"/>
    <w:rsid w:val="004500FA"/>
    <w:rsid w:val="004E1FE7"/>
    <w:rsid w:val="005A5637"/>
    <w:rsid w:val="006749FF"/>
    <w:rsid w:val="006F650E"/>
    <w:rsid w:val="008827BB"/>
    <w:rsid w:val="008862FF"/>
    <w:rsid w:val="008D2A11"/>
    <w:rsid w:val="008D510A"/>
    <w:rsid w:val="009F7801"/>
    <w:rsid w:val="00A0090C"/>
    <w:rsid w:val="00A01F09"/>
    <w:rsid w:val="00AA1A0A"/>
    <w:rsid w:val="00B15B4C"/>
    <w:rsid w:val="00B62D6D"/>
    <w:rsid w:val="00B8111B"/>
    <w:rsid w:val="00B86FBA"/>
    <w:rsid w:val="00B91B6A"/>
    <w:rsid w:val="00BA1DEB"/>
    <w:rsid w:val="00BD4490"/>
    <w:rsid w:val="00C06EB4"/>
    <w:rsid w:val="00CC2A81"/>
    <w:rsid w:val="00CF06D1"/>
    <w:rsid w:val="00D214EC"/>
    <w:rsid w:val="00D5453D"/>
    <w:rsid w:val="00D6743C"/>
    <w:rsid w:val="00DC0CE1"/>
    <w:rsid w:val="00E62E67"/>
    <w:rsid w:val="00F16CAD"/>
    <w:rsid w:val="00F4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3138</Words>
  <Characters>18521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Malcekova Katerina</dc:creator>
  <cp:lastModifiedBy>Sieberova Miroslava</cp:lastModifiedBy>
  <cp:revision>13</cp:revision>
  <cp:lastPrinted>2018-02-26T10:03:00Z</cp:lastPrinted>
  <dcterms:created xsi:type="dcterms:W3CDTF">2017-10-25T07:40:00Z</dcterms:created>
  <dcterms:modified xsi:type="dcterms:W3CDTF">2018-03-12T12:01:00Z</dcterms:modified>
</cp:coreProperties>
</file>