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A9" w:rsidRPr="00464D2C" w:rsidRDefault="006A36A9" w:rsidP="00464D2C">
      <w:pPr>
        <w:jc w:val="center"/>
        <w:rPr>
          <w:rFonts w:eastAsia="Microsoft YaHei"/>
          <w:b/>
          <w:lang w:eastAsia="hi-IN" w:bidi="hi-IN"/>
        </w:rPr>
      </w:pPr>
      <w:bookmarkStart w:id="0" w:name="_GoBack"/>
      <w:bookmarkEnd w:id="0"/>
      <w:r w:rsidRPr="00464D2C">
        <w:rPr>
          <w:rFonts w:eastAsia="Microsoft YaHei"/>
          <w:b/>
          <w:lang w:eastAsia="hi-IN" w:bidi="hi-IN"/>
        </w:rPr>
        <w:t>KUPNÍ SMLOUVA</w:t>
      </w:r>
    </w:p>
    <w:p w:rsidR="00FE69B7" w:rsidRPr="001D581A" w:rsidRDefault="00FE69B7" w:rsidP="009B0C36">
      <w:pPr>
        <w:keepNext/>
        <w:widowControl w:val="0"/>
        <w:tabs>
          <w:tab w:val="num" w:pos="0"/>
        </w:tabs>
        <w:suppressAutoHyphens/>
        <w:spacing w:before="240" w:after="120"/>
        <w:jc w:val="center"/>
        <w:outlineLvl w:val="0"/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</w:pPr>
      <w:r>
        <w:rPr>
          <w:rFonts w:ascii="Calibri" w:eastAsia="Microsoft YaHei" w:hAnsi="Calibri"/>
          <w:b/>
          <w:bCs/>
          <w:kern w:val="1"/>
          <w:sz w:val="32"/>
          <w:szCs w:val="32"/>
          <w:lang w:eastAsia="hi-IN" w:bidi="hi-IN"/>
        </w:rPr>
        <w:t xml:space="preserve">SNO/2017/xx/xx </w:t>
      </w:r>
      <w:r w:rsidR="00324C1F" w:rsidRPr="001D581A">
        <w:rPr>
          <w:rFonts w:ascii="Calibri" w:eastAsia="Microsoft YaHei" w:hAnsi="Calibri"/>
          <w:bCs/>
          <w:i/>
          <w:kern w:val="1"/>
          <w:sz w:val="20"/>
          <w:szCs w:val="20"/>
          <w:lang w:eastAsia="hi-IN" w:bidi="hi-IN"/>
        </w:rPr>
        <w:t>(</w:t>
      </w:r>
      <w:r w:rsidR="00404291" w:rsidRPr="001D581A">
        <w:rPr>
          <w:rFonts w:ascii="Calibri" w:eastAsia="Microsoft YaHei" w:hAnsi="Calibri"/>
          <w:bCs/>
          <w:i/>
          <w:kern w:val="1"/>
          <w:sz w:val="20"/>
          <w:szCs w:val="20"/>
          <w:lang w:eastAsia="hi-IN" w:bidi="hi-IN"/>
        </w:rPr>
        <w:t xml:space="preserve">číslo smlouvy </w:t>
      </w:r>
      <w:r w:rsidRPr="001D581A">
        <w:rPr>
          <w:rFonts w:ascii="Calibri" w:eastAsia="Microsoft YaHei" w:hAnsi="Calibri"/>
          <w:bCs/>
          <w:i/>
          <w:kern w:val="1"/>
          <w:sz w:val="20"/>
          <w:szCs w:val="20"/>
          <w:lang w:eastAsia="hi-IN" w:bidi="hi-IN"/>
        </w:rPr>
        <w:t>bude upřesněno kupujícím před podpisem kupní smlouvy</w:t>
      </w:r>
      <w:r w:rsidR="00324C1F" w:rsidRPr="001D581A">
        <w:rPr>
          <w:rFonts w:ascii="Calibri" w:eastAsia="Microsoft YaHei" w:hAnsi="Calibri"/>
          <w:bCs/>
          <w:i/>
          <w:kern w:val="1"/>
          <w:sz w:val="20"/>
          <w:szCs w:val="20"/>
          <w:lang w:eastAsia="hi-IN" w:bidi="hi-IN"/>
        </w:rPr>
        <w:t>)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kern w:val="1"/>
          <w:sz w:val="18"/>
          <w:lang w:eastAsia="hi-IN" w:bidi="hi-IN"/>
        </w:rPr>
      </w:pPr>
      <w:r w:rsidRPr="001D581A">
        <w:rPr>
          <w:rFonts w:ascii="Calibri" w:eastAsia="SimSun" w:hAnsi="Calibri"/>
          <w:kern w:val="1"/>
          <w:sz w:val="18"/>
          <w:lang w:eastAsia="hi-IN" w:bidi="hi-IN"/>
        </w:rPr>
        <w:t xml:space="preserve">uzavřená dle § 2079 a násl. </w:t>
      </w:r>
      <w:r w:rsidR="009B0C36" w:rsidRPr="001D581A">
        <w:rPr>
          <w:rFonts w:ascii="Calibri" w:eastAsia="SimSun" w:hAnsi="Calibri"/>
          <w:kern w:val="1"/>
          <w:sz w:val="18"/>
          <w:lang w:eastAsia="hi-IN" w:bidi="hi-IN"/>
        </w:rPr>
        <w:t>z</w:t>
      </w:r>
      <w:r w:rsidRPr="001D581A">
        <w:rPr>
          <w:rFonts w:ascii="Calibri" w:eastAsia="SimSun" w:hAnsi="Calibri"/>
          <w:kern w:val="1"/>
          <w:sz w:val="18"/>
          <w:lang w:eastAsia="hi-IN" w:bidi="hi-IN"/>
        </w:rPr>
        <w:t>ákona č. 89/2012 Sb. – občanský zákoník</w:t>
      </w: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I.</w:t>
      </w:r>
    </w:p>
    <w:p w:rsidR="006A36A9" w:rsidRPr="001D581A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b/>
          <w:kern w:val="1"/>
          <w:sz w:val="20"/>
          <w:lang w:eastAsia="hi-IN" w:bidi="hi-IN"/>
        </w:rPr>
        <w:t>Smluvní strany</w:t>
      </w:r>
    </w:p>
    <w:p w:rsidR="006A36A9" w:rsidRPr="001D581A" w:rsidRDefault="006A36A9" w:rsidP="006A36A9">
      <w:pPr>
        <w:widowControl w:val="0"/>
        <w:suppressAutoHyphens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i/>
          <w:kern w:val="1"/>
          <w:sz w:val="20"/>
          <w:lang w:eastAsia="hi-IN" w:bidi="hi-IN"/>
        </w:rPr>
        <w:t>Prodávající</w:t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>:</w:t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>POLYMED medical CZ, a.s.</w:t>
      </w:r>
    </w:p>
    <w:p w:rsidR="006A36A9" w:rsidRPr="001D581A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zapsaná 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>v OR KS v Hradci Králové, oddíl B,</w:t>
      </w:r>
      <w:r w:rsidR="001D581A">
        <w:rPr>
          <w:rFonts w:ascii="Calibri" w:eastAsia="SimSun" w:hAnsi="Calibri"/>
          <w:kern w:val="1"/>
          <w:sz w:val="20"/>
          <w:lang w:eastAsia="hi-IN" w:bidi="hi-IN"/>
        </w:rPr>
        <w:t xml:space="preserve"> 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>2673</w:t>
      </w:r>
    </w:p>
    <w:p w:rsidR="006A36A9" w:rsidRPr="001D581A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>se sídlem: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 P.Jilemnického 14/51, 503 01 Hradec Králové</w:t>
      </w:r>
    </w:p>
    <w:p w:rsidR="006A36A9" w:rsidRPr="001D581A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>IČ: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 27529053</w:t>
      </w:r>
    </w:p>
    <w:p w:rsidR="006A36A9" w:rsidRPr="001D581A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  <w:t>DIČ:  CZ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>27529053</w:t>
      </w:r>
    </w:p>
    <w:p w:rsidR="009C171B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  <w:t>bankovní spojení/č. účtu: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 KB, a.s. </w:t>
      </w:r>
      <w:r w:rsidR="009C171B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1D581A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  <w:t>zastoupena: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 Tomášem Jouklem, prokuristou</w:t>
      </w:r>
    </w:p>
    <w:p w:rsidR="006A36A9" w:rsidRPr="001D581A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  <w:t>kontaktní osoba: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 Marta Chládková</w:t>
      </w:r>
    </w:p>
    <w:p w:rsidR="006A36A9" w:rsidRPr="001D581A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  <w:t>telefon: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 </w:t>
      </w:r>
      <w:r w:rsidR="009C171B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1D581A">
        <w:rPr>
          <w:rFonts w:ascii="Calibri" w:eastAsia="SimSun" w:hAnsi="Calibri"/>
          <w:kern w:val="1"/>
          <w:sz w:val="20"/>
          <w:lang w:eastAsia="hi-IN" w:bidi="hi-IN"/>
        </w:rPr>
        <w:tab/>
        <w:t>e-mail:</w:t>
      </w:r>
      <w:r w:rsidR="001D581A" w:rsidRPr="001D581A">
        <w:rPr>
          <w:rFonts w:ascii="Calibri" w:eastAsia="SimSun" w:hAnsi="Calibri"/>
          <w:kern w:val="1"/>
          <w:sz w:val="20"/>
          <w:lang w:eastAsia="hi-IN" w:bidi="hi-IN"/>
        </w:rPr>
        <w:t xml:space="preserve"> </w:t>
      </w:r>
      <w:r w:rsidR="009C171B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(dále jen „</w:t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prodávající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“)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i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a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b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Kupující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: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>
        <w:rPr>
          <w:rFonts w:ascii="Calibri" w:eastAsia="SimSun" w:hAnsi="Calibri"/>
          <w:kern w:val="1"/>
          <w:sz w:val="20"/>
          <w:lang w:eastAsia="hi-IN" w:bidi="hi-IN"/>
        </w:rPr>
        <w:tab/>
      </w:r>
      <w:r w:rsidR="00C96C5E">
        <w:rPr>
          <w:rFonts w:ascii="Calibri" w:eastAsia="SimSun" w:hAnsi="Calibri"/>
          <w:b/>
          <w:kern w:val="1"/>
          <w:sz w:val="20"/>
          <w:lang w:eastAsia="hi-IN" w:bidi="hi-IN"/>
        </w:rPr>
        <w:t>Slezská nemocnice v Opavě</w:t>
      </w:r>
      <w:r w:rsidRPr="00214E72">
        <w:rPr>
          <w:rFonts w:ascii="Calibri" w:eastAsia="SimSun" w:hAnsi="Calibri"/>
          <w:b/>
          <w:kern w:val="1"/>
          <w:sz w:val="20"/>
          <w:lang w:eastAsia="hi-IN" w:bidi="hi-IN"/>
        </w:rPr>
        <w:t>, příspěvková organizace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ind w:left="1416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zaps</w:t>
      </w:r>
      <w:r>
        <w:rPr>
          <w:rFonts w:ascii="Calibri" w:eastAsia="SimSun" w:hAnsi="Calibri"/>
          <w:kern w:val="1"/>
          <w:sz w:val="20"/>
          <w:lang w:eastAsia="hi-IN" w:bidi="hi-IN"/>
        </w:rPr>
        <w:t>a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n</w:t>
      </w:r>
      <w:r>
        <w:rPr>
          <w:rFonts w:ascii="Calibri" w:eastAsia="SimSun" w:hAnsi="Calibri"/>
          <w:kern w:val="1"/>
          <w:sz w:val="20"/>
          <w:lang w:eastAsia="hi-IN" w:bidi="hi-IN"/>
        </w:rPr>
        <w:t>á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 xml:space="preserve"> v obchodním rejstříku vedeném Krajským soudem v Ostravě, oddíl Pr, vložka 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924</w:t>
      </w:r>
    </w:p>
    <w:p w:rsidR="006A36A9" w:rsidRPr="00214E72" w:rsidRDefault="0018224F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>
        <w:rPr>
          <w:rFonts w:ascii="Calibri" w:eastAsia="SimSun" w:hAnsi="Calibri"/>
          <w:kern w:val="1"/>
          <w:sz w:val="20"/>
          <w:lang w:eastAsia="hi-IN" w:bidi="hi-IN"/>
        </w:rPr>
        <w:t>se sídlem: Olomoucká 470/86, Předměstí, 746 01 Opava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 xml:space="preserve">IČ: 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47813750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>DIČ: CZ</w:t>
      </w:r>
      <w:r w:rsidR="0018224F">
        <w:rPr>
          <w:rFonts w:ascii="Calibri" w:eastAsia="SimSun" w:hAnsi="Calibri"/>
          <w:kern w:val="1"/>
          <w:sz w:val="20"/>
          <w:lang w:eastAsia="hi-IN" w:bidi="hi-IN"/>
        </w:rPr>
        <w:t>47813750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ab/>
        <w:t>bankovní spojení</w:t>
      </w:r>
      <w:r>
        <w:rPr>
          <w:rFonts w:ascii="Calibri" w:eastAsia="SimSun" w:hAnsi="Calibri"/>
          <w:kern w:val="1"/>
          <w:sz w:val="20"/>
          <w:lang w:eastAsia="hi-IN" w:bidi="hi-IN"/>
        </w:rPr>
        <w:t>/č. účtu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 xml:space="preserve">: </w:t>
      </w:r>
      <w:r w:rsidR="00254B7C">
        <w:rPr>
          <w:rFonts w:ascii="Calibri" w:eastAsia="SimSun" w:hAnsi="Calibri"/>
          <w:kern w:val="1"/>
          <w:sz w:val="20"/>
          <w:lang w:eastAsia="hi-IN" w:bidi="hi-IN"/>
        </w:rPr>
        <w:t>Komerční banka Opava, a.s./</w:t>
      </w:r>
      <w:r w:rsidR="009C171B">
        <w:rPr>
          <w:rFonts w:ascii="Calibri" w:eastAsia="SimSun" w:hAnsi="Calibri"/>
          <w:kern w:val="1"/>
          <w:sz w:val="20"/>
          <w:lang w:eastAsia="hi-IN" w:bidi="hi-IN"/>
        </w:rPr>
        <w:t>XXXX</w:t>
      </w:r>
    </w:p>
    <w:p w:rsidR="006A36A9" w:rsidRPr="00214E72" w:rsidRDefault="006A36A9" w:rsidP="006A36A9">
      <w:pPr>
        <w:widowControl w:val="0"/>
        <w:suppressAutoHyphens/>
        <w:autoSpaceDE w:val="0"/>
        <w:autoSpaceDN w:val="0"/>
        <w:adjustRightInd w:val="0"/>
        <w:ind w:left="708" w:firstLine="708"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zastoupená: MUDr. Ladislavem Václavcem, MBA, ředitelem</w:t>
      </w:r>
    </w:p>
    <w:p w:rsidR="006A36A9" w:rsidRPr="00214E72" w:rsidRDefault="006A36A9" w:rsidP="006A36A9">
      <w:pPr>
        <w:widowControl w:val="0"/>
        <w:suppressAutoHyphens/>
        <w:rPr>
          <w:rFonts w:ascii="Calibri" w:eastAsia="SimSun" w:hAnsi="Calibri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lang w:eastAsia="hi-IN" w:bidi="hi-IN"/>
        </w:rPr>
        <w:t>(dále jen „</w:t>
      </w:r>
      <w:r w:rsidRPr="00214E72">
        <w:rPr>
          <w:rFonts w:ascii="Calibri" w:eastAsia="SimSun" w:hAnsi="Calibri"/>
          <w:i/>
          <w:kern w:val="1"/>
          <w:sz w:val="20"/>
          <w:lang w:eastAsia="hi-IN" w:bidi="hi-IN"/>
        </w:rPr>
        <w:t>kupující</w:t>
      </w:r>
      <w:r w:rsidRPr="00214E72">
        <w:rPr>
          <w:rFonts w:ascii="Calibri" w:eastAsia="SimSun" w:hAnsi="Calibri"/>
          <w:kern w:val="1"/>
          <w:sz w:val="20"/>
          <w:lang w:eastAsia="hi-IN" w:bidi="hi-IN"/>
        </w:rPr>
        <w:t>“)</w:t>
      </w:r>
    </w:p>
    <w:p w:rsidR="006A36A9" w:rsidRPr="00214E72" w:rsidRDefault="006A36A9" w:rsidP="006A36A9">
      <w:pPr>
        <w:widowControl w:val="0"/>
        <w:suppressAutoHyphens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II.</w:t>
      </w:r>
    </w:p>
    <w:p w:rsidR="006A36A9" w:rsidRPr="00214E72" w:rsidRDefault="006A36A9" w:rsidP="006A36A9">
      <w:pPr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Základní ustanovení</w:t>
      </w:r>
    </w:p>
    <w:p w:rsidR="006A36A9" w:rsidRPr="00214E72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6A36A9" w:rsidRPr="00214E72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prohlašují, že osoby podepisující tuto smlouvu jsou k tomuto úkonu oprávněny.</w:t>
      </w:r>
    </w:p>
    <w:p w:rsidR="006A36A9" w:rsidRDefault="006A36A9" w:rsidP="006A36A9">
      <w:pPr>
        <w:widowControl w:val="0"/>
        <w:numPr>
          <w:ilvl w:val="0"/>
          <w:numId w:val="5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prohlašuje, že je odborně 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a právně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způsobilý k zajištění předmětu plnění podle této smlouvy.</w:t>
      </w: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III.</w:t>
      </w:r>
    </w:p>
    <w:p w:rsidR="006A36A9" w:rsidRPr="00214E72" w:rsidRDefault="006A36A9" w:rsidP="006A36A9">
      <w:pPr>
        <w:keepNext/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Předmět smlouvy</w:t>
      </w:r>
    </w:p>
    <w:p w:rsidR="006A36A9" w:rsidRPr="00BC154A" w:rsidRDefault="006A36A9" w:rsidP="006A36A9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BC154A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se zavazuje dodat kupující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mu</w:t>
      </w:r>
      <w:r w:rsidR="00FE69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zboží – zdravotnickou techniku,</w:t>
      </w:r>
      <w:r w:rsidR="000D36BA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1D581A" w:rsidRPr="001D581A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Antidekubitní matrace 9</w:t>
      </w:r>
      <w:r w:rsidR="001D581A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1D581A" w:rsidRPr="001D581A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lastRenderedPageBreak/>
        <w:t>s kompresorem</w:t>
      </w:r>
      <w:r w:rsidR="001D581A"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  <w:r w:rsidR="00324C1F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je</w:t>
      </w:r>
      <w:r w:rsidR="005E45F0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hož </w:t>
      </w:r>
      <w:r w:rsidRPr="00BA5E2F">
        <w:rPr>
          <w:rFonts w:ascii="Calibri" w:eastAsia="SimSun" w:hAnsi="Calibri"/>
          <w:kern w:val="1"/>
          <w:sz w:val="20"/>
          <w:szCs w:val="20"/>
          <w:lang w:eastAsia="hi-IN" w:bidi="hi-IN"/>
        </w:rPr>
        <w:t>specifikace je uved</w:t>
      </w:r>
      <w:r w:rsidRPr="00BC154A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ena v příloze č. 1 této smlouvy (dále také „zboží“), a převést na kupujícího vlastnické právo ke zboží. Kupující se zavazuje prodávajícímu za poskytnuté plnění zaplatit za podmínek uvedených v této smlouvě kupní cenu dle čl. V této smlouvy. </w:t>
      </w:r>
    </w:p>
    <w:p w:rsidR="006A36A9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předmětu plnění je doprava zboží do místa plnění, jeho instalace a instruktáž zaměstnanců uživatele s jeho obsluhou tak, aby byli schopni zboží řádně užívat dle §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61 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zákona č.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268/2014 Sb. Instruktáž zaměstnanců uživatele s obsluhou zboží je prodávající povinen realizovat v rozsahu uvedeném v čl. VII odst. 2 této smlouvy.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Dodávané zboží musí být nové a nepoužívané.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dodávky je uživatelský manuál a dokumentace ke zboží v českém jazyce (tištěná i digitální podoba) a prohlášení o shodě s vyznačením klasifikační třídy ZP. Prodávající je povinen předat kupujícímu: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60"/>
        <w:contextualSpacing/>
        <w:jc w:val="both"/>
        <w:rPr>
          <w:rFonts w:ascii="Calibri" w:eastAsia="SimSun" w:hAnsi="Calibri"/>
          <w:color w:val="000000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uživatelskou dokumentaci, návod k použití a údržbě</w:t>
      </w:r>
      <w:r w:rsidRPr="00214E72">
        <w:rPr>
          <w:rFonts w:ascii="Calibri" w:eastAsia="SimSun" w:hAnsi="Calibri"/>
          <w:color w:val="000000"/>
          <w:kern w:val="1"/>
          <w:sz w:val="20"/>
          <w:szCs w:val="20"/>
          <w:lang w:eastAsia="hi-IN" w:bidi="hi-IN"/>
        </w:rPr>
        <w:t xml:space="preserve"> v českém jazyce 1 x v tištěné a 1 x v elektronické podobě (na DVD nebo CD ROM ve formátu MS Office verze 2003 nebo vyšší, .pdf, .jpg),</w:t>
      </w:r>
    </w:p>
    <w:p w:rsidR="006A36A9" w:rsidRPr="001F3309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technickou dokumentaci,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1F3309">
        <w:rPr>
          <w:rFonts w:ascii="Calibri" w:eastAsia="SimSun" w:hAnsi="Calibri"/>
          <w:kern w:val="1"/>
          <w:sz w:val="20"/>
          <w:szCs w:val="20"/>
          <w:lang w:eastAsia="hi-IN" w:bidi="hi-IN"/>
        </w:rPr>
        <w:t>uvedení výrobce a země původu zdravotnického prostředku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list,</w:t>
      </w:r>
    </w:p>
    <w:p w:rsidR="006A36A9" w:rsidRPr="00214E72" w:rsidRDefault="006A36A9" w:rsidP="006A36A9">
      <w:pPr>
        <w:widowControl w:val="0"/>
        <w:numPr>
          <w:ilvl w:val="0"/>
          <w:numId w:val="4"/>
        </w:numPr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prohlášení o shodě anebo deklaraci konformity. Prodávající dále vydá samostatné prohlášení o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třídě zboží (I, IIa, IIb a nebo III), je-li relevantní, toto prohlášení bude opatřeno razítkem a podpisem zástupce prodávajícího. V případě, že prodávající dodá zboží zařazené do třídy IIb nebo III, musí k tomuto vypracovat provozní deník, tedy seznam úkonů doporučených návodem k obsluze (úkony, které by měla provádět obsluha zboží jako například provozní testy, čištění, dezinfekce atp.). Tento provozní deník musí opatřit razítkem a podpisem zástupce prodávajícího. 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předmětu plnění je také provádění všech zákonem stanovených prohlídek, zejména pak pravidelné odborné údržby dle zákona č. 268/2014 Sb., o zdravotnických prostředcích a o změně některých souvisejících zákonů, ve znění pozdějších předpisů (dále jen „zákon č. 268/2014 Sb.“), po dobu záruky.</w:t>
      </w:r>
    </w:p>
    <w:p w:rsidR="006A36A9" w:rsidRPr="00214E72" w:rsidRDefault="006A36A9" w:rsidP="006A36A9">
      <w:pPr>
        <w:widowControl w:val="0"/>
        <w:numPr>
          <w:ilvl w:val="0"/>
          <w:numId w:val="16"/>
        </w:numPr>
        <w:tabs>
          <w:tab w:val="left" w:pos="426"/>
          <w:tab w:val="num" w:pos="709"/>
          <w:tab w:val="num" w:pos="144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prohlašuje, že na zboží neváznou žádné právní vady ve smyslu ustanovení § 2113 občanského zákoníku.</w:t>
      </w:r>
    </w:p>
    <w:p w:rsidR="006A36A9" w:rsidRPr="00214E72" w:rsidRDefault="006A36A9" w:rsidP="006A36A9">
      <w:pPr>
        <w:widowControl w:val="0"/>
        <w:tabs>
          <w:tab w:val="left" w:pos="360"/>
        </w:tabs>
        <w:suppressAutoHyphens/>
        <w:ind w:left="426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IV.</w:t>
      </w:r>
    </w:p>
    <w:p w:rsidR="006A36A9" w:rsidRPr="00214E72" w:rsidRDefault="006A36A9" w:rsidP="006A36A9">
      <w:pPr>
        <w:widowControl w:val="0"/>
        <w:suppressAutoHyphens/>
        <w:spacing w:after="60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Doba a místo plnění</w:t>
      </w:r>
    </w:p>
    <w:p w:rsidR="006A36A9" w:rsidRPr="004C499D" w:rsidRDefault="006A36A9" w:rsidP="006A36A9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je povinen dodat kupujícímu zboží do místa plnění, kterým je sídlo </w:t>
      </w:r>
      <w:r w:rsidR="00254B7C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Slezské nemocnice 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br/>
      </w:r>
      <w:r w:rsidR="00254B7C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v Opavě</w:t>
      </w: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, příspěvková organizace, do 60 dnů od data</w:t>
      </w:r>
      <w:r w:rsidR="004C499D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účinnosti </w:t>
      </w:r>
      <w:r w:rsidR="004C499D"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smlouvy</w:t>
      </w:r>
      <w:r w:rsidR="006F4943">
        <w:rPr>
          <w:rFonts w:ascii="Calibri" w:eastAsia="SimSun" w:hAnsi="Calibri"/>
          <w:kern w:val="1"/>
          <w:sz w:val="20"/>
          <w:szCs w:val="20"/>
          <w:lang w:eastAsia="hi-IN" w:bidi="hi-IN"/>
        </w:rPr>
        <w:t>, která nastává dnem uveřejnění v registru smluv.</w:t>
      </w:r>
    </w:p>
    <w:p w:rsidR="006A36A9" w:rsidRPr="004A44B7" w:rsidRDefault="006A36A9" w:rsidP="006A36A9">
      <w:pPr>
        <w:widowControl w:val="0"/>
        <w:numPr>
          <w:ilvl w:val="0"/>
          <w:numId w:val="14"/>
        </w:numPr>
        <w:tabs>
          <w:tab w:val="left" w:pos="426"/>
          <w:tab w:val="num" w:pos="709"/>
          <w:tab w:val="num" w:pos="1440"/>
        </w:tabs>
        <w:suppressAutoHyphens/>
        <w:spacing w:after="60"/>
        <w:contextualSpacing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6A36A9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bude informovat kupujícího o přesném termínu dodávky zboží, a to nejpozději 48 hodin před realizací dodávky. Kontaktní osoba: Ing. Petr Gabriel (vedoucí Oddělení zdravotnické techniky), tel. </w:t>
      </w:r>
      <w:r w:rsidRPr="004A44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730 541 340, email: </w:t>
      </w:r>
      <w:hyperlink r:id="rId8" w:history="1">
        <w:r w:rsidRPr="004A44B7">
          <w:rPr>
            <w:rFonts w:ascii="Calibri" w:eastAsia="SimSun" w:hAnsi="Calibri"/>
            <w:kern w:val="1"/>
            <w:sz w:val="20"/>
            <w:szCs w:val="20"/>
            <w:lang w:eastAsia="hi-IN" w:bidi="hi-IN"/>
          </w:rPr>
          <w:t>petr.gabriel@nemocnice.opava.cz</w:t>
        </w:r>
      </w:hyperlink>
      <w:r w:rsidRPr="004A44B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</w:t>
      </w:r>
    </w:p>
    <w:p w:rsidR="004A44B7" w:rsidRDefault="004A44B7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V.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Kupní cena</w:t>
      </w:r>
    </w:p>
    <w:p w:rsidR="006A36A9" w:rsidRPr="00214E72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Kupní cena je stanovena dohodou smluvních stran a činí: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Cena bez 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340F7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94 400,-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340F7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19 824,-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lastRenderedPageBreak/>
        <w:t>DPH (v %):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340F7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21</w:t>
      </w:r>
    </w:p>
    <w:p w:rsidR="006A36A9" w:rsidRPr="00214E72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 w:line="480" w:lineRule="auto"/>
        <w:ind w:left="144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Cena včetně DPH (v Kč):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ab/>
      </w:r>
      <w:r w:rsidR="00340F7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114 224,-</w:t>
      </w:r>
    </w:p>
    <w:p w:rsidR="006A36A9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Kupní cena je stanovena jako nejvýše přípustná a jsou v ní zahrnuty veškeré náklady prodávajícího spojené s plněním předmětu této smlouvy včetně nákladů na dopravu zboží do místa plnění dle čl. IV odst. 1 této smlouvy, prohlídky dle čl. III odst. 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5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této smlouvy, veškeré poplatky, instalac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e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zboží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1F3309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servis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 seznámení zaměstnanců uživatele s obsluhou.</w:t>
      </w:r>
      <w:r w:rsidR="00464D2C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</w:p>
    <w:p w:rsidR="006A36A9" w:rsidRPr="00214E72" w:rsidRDefault="006A36A9" w:rsidP="006A36A9">
      <w:pPr>
        <w:widowControl w:val="0"/>
        <w:numPr>
          <w:ilvl w:val="0"/>
          <w:numId w:val="15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:rsidR="00782111" w:rsidRDefault="00782111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VI.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Platební podmínky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Kupní cena bude prodávajícímu uhrazena jednorázově po dodání zboží kupujícímu. Právo fakturovat dohodnutou cenu má prodávající po protokolárním předání zboží kupujícímu, provedení jeho instalace a uvedení do trvalého provozu a seznámení zaměstnanců uživatele s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obsluhou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(proškolení zaměstnanců)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Splatnost faktury činí </w:t>
      </w:r>
      <w:r w:rsidR="00FD6359" w:rsidRPr="00FD6359">
        <w:rPr>
          <w:rFonts w:ascii="Calibri" w:eastAsia="SimSun" w:hAnsi="Calibri"/>
          <w:kern w:val="1"/>
          <w:sz w:val="20"/>
          <w:szCs w:val="20"/>
          <w:lang w:eastAsia="hi-IN" w:bidi="hi-IN"/>
        </w:rPr>
        <w:t>30</w:t>
      </w:r>
      <w:r w:rsidRPr="00FD6359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dnů ode dne jejího doručení kupujícímu. Stejná lhůta splatnosti platí i při placení jiných plateb (smluvních pokut, úroků z prodlení, náhrady škody apod.). Doručení faktury se provede osobně oproti podpisu zmocněné osoby kupujícího nebo doručenkou prostřednictvím provozovatele poštovních služeb.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Povinnost zaplatit kupní cenu je splněna dnem odepsání příslušné částky z účtu kupujícího.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Faktura prodávajícího musí obsahovat pouze správné údaje a musí splňovat náležitosti daňového dokladu dle § 28 zákona č. 235/2004 Sb., o dani z přidané hodnoty, 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ve znění pozdějších předpisů,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náležitosti stanovené § 435 občanského zákoníku. 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Faktura bude mít zejména tyto náležitosti:</w:t>
      </w:r>
    </w:p>
    <w:p w:rsidR="006A36A9" w:rsidRPr="00214E72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a číslo;</w:t>
      </w:r>
    </w:p>
    <w:p w:rsidR="006A36A9" w:rsidRPr="00214E72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214E72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smluvních stran;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důvod fakturace, popis práce, přesné označení předmětu plnění;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označení bankovního ústavu a číslo účtu, na který má být placeno;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den odeslání faktury a lhůta splatnosti;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datum uskutečněného zdanitelného plnění;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částka k úhradě</w:t>
      </w:r>
    </w:p>
    <w:p w:rsidR="006A36A9" w:rsidRPr="00730495" w:rsidRDefault="006A36A9" w:rsidP="006A36A9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název akce, v rámci níž fakturace probíhá (</w:t>
      </w:r>
      <w:r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„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Pořízení zdravotnického vybavení pro S</w:t>
      </w:r>
      <w:r w:rsidR="0018224F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lezskou nemocnici v Opavě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, p. o.</w:t>
      </w:r>
      <w:r w:rsidR="00FE69B7">
        <w:rPr>
          <w:rFonts w:ascii="Calibri" w:eastAsia="SimSun" w:hAnsi="Calibri"/>
          <w:color w:val="000000"/>
          <w:kern w:val="1"/>
          <w:sz w:val="20"/>
          <w:lang w:eastAsia="hi-IN" w:bidi="hi-IN"/>
        </w:rPr>
        <w:t>- 2. etapa</w:t>
      </w:r>
      <w:r w:rsidR="00AF367E"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“</w:t>
      </w:r>
      <w:r w:rsidRPr="00730495">
        <w:rPr>
          <w:rFonts w:ascii="Calibri" w:eastAsia="SimSun" w:hAnsi="Calibri"/>
          <w:color w:val="000000"/>
          <w:kern w:val="1"/>
          <w:sz w:val="20"/>
          <w:lang w:eastAsia="hi-IN" w:bidi="hi-IN"/>
        </w:rPr>
        <w:t>)</w:t>
      </w:r>
    </w:p>
    <w:p w:rsidR="00A84E6D" w:rsidRPr="00730495" w:rsidRDefault="00A84E6D" w:rsidP="00A84E6D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730495">
        <w:rPr>
          <w:rFonts w:ascii="Calibri" w:eastAsia="SimSun" w:hAnsi="Calibri"/>
          <w:snapToGrid w:val="0"/>
          <w:kern w:val="1"/>
          <w:sz w:val="20"/>
          <w:lang w:eastAsia="hi-IN" w:bidi="hi-IN"/>
        </w:rPr>
        <w:t>registrační číslo projektu (CZ.06.2.56/0.0/0.0/16_043/0001448)</w:t>
      </w:r>
    </w:p>
    <w:p w:rsidR="00A84E6D" w:rsidRPr="00324C1F" w:rsidRDefault="00A84E6D" w:rsidP="00A84E6D">
      <w:pPr>
        <w:widowControl w:val="0"/>
        <w:numPr>
          <w:ilvl w:val="0"/>
          <w:numId w:val="19"/>
        </w:numPr>
        <w:suppressAutoHyphens/>
        <w:jc w:val="both"/>
        <w:rPr>
          <w:rFonts w:ascii="Calibri" w:eastAsia="SimSun" w:hAnsi="Calibri"/>
          <w:snapToGrid w:val="0"/>
          <w:kern w:val="1"/>
          <w:sz w:val="20"/>
          <w:lang w:eastAsia="hi-IN" w:bidi="hi-IN"/>
        </w:rPr>
      </w:pP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číslo spisu veřejné zakázky: SNO/</w:t>
      </w:r>
      <w:r w:rsidR="007915AF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FMP/</w:t>
      </w: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201</w:t>
      </w:r>
      <w:r w:rsidR="009F12A2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7/</w:t>
      </w:r>
      <w:r w:rsidR="00D34575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0</w:t>
      </w:r>
      <w:r w:rsidR="00485D3F">
        <w:rPr>
          <w:rFonts w:ascii="Calibri" w:eastAsia="SimSun" w:hAnsi="Calibri"/>
          <w:snapToGrid w:val="0"/>
          <w:kern w:val="1"/>
          <w:sz w:val="20"/>
          <w:lang w:eastAsia="hi-IN" w:bidi="hi-IN"/>
        </w:rPr>
        <w:t>2</w:t>
      </w:r>
      <w:r w:rsidR="004A6ACE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>/zdravotnické vybavení</w:t>
      </w:r>
      <w:r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 xml:space="preserve"> SNO</w:t>
      </w:r>
      <w:r w:rsidR="009F12A2" w:rsidRPr="00324C1F">
        <w:rPr>
          <w:rFonts w:ascii="Calibri" w:eastAsia="SimSun" w:hAnsi="Calibri"/>
          <w:snapToGrid w:val="0"/>
          <w:kern w:val="1"/>
          <w:sz w:val="20"/>
          <w:lang w:eastAsia="hi-IN" w:bidi="hi-IN"/>
        </w:rPr>
        <w:t xml:space="preserve"> – 2. etapa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V případě, že faktura nebude obsahovat stanovené náležitosti, je kupující oprávněn fakturu prodávajícímu vrátit k provedení opravy s vyznačením důvodu vrácení; lhůta splatnosti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faktury přestává běžet jejím odesláním zpět prodávajícímu. Nová lhůta splatnosti běží ode dne doručení nové faktury kupujícímu.</w:t>
      </w:r>
    </w:p>
    <w:p w:rsidR="006A36A9" w:rsidRPr="00214E72" w:rsidRDefault="006A36A9" w:rsidP="006A36A9">
      <w:pPr>
        <w:widowControl w:val="0"/>
        <w:numPr>
          <w:ilvl w:val="0"/>
          <w:numId w:val="1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případě, že prodávající bude fakturovat dodávky, které nepodléhají režimu přenesené daňové povinnosti a zároveň dodávky, které podléhají režimu přenesené daňové povinnosti, je povinen vystavit 2 samostatné faktury, přičemž jednou budou fakturovány dodávky nepodléhající režimu přenesení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>daňové povinnosti a druhou pouze dodávky podléhající režimu přenesení daňové povinnosti. V případě, že bude prodávající fakturovat pouze dodávky, které podléhají režimu přenesené daňové povinnosti, vystaví jednu fakturu s uvedením režimu přenesené daňové povinnosti.</w:t>
      </w:r>
    </w:p>
    <w:p w:rsidR="006A36A9" w:rsidRDefault="006A36A9" w:rsidP="006A36A9">
      <w:pPr>
        <w:widowControl w:val="0"/>
        <w:tabs>
          <w:tab w:val="left" w:pos="0"/>
          <w:tab w:val="left" w:pos="36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252EDF" w:rsidRPr="00214E72" w:rsidRDefault="00252EDF" w:rsidP="006A36A9">
      <w:pPr>
        <w:widowControl w:val="0"/>
        <w:tabs>
          <w:tab w:val="left" w:pos="0"/>
          <w:tab w:val="left" w:pos="360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cap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caps/>
          <w:kern w:val="1"/>
          <w:sz w:val="20"/>
          <w:szCs w:val="20"/>
          <w:lang w:eastAsia="hi-IN" w:bidi="hi-IN"/>
        </w:rPr>
        <w:t>vII.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 xml:space="preserve">Dodání předmětu smlouvy 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Předmět smlouvy je dodán jeho protokolárním předáním v místě p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lnění ze strany prodávajícího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převzetím osobami pověřenými jeho převzetím ze strany kupujícího. Při předání předmětu této smlouvy je prodávající povinen předat kupujícímu doklady dle čl. III odst. 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4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této smlouvy. Protokolární převzetí předmětu plnění bude provedeno až po dodání zboží, jeho instalaci a seznámení zaměstnanců uživatele s jeho obsluhou.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Seznámení zaměstnanců uživatele s obsluhou zboží bude realizováno v prostorách poskytnutých uživatelem v délce nutné pro správné pochopení funkcí zboží. </w:t>
      </w:r>
    </w:p>
    <w:p w:rsidR="006A36A9" w:rsidRPr="00214E72" w:rsidRDefault="006A36A9" w:rsidP="006A36A9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Vlastnické právo ke zboží a nebezpečí škody na něm přechází na kupujícího okamžikem jeho předání a převzetí dle odst. 1 </w:t>
      </w:r>
      <w:r w:rsidR="00AF367E">
        <w:rPr>
          <w:rFonts w:ascii="Calibri" w:eastAsia="SimSun" w:hAnsi="Calibri"/>
          <w:kern w:val="1"/>
          <w:sz w:val="20"/>
          <w:szCs w:val="20"/>
          <w:lang w:eastAsia="hi-IN" w:bidi="hi-IN"/>
        </w:rPr>
        <w:t>tohoto článku.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 xml:space="preserve">VIII. </w:t>
      </w: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shd w:val="clear" w:color="auto" w:fill="FFFF0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Záruka za jakost, záruční servis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poskytuje na zboží záruku </w:t>
      </w:r>
      <w:r w:rsidRPr="00BD543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délce 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min. </w:t>
      </w:r>
      <w:r w:rsidRPr="00A36F2B">
        <w:rPr>
          <w:rFonts w:ascii="Calibri" w:eastAsia="SimSun" w:hAnsi="Calibri"/>
          <w:kern w:val="1"/>
          <w:sz w:val="20"/>
          <w:szCs w:val="20"/>
          <w:lang w:eastAsia="hi-IN" w:bidi="hi-IN"/>
        </w:rPr>
        <w:t>36</w:t>
      </w:r>
      <w:r w:rsidRPr="00BD543D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měsíců, plynoucí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od data jeho protokolárního převzetí ze strany kupujícího (po instalaci a uvedení do provozu). Prodávající bude kupujícímu po dobu uvedenou v prvé větě tohoto odstavce bezplatně poskytovat záruční servis v rozsahu, uvedeném v tomto článku smlouvy.</w:t>
      </w:r>
    </w:p>
    <w:p w:rsidR="00913E17" w:rsidRPr="00214E72" w:rsidRDefault="00913E17" w:rsidP="00913E17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Záruční servis podle této smlouvy zahrnuje: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preventivní kontroly a zkoušky všech součástí zboží a </w:t>
      </w: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jejich příslušenství, kalibrace a nastavení zboží dle pokynů výrobce a v souladu se zákonem č. 268/2014 Sb. a normou ČSN 62353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preventivní servisní prohlídky dle doporučení výrobce,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opravy poruch a závad zboží, tj. uvedení zboží do stavu plné využitelnosti jeho technických parametrů,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provádění aktualizace a upgrade softwarového vybavení zboží,</w:t>
      </w:r>
    </w:p>
    <w:p w:rsidR="00913E17" w:rsidRPr="00730495" w:rsidRDefault="00913E17" w:rsidP="00913E17">
      <w:pPr>
        <w:widowControl w:val="0"/>
        <w:numPr>
          <w:ilvl w:val="0"/>
          <w:numId w:val="1"/>
        </w:numPr>
        <w:tabs>
          <w:tab w:val="left" w:pos="720"/>
          <w:tab w:val="num" w:pos="1842"/>
          <w:tab w:val="left" w:pos="2520"/>
        </w:tabs>
        <w:suppressAutoHyphens/>
        <w:spacing w:after="60"/>
        <w:ind w:left="714" w:hanging="357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730495">
        <w:rPr>
          <w:rFonts w:ascii="Calibri" w:eastAsia="SimSun" w:hAnsi="Calibri"/>
          <w:kern w:val="1"/>
          <w:sz w:val="20"/>
          <w:szCs w:val="20"/>
          <w:lang w:eastAsia="hi-IN" w:bidi="hi-IN"/>
        </w:rPr>
        <w:t>pravidelnou předepsanou odbornou údržbu zboží dle § 65 zákona č. 268/2014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Sb., ve znění pozdějších předpisů a dle požadavků výrobce,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 rámci záručního servisu bude prodávající pravidelně provádět bezplatně prohlídku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 jejich údržbu (dále též „servisní kontrola“) dle doporučení výrobce nebo po určitém počtu provedených pracovních cyklů na daném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, tak aby byla po celou dobu záruky zajištěna plná funkčnost </w:t>
      </w:r>
      <w:r w:rsidRPr="00760229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Servisní kontrola dle tohoto odstavce zahrnuje servisní úkony, zejména technickou podporu, práci a cestu technika, servisní prohlídky apod. </w:t>
      </w:r>
    </w:p>
    <w:p w:rsidR="00913E17" w:rsidRDefault="00913E17" w:rsidP="00913E17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</w:p>
    <w:p w:rsidR="00913E17" w:rsidRPr="00214E72" w:rsidRDefault="00913E17" w:rsidP="00913E17">
      <w:pPr>
        <w:widowControl w:val="0"/>
        <w:suppressAutoHyphens/>
        <w:spacing w:after="60" w:line="240" w:lineRule="atLeast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  <w:t>Odstraňování vad:</w:t>
      </w:r>
    </w:p>
    <w:p w:rsidR="00913E17" w:rsidRPr="001D581A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Veškeré vady je kupující povinen uplatnit u prodávajícího bez zbytečného odkladu poté, kdy vadu zjistil, a to formou písemného oznámení (popř. e-mailem) obsahujícího co nejpodrobnější specifikaci zjištěné vady (dále </w:t>
      </w:r>
      <w:r w:rsidRPr="001D581A">
        <w:rPr>
          <w:rFonts w:ascii="Calibri" w:eastAsia="SimSun" w:hAnsi="Calibri"/>
          <w:kern w:val="1"/>
          <w:sz w:val="20"/>
          <w:szCs w:val="20"/>
          <w:lang w:eastAsia="hi-IN" w:bidi="hi-IN"/>
        </w:rPr>
        <w:t>též „reklamace“). Kupující bude vady zboží oznamovat na:</w:t>
      </w:r>
    </w:p>
    <w:p w:rsidR="00913E17" w:rsidRPr="001D581A" w:rsidRDefault="00913E17" w:rsidP="00913E17">
      <w:pPr>
        <w:widowControl w:val="0"/>
        <w:numPr>
          <w:ilvl w:val="0"/>
          <w:numId w:val="3"/>
        </w:numPr>
        <w:suppressAutoHyphens/>
        <w:spacing w:after="60" w:line="240" w:lineRule="atLeast"/>
        <w:ind w:left="709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1D581A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e-mail: </w:t>
      </w:r>
      <w:r w:rsidR="001D581A" w:rsidRPr="001D581A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servis@polymed.cz</w:t>
      </w:r>
    </w:p>
    <w:p w:rsidR="00913E17" w:rsidRPr="00214E72" w:rsidRDefault="00913E17" w:rsidP="00913E17">
      <w:pPr>
        <w:widowControl w:val="0"/>
        <w:numPr>
          <w:ilvl w:val="0"/>
          <w:numId w:val="3"/>
        </w:numPr>
        <w:suppressAutoHyphens/>
        <w:spacing w:after="60" w:line="240" w:lineRule="atLeast"/>
        <w:ind w:left="709"/>
        <w:jc w:val="both"/>
        <w:rPr>
          <w:rFonts w:ascii="Calibri" w:eastAsia="SimSun" w:hAnsi="Calibri"/>
          <w:b/>
          <w:kern w:val="1"/>
          <w:sz w:val="20"/>
          <w:szCs w:val="20"/>
          <w:highlight w:val="yellow"/>
          <w:lang w:eastAsia="hi-IN" w:bidi="hi-IN"/>
        </w:rPr>
      </w:pPr>
      <w:r w:rsidRPr="001D581A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adresu: </w:t>
      </w:r>
      <w:r w:rsidR="001D581A" w:rsidRPr="001D581A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prodávající</w:t>
      </w:r>
    </w:p>
    <w:p w:rsidR="00913E17" w:rsidRPr="00214E72" w:rsidRDefault="00913E17" w:rsidP="00913E17">
      <w:pPr>
        <w:widowControl w:val="0"/>
        <w:tabs>
          <w:tab w:val="left" w:pos="2410"/>
        </w:tabs>
        <w:suppressAutoHyphens/>
        <w:spacing w:after="60" w:line="240" w:lineRule="atLeast"/>
        <w:ind w:left="709"/>
        <w:jc w:val="both"/>
        <w:rPr>
          <w:rFonts w:ascii="Calibri" w:hAnsi="Calibri"/>
          <w:sz w:val="20"/>
          <w:szCs w:val="20"/>
          <w:lang w:eastAsia="ar-SA"/>
        </w:rPr>
      </w:pPr>
      <w:r w:rsidRPr="00214E72">
        <w:rPr>
          <w:rFonts w:ascii="Calibri" w:hAnsi="Calibri"/>
          <w:sz w:val="20"/>
          <w:szCs w:val="20"/>
          <w:lang w:eastAsia="ar-SA"/>
        </w:rPr>
        <w:lastRenderedPageBreak/>
        <w:t xml:space="preserve">Jakmile kupující odešle toto oznámení, bude se mít za to, že požaduje bezplatné odstranění vady, neuvede-li v oznámení jinak.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K </w:t>
      </w: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uplatňování vad je oprávněn kromě kupujícího také uživatel. Každé takovéto nahlášení vady uživatelem se považuje za řádné uplatnění vady kupujícím ve smyslu této smlouvy.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neodpovídá za vady, které byly způsobeny nesprávným užíváním uživatele nebo třetí osobou.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nastoupí na opravu nejpozději do 2 pracovních dnů od nahlášení závady. V případě, že závadu nelze odstranit na místě, sdělí prodávající kupujícímu termín odstranění závady. Závada musí být odstraněna nejpozději do 6 pracovních dnů od nahlášení závady. Prodávající je povinen nejpozději do 7 dnů od provedení opravy písemně oznámit kupujícímu, zda reklamaci uznává či neuznává. Pokud tak neučiní, má se za to, že reklamaci uznává.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musí kupujícímu neprodleně sdělit, v jakém termínu nastoupí k odstranění vad(y) s tím, že termín nástupu na opravu nesmí být delší než 2 pracovní dny ode dne obdržení reklamace, nedohodnou-li se smluvní strany jinak. Nastoupit k odstranění vady v těchto termínech je prodávající povinen bez ohledu na to, zda reklamaci uznává či neuznává.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Kupující (uživatel) je povinen umožnit pracovníkům prodávajícího přístup do prostor nezbytných pro odstranění vady.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Odstranění vady, popř. výměna vadného přístroje, bude provedena servisním technikem prodávajícího pokud možno ihned při první návštěvě, maximálně však do 6 pracovních dnů od nahlášení vady, nedohodnou-li se smluvní strany jinak.</w:t>
      </w:r>
      <w:r w:rsid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</w:t>
      </w:r>
      <w:r w:rsidR="00CA216B" w:rsidRP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>Pokud se nepodaří odstranit vadu do 3 dnů od nahlášení, je povinen prodávající zapůjčit náhradní přístroj po dobu opravy.</w:t>
      </w:r>
      <w:r w:rsidR="00CA216B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 </w:t>
      </w:r>
    </w:p>
    <w:p w:rsidR="00913E17" w:rsidRP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913E17">
        <w:rPr>
          <w:rFonts w:ascii="Calibri" w:eastAsia="SimSun" w:hAnsi="Calibri"/>
          <w:kern w:val="1"/>
          <w:sz w:val="20"/>
          <w:szCs w:val="20"/>
          <w:lang w:eastAsia="hi-IN" w:bidi="hi-IN"/>
        </w:rPr>
        <w:t>Pokud vadnou část přístroje nebo přístroj není možno opravit, má kupující právo na výměnu vadného přístroje nebo jeho vadné části stejných či vyšších parametrů (včetně bezplatného zajištění konfigurace, je-li to u daného přístroje třeba), případně právo od smlouvy v dané části odstoupit. Nebude-li vada odstraněna do 30 kalendářních dnů od jejího oznámení, považuje se za neodstranitelnou a v téže lhůtě je prodávající povinen vadný přístroj nebo jeho část vyměnit. Pokud dojde k výměně přístroje nebo jeho části, počíná na tento přístroj nebo jeho část běžet dnem výměny záruční doba v délce dle odst. 1 tohoto článku.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Pokud dojde v průběhu záruční doby k výměně některého dílu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, zdravotnického prostředku nebo jeho součásti, je kupující povinen prodávajícímu vydat vadnou součást, která byla vyměněna za účelem uplatnění reklamačních nároků prodávajícího vůči výrobci vadného dílu.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Pokud se na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, zdravotnickém prostředku vyskytne třikrát během záruční doby stejná vada, je prodávající povinen dodat kupujícímu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nové, a to v konfiguraci minimálně stejné jako vadné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. Na toto nové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bude poskytnuta nová záruka v délce uvedené v odst. 1 tohoto článku. 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V případě konfliktu mezi dodanou konfigurací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a 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požadavky definovanými v čl. III této smlouvy je prodávající povinen dodanou konfiguraci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upravit do úplného splnění těchto požadavků.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O odstranění reklamované vady sepíše prodávající protokol, ve kterém potvrdí odstranění vady nebo uvede důvody, pro které kupující odmítá opravu převzít. Protokol bude obsahovat zejména: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označení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označení kupujícího resp. uživatele a prodávajícího,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20"/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číslo této smlouvy a datum jejího uzavření,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datum zahájení a dokončení prací,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prohlášení kupujícího, že došlo k odstranění vady nebo že vyměněné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či vyměněn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ou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část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přejímá (resp. nepřejímá, v tomto případě budou uvedeny důvody nepřevzetí),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datum a místo sepsání protokolu,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jména a podpisy zástupců kupujícího resp. uživatele a prodávajícího,</w:t>
      </w:r>
    </w:p>
    <w:p w:rsidR="00913E17" w:rsidRPr="00214E72" w:rsidRDefault="00913E17" w:rsidP="00913E17">
      <w:pPr>
        <w:widowControl w:val="0"/>
        <w:numPr>
          <w:ilvl w:val="0"/>
          <w:numId w:val="2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 xml:space="preserve">uvedení důvodu reklamace a specifikaci vyměněné části </w:t>
      </w:r>
      <w:r w:rsidRPr="004A75F5">
        <w:rPr>
          <w:rFonts w:ascii="Calibri" w:eastAsia="SimSun" w:hAnsi="Calibri"/>
          <w:kern w:val="1"/>
          <w:sz w:val="20"/>
          <w:szCs w:val="20"/>
          <w:lang w:eastAsia="hi-IN" w:bidi="hi-IN"/>
        </w:rPr>
        <w:t>zboží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nebo jeho celku.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Neshodnou-li se smluvní strany v otázce uznatelnosti reklamace, nese náklady 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:rsidR="00913E17" w:rsidRPr="00214E72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je povinen uhradit kupujícímu škodu, která mu vznikla vadným plněním, a to v plné výši. Prodávající rovněž kupujícímu uhradí náklady vzniklé při uplatňování práv z odpovědnosti za vady.  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Kupující má právo na dodání nové věci nebo výměnu součásti i v případě odstranitelné vady, pokud nemůže věc řádně užívat pro opakovaný výskyt vady po opravě nebo pro větší počet vad. V takovém případě má kupující i právo od smlouvy odstoupit. Větším počtem vad se rozumí 3 závady stejného druhu na předmětu kupní smlouvy (zboží).</w:t>
      </w:r>
    </w:p>
    <w:p w:rsidR="00913E17" w:rsidRDefault="00913E17" w:rsidP="00913E17">
      <w:pPr>
        <w:widowControl w:val="0"/>
        <w:numPr>
          <w:ilvl w:val="0"/>
          <w:numId w:val="7"/>
        </w:numPr>
        <w:tabs>
          <w:tab w:val="num" w:pos="283"/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</w:pPr>
      <w:r w:rsidRPr="00FE69B7">
        <w:rPr>
          <w:rFonts w:ascii="Calibri" w:eastAsia="SimSun" w:hAnsi="Calibri"/>
          <w:kern w:val="1"/>
          <w:sz w:val="20"/>
          <w:szCs w:val="20"/>
          <w:u w:val="single"/>
          <w:lang w:eastAsia="hi-IN" w:bidi="hi-IN"/>
        </w:rPr>
        <w:t>Pozáruční servis</w:t>
      </w:r>
    </w:p>
    <w:p w:rsidR="00913E17" w:rsidRDefault="00913E17" w:rsidP="00913E17">
      <w:pPr>
        <w:widowControl w:val="0"/>
        <w:tabs>
          <w:tab w:val="left" w:pos="426"/>
        </w:tabs>
        <w:suppressAutoHyphens/>
        <w:spacing w:after="60"/>
        <w:ind w:left="72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poskytne kupujícímu (v případě jeho požadavku) pozáruční servis na zboží</w:t>
      </w:r>
      <w:r w:rsidR="00AF7FBA">
        <w:rPr>
          <w:rFonts w:ascii="Calibri" w:eastAsia="SimSun" w:hAnsi="Calibri"/>
          <w:kern w:val="1"/>
          <w:sz w:val="20"/>
          <w:szCs w:val="20"/>
          <w:lang w:eastAsia="hi-IN" w:bidi="hi-IN"/>
        </w:rPr>
        <w:t>, minimálně na 4 roky po skončení záruky,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 těmito podmínkami:</w:t>
      </w:r>
    </w:p>
    <w:p w:rsidR="00913E17" w:rsidRPr="00340F7D" w:rsidRDefault="00913E17" w:rsidP="00913E17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 w:rsidRPr="00FE69B7">
        <w:rPr>
          <w:rFonts w:ascii="Calibri" w:eastAsia="SimSun" w:hAnsi="Calibri"/>
          <w:kern w:val="1"/>
          <w:lang w:eastAsia="hi-IN" w:bidi="hi-IN"/>
        </w:rPr>
        <w:t xml:space="preserve">dopravné – cena za 1 výjezd </w:t>
      </w:r>
      <w:r w:rsidR="007F3550">
        <w:rPr>
          <w:rFonts w:ascii="Calibri" w:eastAsia="SimSun" w:hAnsi="Calibri"/>
          <w:kern w:val="1"/>
          <w:lang w:eastAsia="hi-IN" w:bidi="hi-IN"/>
        </w:rPr>
        <w:t xml:space="preserve">technika </w:t>
      </w:r>
      <w:r w:rsidRPr="00340F7D">
        <w:rPr>
          <w:rFonts w:ascii="Calibri" w:eastAsia="SimSun" w:hAnsi="Calibri"/>
          <w:kern w:val="1"/>
          <w:lang w:eastAsia="hi-IN" w:bidi="hi-IN"/>
        </w:rPr>
        <w:t>do místa plnění</w:t>
      </w:r>
      <w:r w:rsidR="00D026F4" w:rsidRPr="00340F7D">
        <w:rPr>
          <w:rFonts w:ascii="Calibri" w:eastAsia="SimSun" w:hAnsi="Calibri"/>
          <w:kern w:val="1"/>
          <w:lang w:eastAsia="hi-IN" w:bidi="hi-IN"/>
        </w:rPr>
        <w:t xml:space="preserve"> </w:t>
      </w:r>
      <w:r w:rsidR="007F3550" w:rsidRPr="00340F7D">
        <w:rPr>
          <w:rFonts w:ascii="Calibri" w:eastAsia="SimSun" w:hAnsi="Calibri"/>
          <w:kern w:val="1"/>
          <w:lang w:eastAsia="hi-IN" w:bidi="hi-IN"/>
        </w:rPr>
        <w:t xml:space="preserve">a zpět </w:t>
      </w:r>
      <w:r w:rsidR="00D026F4" w:rsidRPr="00340F7D">
        <w:rPr>
          <w:rFonts w:ascii="Calibri" w:eastAsia="SimSun" w:hAnsi="Calibri"/>
          <w:kern w:val="1"/>
          <w:lang w:eastAsia="hi-IN" w:bidi="hi-IN"/>
        </w:rPr>
        <w:t>– bude účtováno ve výši</w:t>
      </w:r>
      <w:r w:rsidRPr="00340F7D">
        <w:rPr>
          <w:rFonts w:ascii="Calibri" w:eastAsia="SimSun" w:hAnsi="Calibri"/>
          <w:kern w:val="1"/>
          <w:lang w:eastAsia="hi-IN" w:bidi="hi-IN"/>
        </w:rPr>
        <w:t xml:space="preserve"> </w:t>
      </w:r>
      <w:r w:rsidR="00340F7D" w:rsidRPr="00340F7D">
        <w:rPr>
          <w:rFonts w:ascii="Calibri" w:eastAsia="SimSun" w:hAnsi="Calibri"/>
          <w:kern w:val="1"/>
          <w:lang w:eastAsia="hi-IN" w:bidi="hi-IN"/>
        </w:rPr>
        <w:t xml:space="preserve">0,- </w:t>
      </w:r>
      <w:r w:rsidRPr="00340F7D">
        <w:rPr>
          <w:rFonts w:ascii="Calibri" w:eastAsia="SimSun" w:hAnsi="Calibri"/>
          <w:kern w:val="1"/>
          <w:lang w:eastAsia="hi-IN" w:bidi="hi-IN"/>
        </w:rPr>
        <w:t xml:space="preserve"> Kč + platná DPH</w:t>
      </w:r>
    </w:p>
    <w:p w:rsidR="00913E17" w:rsidRPr="00340F7D" w:rsidRDefault="00913E17" w:rsidP="00913E17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>
        <w:rPr>
          <w:rFonts w:ascii="Calibri" w:eastAsia="SimSun" w:hAnsi="Calibri"/>
          <w:kern w:val="1"/>
          <w:lang w:eastAsia="hi-IN" w:bidi="hi-IN"/>
        </w:rPr>
        <w:t xml:space="preserve">servisní práce budou účtovány ve výši </w:t>
      </w:r>
      <w:r w:rsidR="00340F7D" w:rsidRPr="00340F7D">
        <w:rPr>
          <w:rFonts w:ascii="Calibri" w:eastAsia="SimSun" w:hAnsi="Calibri"/>
          <w:kern w:val="1"/>
          <w:lang w:eastAsia="hi-IN" w:bidi="hi-IN"/>
        </w:rPr>
        <w:t>580,-</w:t>
      </w:r>
      <w:r w:rsidRPr="00340F7D">
        <w:rPr>
          <w:rFonts w:ascii="Calibri" w:eastAsia="SimSun" w:hAnsi="Calibri"/>
          <w:kern w:val="1"/>
          <w:lang w:eastAsia="hi-IN" w:bidi="hi-IN"/>
        </w:rPr>
        <w:t xml:space="preserve"> Kč/1 hod. + platná DPH </w:t>
      </w:r>
    </w:p>
    <w:p w:rsidR="006A36A9" w:rsidRPr="00340F7D" w:rsidRDefault="00913E17" w:rsidP="00913E17">
      <w:pPr>
        <w:pStyle w:val="Odstavecseseznamem"/>
        <w:widowControl w:val="0"/>
        <w:numPr>
          <w:ilvl w:val="1"/>
          <w:numId w:val="7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lang w:eastAsia="hi-IN" w:bidi="hi-IN"/>
        </w:rPr>
      </w:pPr>
      <w:r w:rsidRPr="00913E17">
        <w:rPr>
          <w:rFonts w:ascii="Calibri" w:eastAsia="SimSun" w:hAnsi="Calibri"/>
          <w:kern w:val="1"/>
          <w:lang w:eastAsia="hi-IN" w:bidi="hi-IN"/>
        </w:rPr>
        <w:t>pravidelná OÚ (PBTK</w:t>
      </w:r>
      <w:r w:rsidR="00AD7ACD">
        <w:rPr>
          <w:rFonts w:ascii="Calibri" w:eastAsia="SimSun" w:hAnsi="Calibri"/>
          <w:kern w:val="1"/>
          <w:lang w:eastAsia="hi-IN" w:bidi="hi-IN"/>
        </w:rPr>
        <w:t xml:space="preserve">- pravidelná </w:t>
      </w:r>
      <w:r w:rsidR="00AD7ACD" w:rsidRPr="00340F7D">
        <w:rPr>
          <w:rFonts w:ascii="Calibri" w:eastAsia="SimSun" w:hAnsi="Calibri"/>
          <w:kern w:val="1"/>
          <w:lang w:eastAsia="hi-IN" w:bidi="hi-IN"/>
        </w:rPr>
        <w:t>bezpečnostní technická kontrola</w:t>
      </w:r>
      <w:r w:rsidRPr="00340F7D">
        <w:rPr>
          <w:rFonts w:ascii="Calibri" w:eastAsia="SimSun" w:hAnsi="Calibri"/>
          <w:kern w:val="1"/>
          <w:lang w:eastAsia="hi-IN" w:bidi="hi-IN"/>
        </w:rPr>
        <w:t xml:space="preserve">) bude účtována ve výši </w:t>
      </w:r>
      <w:r w:rsidR="00340F7D" w:rsidRPr="00340F7D">
        <w:rPr>
          <w:rFonts w:ascii="Calibri" w:eastAsia="SimSun" w:hAnsi="Calibri"/>
          <w:kern w:val="1"/>
          <w:lang w:eastAsia="hi-IN" w:bidi="hi-IN"/>
        </w:rPr>
        <w:t>580,-</w:t>
      </w:r>
      <w:r w:rsidRPr="00340F7D">
        <w:rPr>
          <w:rFonts w:ascii="Calibri" w:eastAsia="SimSun" w:hAnsi="Calibri"/>
          <w:kern w:val="1"/>
          <w:lang w:eastAsia="hi-IN" w:bidi="hi-IN"/>
        </w:rPr>
        <w:t xml:space="preserve"> Kč + platná DPH </w:t>
      </w:r>
      <w:r w:rsidR="00340F7D">
        <w:rPr>
          <w:rFonts w:ascii="Calibri" w:eastAsia="SimSun" w:hAnsi="Calibri"/>
          <w:kern w:val="1"/>
          <w:lang w:eastAsia="hi-IN" w:bidi="hi-IN"/>
        </w:rPr>
        <w:t>/1ks</w:t>
      </w:r>
    </w:p>
    <w:p w:rsidR="00913E17" w:rsidRDefault="00913E17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</w:p>
    <w:p w:rsidR="006A36A9" w:rsidRPr="00214E72" w:rsidRDefault="00A36F2B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</w:t>
      </w:r>
      <w:r w:rsidR="006A36A9"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X.</w:t>
      </w:r>
    </w:p>
    <w:p w:rsidR="006A36A9" w:rsidRPr="00214E72" w:rsidRDefault="006A36A9" w:rsidP="006A36A9">
      <w:pPr>
        <w:widowControl w:val="0"/>
        <w:tabs>
          <w:tab w:val="left" w:pos="426"/>
        </w:tabs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Zvláštní ujednání</w:t>
      </w:r>
    </w:p>
    <w:p w:rsidR="006A36A9" w:rsidRDefault="006A36A9" w:rsidP="006A36A9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Prodávající není oprávněn postoupit anebo převést jakákoliv svá práva anebo pohledávky vyplývající z této smlouvy anebo se smlouvou související na třetí osobu bez předchozího písemného souhlasu kupujícího, a to ani částečně. </w:t>
      </w:r>
    </w:p>
    <w:p w:rsidR="004A6ACE" w:rsidRDefault="004A6ACE" w:rsidP="004A6ACE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je povinen uchovávat veškerou dokumentaci související s realizací projektu včetně účetních dokladů minimálně do konce roku 2028. Pokud je v českých právních předpisech stanovena lhůta delší, musí ji prodávající použít.</w:t>
      </w:r>
    </w:p>
    <w:p w:rsidR="004A6ACE" w:rsidRPr="00214E72" w:rsidRDefault="004A6ACE" w:rsidP="004A6ACE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je povinen minimálně do konce roku 2028 pos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>kytovat požadované informace a </w:t>
      </w:r>
      <w:r w:rsidR="00F65150">
        <w:rPr>
          <w:rFonts w:ascii="Calibri" w:eastAsia="SimSun" w:hAnsi="Calibri"/>
          <w:kern w:val="1"/>
          <w:sz w:val="20"/>
          <w:szCs w:val="20"/>
          <w:lang w:eastAsia="hi-IN" w:bidi="hi-IN"/>
        </w:rPr>
        <w:t>dokumentaci související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s realizací projektu zaměstnancům nebo zmocněncům pověřených orgánů (CRR, MMR ČR, MF ČR, Evropské komise, Evropského účetního dvora, Nejvyššího kontrolního úřadu, příslušeného orgánu finanční správy a dalších oprávněných orgánů státní správy) a je povinen vytvořit výše uvedeným osobám podmínky k provedení kontroly vztahující se k realizaci projektu a poskytnout jim 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Sankce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Pokud prodávající nedodá kupujícímu zboží ve stanovené lhůtě, je povinen zaplatit kupujícímu smluvní pokutu ve výši 0,</w:t>
      </w:r>
      <w:r>
        <w:rPr>
          <w:rFonts w:ascii="Calibri" w:eastAsia="SimSun" w:hAnsi="Calibri"/>
          <w:kern w:val="1"/>
          <w:sz w:val="20"/>
          <w:szCs w:val="20"/>
          <w:lang w:eastAsia="hi-IN" w:bidi="hi-IN"/>
        </w:rPr>
        <w:t>2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% z  kupní ceny včetně  DPH, stanovené v čl. V odst. 1 této smlouvy, za každý i jen započatý den prodlení.</w:t>
      </w:r>
    </w:p>
    <w:p w:rsidR="00404291" w:rsidRPr="00404291" w:rsidRDefault="00404291" w:rsidP="00404291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04291">
        <w:rPr>
          <w:rFonts w:ascii="Calibri" w:eastAsia="SimSun" w:hAnsi="Calibri"/>
          <w:kern w:val="1"/>
          <w:sz w:val="20"/>
          <w:szCs w:val="20"/>
          <w:lang w:eastAsia="hi-IN" w:bidi="hi-IN"/>
        </w:rPr>
        <w:t>Pokud prodávající neodstraní vadu zboží ve stanovené lhůtě, je povinen zaplatit kupujícímu smluvní pokutu ve výši 0,2 % z  kupní ceny včetně  DPH, stanovené v čl. V odst. 1 této smlouvy, za každý i jen započatý den prodlení.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pokuty se nezapočítávají na náhradu případně vzniklé škody, kterou lze vymáhat samostatně vedle smluvní pokuty, a to v plné výši.</w:t>
      </w:r>
    </w:p>
    <w:p w:rsidR="006A36A9" w:rsidRPr="00214E72" w:rsidRDefault="006A36A9" w:rsidP="006A36A9">
      <w:pPr>
        <w:widowControl w:val="0"/>
        <w:numPr>
          <w:ilvl w:val="0"/>
          <w:numId w:val="18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lastRenderedPageBreak/>
        <w:t>V případě prodlení kupujícího s úhradou kupní ceny je prodávající oprávněn požadovat na kupujícím úrok z prodlení z dlužné částky ve výši stanovené občanskoprávními předpisy.</w:t>
      </w:r>
    </w:p>
    <w:p w:rsidR="006A36A9" w:rsidRPr="00214E72" w:rsidRDefault="006A36A9" w:rsidP="006A36A9">
      <w:pPr>
        <w:widowControl w:val="0"/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keepNext/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Zánik smlouvy</w:t>
      </w:r>
    </w:p>
    <w:p w:rsidR="006A36A9" w:rsidRPr="00214E72" w:rsidRDefault="006A36A9" w:rsidP="006A36A9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Tato smlouva zaniká:</w:t>
      </w:r>
    </w:p>
    <w:p w:rsidR="006A36A9" w:rsidRPr="00214E72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left" w:pos="127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písemnou dohodou smluvních stran,</w:t>
      </w:r>
    </w:p>
    <w:p w:rsidR="006A36A9" w:rsidRPr="00214E72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left" w:pos="1276"/>
        </w:tabs>
        <w:suppressAutoHyphens/>
        <w:spacing w:after="60"/>
        <w:ind w:left="1276" w:hanging="528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jednostranným odstoupením od smlouvy pro její podstatné porušení druhou smluvní stranou, s tím, že podstatným porušením smlouvy se rozumí zejména: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 xml:space="preserve">nedodání předmětu plnění ve stanovené době plnění, 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 xml:space="preserve">pokud má předmět plnění vady, které jej činí neupotřebitelným nebo nemá vlastnosti, které si kupující vymínil nebo o kterých ho prodávající ujistil, 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720"/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autoSpaceDE w:val="0"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>nedodržení smluvních ujednání o záruce za jakost,</w:t>
      </w:r>
    </w:p>
    <w:p w:rsidR="006A36A9" w:rsidRPr="00214E72" w:rsidRDefault="006A36A9" w:rsidP="006A36A9">
      <w:pPr>
        <w:widowControl w:val="0"/>
        <w:numPr>
          <w:ilvl w:val="1"/>
          <w:numId w:val="12"/>
        </w:numPr>
        <w:tabs>
          <w:tab w:val="left" w:pos="720"/>
          <w:tab w:val="left" w:pos="1985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</w:tabs>
        <w:suppressAutoHyphens/>
        <w:autoSpaceDE w:val="0"/>
        <w:spacing w:after="60"/>
        <w:ind w:left="1985" w:hanging="709"/>
        <w:jc w:val="both"/>
        <w:rPr>
          <w:rFonts w:ascii="Calibri" w:eastAsia="Calibri" w:hAnsi="Calibri"/>
          <w:sz w:val="20"/>
          <w:szCs w:val="20"/>
          <w:lang w:eastAsia="ar-SA"/>
        </w:rPr>
      </w:pPr>
      <w:r w:rsidRPr="00214E72">
        <w:rPr>
          <w:rFonts w:ascii="Calibri" w:eastAsia="Calibri" w:hAnsi="Calibri"/>
          <w:sz w:val="20"/>
          <w:szCs w:val="20"/>
          <w:lang w:eastAsia="ar-SA"/>
        </w:rPr>
        <w:t>neuhrazení kupní ceny kupujícím po druhé výzvě prodávajícího k uhrazení dlužné částky, přičemž druhá výzva nesmí následovat dříve než 30 dnů po doručení první výzvy.</w:t>
      </w:r>
    </w:p>
    <w:p w:rsidR="006A36A9" w:rsidRPr="004C499D" w:rsidRDefault="006A36A9" w:rsidP="006A36A9">
      <w:pPr>
        <w:widowControl w:val="0"/>
        <w:numPr>
          <w:ilvl w:val="0"/>
          <w:numId w:val="11"/>
        </w:numPr>
        <w:tabs>
          <w:tab w:val="left" w:pos="748"/>
          <w:tab w:val="num" w:pos="1080"/>
          <w:tab w:val="left" w:pos="127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4C499D">
        <w:rPr>
          <w:rFonts w:ascii="Calibri" w:eastAsia="SimSun" w:hAnsi="Calibri"/>
          <w:kern w:val="1"/>
          <w:sz w:val="20"/>
          <w:szCs w:val="20"/>
          <w:lang w:eastAsia="hi-IN" w:bidi="hi-IN"/>
        </w:rPr>
        <w:t>odstoupením od smlouvy ze strany kupujícího v případě neposkytnutí dotace</w:t>
      </w:r>
    </w:p>
    <w:p w:rsidR="006A36A9" w:rsidRPr="00214E72" w:rsidRDefault="006A36A9" w:rsidP="006A36A9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 účely této smlouvy se pod pojmem „bez zbytečného odkladu“ uvedeným v § 2002 občanského zákoníku rozumí „nejpozději do 30 dnů“.</w:t>
      </w:r>
    </w:p>
    <w:p w:rsidR="006A36A9" w:rsidRPr="00A36F2B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16"/>
          <w:szCs w:val="16"/>
          <w:lang w:eastAsia="hi-IN" w:bidi="hi-IN"/>
        </w:rPr>
      </w:pPr>
    </w:p>
    <w:p w:rsidR="006A36A9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XII.</w:t>
      </w:r>
    </w:p>
    <w:p w:rsidR="006A36A9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Registr smluv - doložka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Prodávající 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tímto uděluje souhlas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kupujícímu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k uveřejnění všech podkladů, údajů a informací uvedených v této smlouvě, k jejichž uveřejnění vyplývá pro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kupujícího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povinnost dle právních předpisů.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Prodávající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je současně srozuměn s tím, že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 je oprávněn zveřejnit obraz smlouvy a jejich případných změn (dodatků) a dalších dokumentů od této smlouvy odvozených včetně metadat požadovaných k uveřejnění dle zákona č. 340/2015 Sb., o registru smluv.</w:t>
      </w:r>
    </w:p>
    <w:p w:rsidR="006F4943" w:rsidRPr="00CB32A5" w:rsidRDefault="006F4943" w:rsidP="006F4943">
      <w:pPr>
        <w:widowControl w:val="0"/>
        <w:numPr>
          <w:ilvl w:val="0"/>
          <w:numId w:val="21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Zveřejnění smlouvy a metadat v registru smluv zajistí </w:t>
      </w:r>
      <w:r>
        <w:rPr>
          <w:rFonts w:ascii="Calibri" w:eastAsia="SimSun" w:hAnsi="Calibri"/>
          <w:kern w:val="2"/>
          <w:sz w:val="20"/>
          <w:szCs w:val="20"/>
          <w:lang w:eastAsia="hi-IN" w:bidi="hi-IN"/>
        </w:rPr>
        <w:t>kupující</w:t>
      </w:r>
      <w:r w:rsidRPr="00CB32A5">
        <w:rPr>
          <w:rFonts w:ascii="Calibri" w:eastAsia="SimSun" w:hAnsi="Calibri"/>
          <w:kern w:val="2"/>
          <w:sz w:val="20"/>
          <w:szCs w:val="20"/>
          <w:lang w:eastAsia="hi-IN" w:bidi="hi-IN"/>
        </w:rPr>
        <w:t>.</w:t>
      </w:r>
    </w:p>
    <w:p w:rsidR="006A36A9" w:rsidRPr="00A36F2B" w:rsidRDefault="006A36A9" w:rsidP="00A36F2B">
      <w:pPr>
        <w:pStyle w:val="Odstavecseseznamem"/>
        <w:tabs>
          <w:tab w:val="left" w:pos="-7513"/>
        </w:tabs>
        <w:spacing w:after="120" w:line="276" w:lineRule="auto"/>
        <w:ind w:left="426" w:hanging="425"/>
        <w:jc w:val="both"/>
        <w:rPr>
          <w:rFonts w:asciiTheme="minorHAnsi" w:eastAsia="SimSun" w:hAnsiTheme="minorHAnsi"/>
          <w:bCs/>
          <w:kern w:val="1"/>
          <w:sz w:val="16"/>
          <w:szCs w:val="16"/>
          <w:lang w:eastAsia="hi-IN" w:bidi="hi-IN"/>
        </w:rPr>
      </w:pP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XII</w:t>
      </w:r>
      <w:r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I</w:t>
      </w: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.</w:t>
      </w:r>
    </w:p>
    <w:p w:rsidR="006A36A9" w:rsidRPr="00214E72" w:rsidRDefault="006A36A9" w:rsidP="006A36A9">
      <w:pPr>
        <w:widowControl w:val="0"/>
        <w:suppressAutoHyphens/>
        <w:spacing w:after="60" w:line="240" w:lineRule="atLeast"/>
        <w:jc w:val="center"/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bCs/>
          <w:kern w:val="1"/>
          <w:sz w:val="20"/>
          <w:szCs w:val="20"/>
          <w:lang w:eastAsia="hi-IN" w:bidi="hi-IN"/>
        </w:rPr>
        <w:t>Závěrečná ustanovení</w:t>
      </w:r>
    </w:p>
    <w:p w:rsidR="009F3A86" w:rsidRPr="00125B5B" w:rsidRDefault="006A36A9" w:rsidP="009F3A86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Tato smlouva nabývá platnosti dnem jejího podpisu oběma smluvními </w:t>
      </w:r>
      <w:r w:rsidRPr="00125B5B">
        <w:rPr>
          <w:rFonts w:ascii="Calibri" w:eastAsia="SimSun" w:hAnsi="Calibri"/>
          <w:kern w:val="1"/>
          <w:sz w:val="20"/>
          <w:szCs w:val="20"/>
          <w:lang w:eastAsia="hi-IN" w:bidi="hi-IN"/>
        </w:rPr>
        <w:t>stranami a </w:t>
      </w:r>
      <w:r w:rsidR="009F3A86" w:rsidRPr="00125B5B">
        <w:rPr>
          <w:rFonts w:ascii="Calibri" w:eastAsia="SimSun" w:hAnsi="Calibri"/>
          <w:kern w:val="2"/>
          <w:sz w:val="20"/>
          <w:szCs w:val="20"/>
          <w:lang w:eastAsia="hi-IN" w:bidi="hi-IN"/>
        </w:rPr>
        <w:t xml:space="preserve">účinnosti dnem uveřejnění v registru smluv. </w:t>
      </w: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:rsidR="006A36A9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Tato smlouva je vyhotovena v 4 stejnopisech, z nichž po podpisu</w:t>
      </w:r>
      <w:r w:rsidR="00D335CC">
        <w:rPr>
          <w:rFonts w:ascii="Calibri" w:eastAsia="SimSun" w:hAnsi="Calibri"/>
          <w:kern w:val="1"/>
          <w:sz w:val="20"/>
          <w:szCs w:val="20"/>
          <w:lang w:eastAsia="hi-IN" w:bidi="hi-IN"/>
        </w:rPr>
        <w:t xml:space="preserve"> kupující obdrží 3 vyhotovení a </w:t>
      </w: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prodávající 1 vyhotovení.</w:t>
      </w:r>
    </w:p>
    <w:p w:rsidR="00324C1F" w:rsidRDefault="00324C1F" w:rsidP="00324C1F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324C1F" w:rsidRPr="00214E72" w:rsidRDefault="00324C1F" w:rsidP="00324C1F">
      <w:pPr>
        <w:widowControl w:val="0"/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6A36A9" w:rsidRPr="00214E72" w:rsidRDefault="006A36A9" w:rsidP="006A36A9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60"/>
        <w:jc w:val="both"/>
        <w:rPr>
          <w:rFonts w:ascii="Calibri" w:eastAsia="SimSun" w:hAnsi="Calibri"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kern w:val="1"/>
          <w:sz w:val="20"/>
          <w:szCs w:val="20"/>
          <w:lang w:eastAsia="hi-IN" w:bidi="hi-IN"/>
        </w:rPr>
        <w:t>Součástí smlouvy jsou:</w:t>
      </w:r>
    </w:p>
    <w:p w:rsidR="006A36A9" w:rsidRPr="00214E72" w:rsidRDefault="006A36A9" w:rsidP="006A36A9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</w:t>
      </w:r>
      <w:r w:rsidR="0055210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říloha č. 1: Specifikace zboží</w:t>
      </w:r>
      <w:r w:rsidRPr="00214E72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 </w:t>
      </w:r>
    </w:p>
    <w:p w:rsidR="0055210D" w:rsidRDefault="0055210D" w:rsidP="0055210D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hAnsi="Calibri"/>
          <w:i/>
          <w:sz w:val="20"/>
          <w:szCs w:val="20"/>
        </w:rPr>
      </w:pPr>
      <w:r w:rsidRPr="0055210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Příloha č. 2: Cenová kalkulace</w:t>
      </w:r>
      <w:r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 </w:t>
      </w:r>
    </w:p>
    <w:p w:rsidR="0055210D" w:rsidRPr="00214E72" w:rsidRDefault="0055210D" w:rsidP="0055210D">
      <w:pPr>
        <w:widowControl w:val="0"/>
        <w:tabs>
          <w:tab w:val="left" w:pos="360"/>
        </w:tabs>
        <w:suppressAutoHyphens/>
        <w:spacing w:after="60"/>
        <w:ind w:left="360"/>
        <w:jc w:val="both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  <w:r w:rsidRPr="0055210D"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>Příloha č. 3: Pozáruční servis</w:t>
      </w:r>
      <w:r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  <w:t xml:space="preserve"> </w:t>
      </w:r>
    </w:p>
    <w:p w:rsidR="0055210D" w:rsidRPr="0055210D" w:rsidRDefault="0055210D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b/>
          <w:kern w:val="1"/>
          <w:sz w:val="20"/>
          <w:szCs w:val="20"/>
          <w:lang w:eastAsia="hi-IN" w:bidi="hi-IN"/>
        </w:rPr>
      </w:pPr>
    </w:p>
    <w:p w:rsidR="00324C1F" w:rsidRDefault="00324C1F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p w:rsidR="00324C1F" w:rsidRPr="00214E72" w:rsidRDefault="00324C1F" w:rsidP="006A36A9">
      <w:pPr>
        <w:widowControl w:val="0"/>
        <w:suppressAutoHyphens/>
        <w:spacing w:after="60" w:line="240" w:lineRule="atLeast"/>
        <w:rPr>
          <w:rFonts w:ascii="Calibri" w:eastAsia="SimSun" w:hAnsi="Calibri"/>
          <w:kern w:val="1"/>
          <w:sz w:val="20"/>
          <w:szCs w:val="20"/>
          <w:lang w:eastAsia="hi-IN" w:bidi="hi-IN"/>
        </w:rPr>
      </w:pPr>
    </w:p>
    <w:tbl>
      <w:tblPr>
        <w:tblW w:w="91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1331"/>
        <w:gridCol w:w="4261"/>
      </w:tblGrid>
      <w:tr w:rsidR="006A36A9" w:rsidRPr="001D581A" w:rsidTr="00541181">
        <w:trPr>
          <w:trHeight w:val="50"/>
        </w:trPr>
        <w:tc>
          <w:tcPr>
            <w:tcW w:w="3585" w:type="dxa"/>
            <w:shd w:val="clear" w:color="auto" w:fill="auto"/>
          </w:tcPr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Default="006A66D0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36A9" w:rsidRPr="001D581A" w:rsidRDefault="006A36A9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1D581A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V </w:t>
            </w:r>
            <w:r w:rsidR="0018224F" w:rsidRPr="001D581A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Opavě</w:t>
            </w:r>
            <w:r w:rsidRPr="001D581A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 dne ……………………………</w:t>
            </w:r>
          </w:p>
        </w:tc>
        <w:tc>
          <w:tcPr>
            <w:tcW w:w="1331" w:type="dxa"/>
            <w:shd w:val="clear" w:color="auto" w:fill="auto"/>
          </w:tcPr>
          <w:p w:rsidR="006A36A9" w:rsidRPr="001D581A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shd w:val="clear" w:color="auto" w:fill="auto"/>
          </w:tcPr>
          <w:p w:rsidR="006A66D0" w:rsidRPr="001D581A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Pr="001D581A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66D0" w:rsidRPr="001D581A" w:rsidRDefault="006A66D0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6A36A9" w:rsidRPr="001D581A" w:rsidRDefault="006A36A9" w:rsidP="001D581A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  <w:r w:rsidRPr="001D581A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V</w:t>
            </w:r>
            <w:r w:rsidR="001D581A" w:rsidRPr="001D581A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 Hradci Králové</w:t>
            </w:r>
            <w:r w:rsidRPr="001D581A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 xml:space="preserve"> dne </w:t>
            </w:r>
            <w:r w:rsidR="001D581A"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  <w:t>……………………………</w:t>
            </w:r>
          </w:p>
        </w:tc>
      </w:tr>
      <w:tr w:rsidR="00324C1F" w:rsidRPr="001D581A" w:rsidTr="00541181">
        <w:trPr>
          <w:trHeight w:val="50"/>
        </w:trPr>
        <w:tc>
          <w:tcPr>
            <w:tcW w:w="3585" w:type="dxa"/>
            <w:shd w:val="clear" w:color="auto" w:fill="auto"/>
          </w:tcPr>
          <w:p w:rsidR="00324C1F" w:rsidRPr="001D581A" w:rsidRDefault="00324C1F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  <w:p w:rsidR="00324C1F" w:rsidRPr="001D581A" w:rsidRDefault="00324C1F" w:rsidP="0018224F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1" w:type="dxa"/>
            <w:shd w:val="clear" w:color="auto" w:fill="auto"/>
          </w:tcPr>
          <w:p w:rsidR="00324C1F" w:rsidRPr="001D581A" w:rsidRDefault="00324C1F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shd w:val="clear" w:color="auto" w:fill="auto"/>
          </w:tcPr>
          <w:p w:rsidR="00324C1F" w:rsidRPr="001D581A" w:rsidRDefault="00324C1F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A36A9" w:rsidRPr="001D581A" w:rsidTr="00541181">
        <w:trPr>
          <w:trHeight w:val="934"/>
        </w:trPr>
        <w:tc>
          <w:tcPr>
            <w:tcW w:w="3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36A9" w:rsidRPr="001D581A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6A36A9" w:rsidRPr="001D581A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A36A9" w:rsidRPr="001D581A" w:rsidRDefault="006A36A9" w:rsidP="0055210D">
            <w:pPr>
              <w:widowControl w:val="0"/>
              <w:suppressAutoHyphens/>
              <w:snapToGrid w:val="0"/>
              <w:spacing w:after="60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6A36A9" w:rsidRPr="00214E72" w:rsidTr="00541181">
        <w:trPr>
          <w:trHeight w:val="371"/>
        </w:trPr>
        <w:tc>
          <w:tcPr>
            <w:tcW w:w="3585" w:type="dxa"/>
            <w:tcBorders>
              <w:top w:val="single" w:sz="4" w:space="0" w:color="000000"/>
            </w:tcBorders>
            <w:shd w:val="clear" w:color="auto" w:fill="auto"/>
          </w:tcPr>
          <w:p w:rsidR="006A36A9" w:rsidRPr="001D581A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1D581A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za kupujícího</w:t>
            </w:r>
          </w:p>
          <w:p w:rsidR="006A36A9" w:rsidRPr="001D581A" w:rsidRDefault="006A36A9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1D581A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MUDr. Ladislav Václavec, MBA, ředitel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6A36A9" w:rsidRPr="001D581A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61" w:type="dxa"/>
            <w:tcBorders>
              <w:top w:val="single" w:sz="4" w:space="0" w:color="000000"/>
            </w:tcBorders>
            <w:shd w:val="clear" w:color="auto" w:fill="auto"/>
          </w:tcPr>
          <w:p w:rsidR="006A36A9" w:rsidRPr="001D581A" w:rsidRDefault="006A36A9" w:rsidP="0055210D">
            <w:pPr>
              <w:widowControl w:val="0"/>
              <w:suppressAutoHyphens/>
              <w:snapToGrid w:val="0"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1D581A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za prodávajícího</w:t>
            </w:r>
          </w:p>
          <w:p w:rsidR="006A36A9" w:rsidRPr="001D581A" w:rsidRDefault="001D581A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</w:pPr>
            <w:r w:rsidRPr="001D581A">
              <w:rPr>
                <w:rFonts w:ascii="Calibri" w:eastAsia="SimSun" w:hAnsi="Calibri"/>
                <w:b/>
                <w:kern w:val="1"/>
                <w:sz w:val="20"/>
                <w:szCs w:val="20"/>
                <w:lang w:eastAsia="hi-IN" w:bidi="hi-IN"/>
              </w:rPr>
              <w:t>Tomáš Joukl, prokurista</w:t>
            </w:r>
          </w:p>
          <w:p w:rsidR="006A36A9" w:rsidRPr="001D581A" w:rsidRDefault="006A36A9" w:rsidP="0055210D">
            <w:pPr>
              <w:widowControl w:val="0"/>
              <w:suppressAutoHyphens/>
              <w:spacing w:after="60"/>
              <w:jc w:val="center"/>
              <w:rPr>
                <w:rFonts w:ascii="Calibri" w:eastAsia="SimSun" w:hAnsi="Calibr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C22CBD" w:rsidRDefault="00C22CBD"/>
    <w:p w:rsidR="00DC64C0" w:rsidRDefault="00DC64C0">
      <w:pPr>
        <w:spacing w:after="200" w:line="276" w:lineRule="auto"/>
        <w:rPr>
          <w:rFonts w:ascii="Calibri" w:eastAsia="SimSun" w:hAnsi="Calibri"/>
          <w:b/>
          <w:kern w:val="2"/>
          <w:lang w:eastAsia="hi-IN" w:bidi="hi-IN"/>
        </w:rPr>
      </w:pPr>
      <w:r>
        <w:rPr>
          <w:rFonts w:ascii="Calibri" w:eastAsia="SimSun" w:hAnsi="Calibri"/>
          <w:b/>
          <w:kern w:val="2"/>
          <w:lang w:eastAsia="hi-IN" w:bidi="hi-IN"/>
        </w:rPr>
        <w:br w:type="page"/>
      </w:r>
    </w:p>
    <w:p w:rsidR="00A22183" w:rsidRDefault="00C22CBD" w:rsidP="00340F7D">
      <w:pPr>
        <w:rPr>
          <w:rFonts w:ascii="Calibri" w:eastAsia="SimSun" w:hAnsi="Calibri"/>
          <w:b/>
          <w:kern w:val="2"/>
          <w:lang w:eastAsia="hi-IN" w:bidi="hi-IN"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lastRenderedPageBreak/>
        <w:t xml:space="preserve">Příloha č. 1 </w:t>
      </w:r>
      <w:r w:rsidR="00A45DE6" w:rsidRPr="0055210D">
        <w:rPr>
          <w:rFonts w:ascii="Calibri" w:eastAsia="SimSun" w:hAnsi="Calibri"/>
          <w:b/>
          <w:kern w:val="2"/>
          <w:lang w:eastAsia="hi-IN" w:bidi="hi-IN"/>
        </w:rPr>
        <w:t xml:space="preserve">- </w:t>
      </w:r>
      <w:r w:rsidRPr="0055210D">
        <w:rPr>
          <w:rFonts w:ascii="Calibri" w:eastAsia="SimSun" w:hAnsi="Calibri"/>
          <w:b/>
          <w:kern w:val="2"/>
          <w:lang w:eastAsia="hi-IN" w:bidi="hi-IN"/>
        </w:rPr>
        <w:t>Specifikace zboží</w:t>
      </w:r>
    </w:p>
    <w:p w:rsidR="00340F7D" w:rsidRDefault="00340F7D" w:rsidP="00340F7D">
      <w:pPr>
        <w:rPr>
          <w:rFonts w:ascii="Calibri" w:eastAsia="SimSun" w:hAnsi="Calibri"/>
          <w:b/>
          <w:kern w:val="2"/>
          <w:lang w:eastAsia="hi-IN" w:bidi="hi-IN"/>
        </w:rPr>
      </w:pPr>
    </w:p>
    <w:p w:rsidR="00340F7D" w:rsidRDefault="00340F7D" w:rsidP="00340F7D">
      <w:pPr>
        <w:rPr>
          <w:rFonts w:ascii="Calibri" w:eastAsia="SimSun" w:hAnsi="Calibri"/>
          <w:b/>
          <w:kern w:val="2"/>
          <w:lang w:eastAsia="hi-IN" w:bidi="hi-IN"/>
        </w:rPr>
      </w:pPr>
    </w:p>
    <w:p w:rsidR="00340F7D" w:rsidRDefault="00340F7D" w:rsidP="00340F7D"/>
    <w:p w:rsidR="00A45DE6" w:rsidRDefault="00A45DE6">
      <w:pPr>
        <w:rPr>
          <w:rFonts w:ascii="Calibri" w:eastAsia="SimSun" w:hAnsi="Calibri"/>
          <w:kern w:val="2"/>
          <w:sz w:val="20"/>
          <w:szCs w:val="20"/>
          <w:lang w:eastAsia="hi-IN" w:bidi="hi-IN"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t>Příloha č. 2 - Cenová kalkulace</w:t>
      </w:r>
    </w:p>
    <w:p w:rsidR="00D335CC" w:rsidRPr="0055210D" w:rsidRDefault="00D335CC">
      <w:pPr>
        <w:rPr>
          <w:sz w:val="20"/>
          <w:szCs w:val="20"/>
        </w:rPr>
      </w:pPr>
    </w:p>
    <w:tbl>
      <w:tblPr>
        <w:tblStyle w:val="Mkatabulky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701"/>
        <w:gridCol w:w="1701"/>
        <w:gridCol w:w="1701"/>
        <w:gridCol w:w="1701"/>
      </w:tblGrid>
      <w:tr w:rsidR="00FB155D" w:rsidRPr="00C22CBD" w:rsidTr="00FB155D">
        <w:trPr>
          <w:trHeight w:val="519"/>
        </w:trPr>
        <w:tc>
          <w:tcPr>
            <w:tcW w:w="1951" w:type="dxa"/>
            <w:vAlign w:val="center"/>
          </w:tcPr>
          <w:p w:rsidR="00FB155D" w:rsidRPr="0055210D" w:rsidRDefault="00FB155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Položka</w:t>
            </w:r>
          </w:p>
        </w:tc>
        <w:tc>
          <w:tcPr>
            <w:tcW w:w="1276" w:type="dxa"/>
            <w:vAlign w:val="center"/>
          </w:tcPr>
          <w:p w:rsidR="00FB155D" w:rsidRPr="0055210D" w:rsidRDefault="00FB155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Množství</w:t>
            </w:r>
          </w:p>
        </w:tc>
        <w:tc>
          <w:tcPr>
            <w:tcW w:w="1701" w:type="dxa"/>
            <w:vAlign w:val="center"/>
          </w:tcPr>
          <w:p w:rsidR="00FB155D" w:rsidRPr="0055210D" w:rsidRDefault="00FB155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Cena/ks </w:t>
            </w:r>
          </w:p>
          <w:p w:rsidR="00FB155D" w:rsidRPr="0055210D" w:rsidRDefault="0055210D" w:rsidP="00C22CB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 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bez DPH</w:t>
            </w:r>
          </w:p>
        </w:tc>
        <w:tc>
          <w:tcPr>
            <w:tcW w:w="1701" w:type="dxa"/>
            <w:vAlign w:val="center"/>
          </w:tcPr>
          <w:p w:rsidR="00FB155D" w:rsidRPr="0055210D" w:rsidRDefault="00FB155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Cena/ks </w:t>
            </w:r>
          </w:p>
          <w:p w:rsidR="00FB155D" w:rsidRPr="0055210D" w:rsidRDefault="0055210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 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vč. DPH</w:t>
            </w:r>
          </w:p>
        </w:tc>
        <w:tc>
          <w:tcPr>
            <w:tcW w:w="1701" w:type="dxa"/>
          </w:tcPr>
          <w:p w:rsidR="00FB155D" w:rsidRPr="0055210D" w:rsidRDefault="00FB155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Cena celkem</w:t>
            </w:r>
          </w:p>
          <w:p w:rsidR="00FB155D" w:rsidRPr="0055210D" w:rsidRDefault="0055210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 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bez DPH</w:t>
            </w:r>
          </w:p>
        </w:tc>
        <w:tc>
          <w:tcPr>
            <w:tcW w:w="1701" w:type="dxa"/>
          </w:tcPr>
          <w:p w:rsidR="00FB155D" w:rsidRPr="0055210D" w:rsidRDefault="00FB155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Cena celkem</w:t>
            </w:r>
          </w:p>
          <w:p w:rsidR="00FB155D" w:rsidRPr="0055210D" w:rsidRDefault="0055210D" w:rsidP="00070A32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 xml:space="preserve">v Kč </w:t>
            </w:r>
            <w:r w:rsidR="00FB155D"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vč. DPH</w:t>
            </w:r>
          </w:p>
        </w:tc>
      </w:tr>
      <w:tr w:rsidR="00FB155D" w:rsidTr="00C23B31">
        <w:trPr>
          <w:trHeight w:hRule="exact" w:val="603"/>
        </w:trPr>
        <w:tc>
          <w:tcPr>
            <w:tcW w:w="1951" w:type="dxa"/>
            <w:vAlign w:val="center"/>
          </w:tcPr>
          <w:p w:rsidR="00FB155D" w:rsidRPr="0055210D" w:rsidRDefault="00C23B31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Aktivní matrace 9 s kompresorem</w:t>
            </w:r>
          </w:p>
        </w:tc>
        <w:tc>
          <w:tcPr>
            <w:tcW w:w="1276" w:type="dxa"/>
            <w:vAlign w:val="center"/>
          </w:tcPr>
          <w:p w:rsidR="00FB155D" w:rsidRPr="0055210D" w:rsidRDefault="00340F7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vAlign w:val="center"/>
          </w:tcPr>
          <w:p w:rsidR="00FB155D" w:rsidRPr="0055210D" w:rsidRDefault="00340F7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11 800,-</w:t>
            </w:r>
          </w:p>
        </w:tc>
        <w:tc>
          <w:tcPr>
            <w:tcW w:w="1701" w:type="dxa"/>
            <w:vAlign w:val="center"/>
          </w:tcPr>
          <w:p w:rsidR="00FB155D" w:rsidRPr="0055210D" w:rsidRDefault="00340F7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14 278,-</w:t>
            </w:r>
          </w:p>
        </w:tc>
        <w:tc>
          <w:tcPr>
            <w:tcW w:w="1701" w:type="dxa"/>
          </w:tcPr>
          <w:p w:rsidR="00FB155D" w:rsidRPr="0055210D" w:rsidRDefault="00340F7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94 400,-</w:t>
            </w:r>
          </w:p>
        </w:tc>
        <w:tc>
          <w:tcPr>
            <w:tcW w:w="1701" w:type="dxa"/>
            <w:vAlign w:val="center"/>
          </w:tcPr>
          <w:p w:rsidR="00FB155D" w:rsidRPr="0055210D" w:rsidRDefault="00340F7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114 224,-</w:t>
            </w:r>
          </w:p>
        </w:tc>
      </w:tr>
      <w:tr w:rsidR="00FB155D" w:rsidTr="00FB155D">
        <w:trPr>
          <w:trHeight w:hRule="exact" w:val="397"/>
        </w:trPr>
        <w:tc>
          <w:tcPr>
            <w:tcW w:w="195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B155D" w:rsidTr="00FB155D">
        <w:trPr>
          <w:trHeight w:hRule="exact" w:val="397"/>
        </w:trPr>
        <w:tc>
          <w:tcPr>
            <w:tcW w:w="195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B155D" w:rsidTr="00FB155D">
        <w:trPr>
          <w:trHeight w:hRule="exact" w:val="397"/>
        </w:trPr>
        <w:tc>
          <w:tcPr>
            <w:tcW w:w="195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B155D" w:rsidTr="00FB155D">
        <w:trPr>
          <w:trHeight w:hRule="exact" w:val="397"/>
        </w:trPr>
        <w:tc>
          <w:tcPr>
            <w:tcW w:w="195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B155D" w:rsidTr="00FB155D">
        <w:trPr>
          <w:trHeight w:hRule="exact" w:val="397"/>
        </w:trPr>
        <w:tc>
          <w:tcPr>
            <w:tcW w:w="195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B155D" w:rsidTr="00FB155D">
        <w:trPr>
          <w:trHeight w:hRule="exact" w:val="397"/>
        </w:trPr>
        <w:tc>
          <w:tcPr>
            <w:tcW w:w="195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Align w:val="center"/>
          </w:tcPr>
          <w:p w:rsidR="00FB155D" w:rsidRPr="0055210D" w:rsidRDefault="00FB155D" w:rsidP="00FB155D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40F7D" w:rsidRPr="00FB155D" w:rsidTr="00FB155D">
        <w:trPr>
          <w:trHeight w:hRule="exact" w:val="397"/>
        </w:trPr>
        <w:tc>
          <w:tcPr>
            <w:tcW w:w="1951" w:type="dxa"/>
            <w:vAlign w:val="center"/>
          </w:tcPr>
          <w:p w:rsidR="00340F7D" w:rsidRPr="0055210D" w:rsidRDefault="00340F7D" w:rsidP="00FB155D">
            <w:pPr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</w:pPr>
            <w:r w:rsidRPr="0055210D">
              <w:rPr>
                <w:rFonts w:ascii="Calibri" w:eastAsia="SimSun" w:hAnsi="Calibri"/>
                <w:b/>
                <w:kern w:val="2"/>
                <w:sz w:val="20"/>
                <w:szCs w:val="20"/>
                <w:lang w:eastAsia="hi-IN" w:bidi="hi-IN"/>
              </w:rPr>
              <w:t>CELKEM</w:t>
            </w:r>
          </w:p>
        </w:tc>
        <w:tc>
          <w:tcPr>
            <w:tcW w:w="1276" w:type="dxa"/>
            <w:vAlign w:val="center"/>
          </w:tcPr>
          <w:p w:rsidR="00340F7D" w:rsidRPr="0055210D" w:rsidRDefault="00340F7D" w:rsidP="003065F7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vAlign w:val="center"/>
          </w:tcPr>
          <w:p w:rsidR="00340F7D" w:rsidRPr="0055210D" w:rsidRDefault="00340F7D" w:rsidP="003065F7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11 800,-</w:t>
            </w:r>
          </w:p>
        </w:tc>
        <w:tc>
          <w:tcPr>
            <w:tcW w:w="1701" w:type="dxa"/>
            <w:vAlign w:val="center"/>
          </w:tcPr>
          <w:p w:rsidR="00340F7D" w:rsidRPr="0055210D" w:rsidRDefault="00340F7D" w:rsidP="003065F7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14 278,-</w:t>
            </w:r>
          </w:p>
        </w:tc>
        <w:tc>
          <w:tcPr>
            <w:tcW w:w="1701" w:type="dxa"/>
          </w:tcPr>
          <w:p w:rsidR="00340F7D" w:rsidRPr="0055210D" w:rsidRDefault="00340F7D" w:rsidP="003065F7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94 400,-</w:t>
            </w:r>
          </w:p>
        </w:tc>
        <w:tc>
          <w:tcPr>
            <w:tcW w:w="1701" w:type="dxa"/>
            <w:vAlign w:val="center"/>
          </w:tcPr>
          <w:p w:rsidR="00340F7D" w:rsidRPr="0055210D" w:rsidRDefault="00340F7D" w:rsidP="003065F7">
            <w:pP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/>
                <w:kern w:val="2"/>
                <w:sz w:val="20"/>
                <w:szCs w:val="20"/>
                <w:lang w:eastAsia="hi-IN" w:bidi="hi-IN"/>
              </w:rPr>
              <w:t>114 224,-</w:t>
            </w:r>
          </w:p>
        </w:tc>
      </w:tr>
    </w:tbl>
    <w:p w:rsidR="00C22CBD" w:rsidRDefault="00C22CBD"/>
    <w:p w:rsidR="00C22CBD" w:rsidRDefault="00C22CB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55210D" w:rsidRDefault="0055210D"/>
    <w:p w:rsidR="00340F7D" w:rsidRDefault="00340F7D"/>
    <w:p w:rsidR="0055210D" w:rsidRDefault="0055210D"/>
    <w:p w:rsidR="0055210D" w:rsidRPr="0055210D" w:rsidRDefault="0055210D">
      <w:pPr>
        <w:rPr>
          <w:b/>
        </w:rPr>
      </w:pPr>
      <w:r w:rsidRPr="0055210D">
        <w:rPr>
          <w:rFonts w:ascii="Calibri" w:eastAsia="SimSun" w:hAnsi="Calibri"/>
          <w:b/>
          <w:kern w:val="2"/>
          <w:lang w:eastAsia="hi-IN" w:bidi="hi-IN"/>
        </w:rPr>
        <w:t>Příloha č. 3 – Pozáruční servis</w:t>
      </w:r>
      <w:r>
        <w:rPr>
          <w:b/>
        </w:rPr>
        <w:t xml:space="preserve"> </w:t>
      </w:r>
    </w:p>
    <w:p w:rsidR="00C22CBD" w:rsidRDefault="00C22CBD"/>
    <w:tbl>
      <w:tblPr>
        <w:tblStyle w:val="Mkatabulky"/>
        <w:tblW w:w="10031" w:type="dxa"/>
        <w:tblLook w:val="04A0" w:firstRow="1" w:lastRow="0" w:firstColumn="1" w:lastColumn="0" w:noHBand="0" w:noVBand="1"/>
      </w:tblPr>
      <w:tblGrid>
        <w:gridCol w:w="2943"/>
        <w:gridCol w:w="2410"/>
        <w:gridCol w:w="2835"/>
        <w:gridCol w:w="1843"/>
      </w:tblGrid>
      <w:tr w:rsidR="009E5250" w:rsidRPr="001A165A" w:rsidTr="00D335CC">
        <w:tc>
          <w:tcPr>
            <w:tcW w:w="29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>Položka</w:t>
            </w:r>
          </w:p>
        </w:tc>
        <w:tc>
          <w:tcPr>
            <w:tcW w:w="2410" w:type="dxa"/>
            <w:vAlign w:val="center"/>
          </w:tcPr>
          <w:p w:rsidR="0055210D" w:rsidRPr="005667FC" w:rsidRDefault="009E5250" w:rsidP="0055210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Dopravné </w:t>
            </w:r>
            <w:r w:rsidR="0055210D" w:rsidRPr="005667FC">
              <w:rPr>
                <w:rFonts w:asciiTheme="minorHAnsi" w:hAnsiTheme="minorHAnsi"/>
                <w:b/>
              </w:rPr>
              <w:t xml:space="preserve">– cena </w:t>
            </w:r>
            <w:r w:rsidR="0055210D" w:rsidRPr="005667FC">
              <w:rPr>
                <w:rFonts w:asciiTheme="minorHAnsi" w:hAnsiTheme="minorHAnsi"/>
                <w:b/>
              </w:rPr>
              <w:br/>
              <w:t>za 1 výjezd do místa plnění</w:t>
            </w:r>
            <w:r w:rsidR="00D335CC">
              <w:rPr>
                <w:rFonts w:asciiTheme="minorHAnsi" w:hAnsiTheme="minorHAnsi"/>
                <w:b/>
              </w:rPr>
              <w:t xml:space="preserve"> </w:t>
            </w:r>
            <w:r w:rsidR="00AD7ACD">
              <w:rPr>
                <w:rFonts w:asciiTheme="minorHAnsi" w:hAnsiTheme="minorHAnsi"/>
                <w:b/>
              </w:rPr>
              <w:t xml:space="preserve">a zpět </w:t>
            </w:r>
            <w:r w:rsidR="0055210D" w:rsidRPr="005667FC">
              <w:rPr>
                <w:rFonts w:asciiTheme="minorHAnsi" w:hAnsiTheme="minorHAnsi"/>
                <w:b/>
              </w:rPr>
              <w:t>v Kč bez DPH</w:t>
            </w:r>
          </w:p>
        </w:tc>
        <w:tc>
          <w:tcPr>
            <w:tcW w:w="2835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>Cena servisní práce/1 hod</w:t>
            </w:r>
            <w:r w:rsidR="00FB155D" w:rsidRPr="005667FC">
              <w:rPr>
                <w:rFonts w:asciiTheme="minorHAnsi" w:hAnsiTheme="minorHAnsi"/>
                <w:b/>
              </w:rPr>
              <w:t>.</w:t>
            </w:r>
          </w:p>
          <w:p w:rsidR="009E5250" w:rsidRPr="005667FC" w:rsidRDefault="0055210D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v Kč </w:t>
            </w:r>
            <w:r w:rsidR="009E5250" w:rsidRPr="005667FC">
              <w:rPr>
                <w:rFonts w:asciiTheme="minorHAnsi" w:hAnsiTheme="minorHAnsi"/>
                <w:b/>
              </w:rPr>
              <w:t>bez DPH</w:t>
            </w:r>
          </w:p>
        </w:tc>
        <w:tc>
          <w:tcPr>
            <w:tcW w:w="18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Cena PBTK </w:t>
            </w:r>
          </w:p>
          <w:p w:rsidR="009E5250" w:rsidRPr="005667FC" w:rsidRDefault="0055210D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 xml:space="preserve">v Kč </w:t>
            </w:r>
            <w:r w:rsidR="009E5250" w:rsidRPr="005667FC">
              <w:rPr>
                <w:rFonts w:asciiTheme="minorHAnsi" w:hAnsiTheme="minorHAnsi"/>
                <w:b/>
              </w:rPr>
              <w:t>bez DPH</w:t>
            </w:r>
          </w:p>
        </w:tc>
      </w:tr>
      <w:tr w:rsidR="009E5250" w:rsidTr="00340F7D">
        <w:trPr>
          <w:trHeight w:hRule="exact" w:val="857"/>
        </w:trPr>
        <w:tc>
          <w:tcPr>
            <w:tcW w:w="2943" w:type="dxa"/>
            <w:vAlign w:val="center"/>
          </w:tcPr>
          <w:p w:rsidR="009E5250" w:rsidRPr="005667FC" w:rsidRDefault="00340F7D" w:rsidP="00340F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Aktivní matrace 9 s kompresorem </w:t>
            </w:r>
          </w:p>
        </w:tc>
        <w:tc>
          <w:tcPr>
            <w:tcW w:w="2410" w:type="dxa"/>
            <w:vAlign w:val="center"/>
          </w:tcPr>
          <w:p w:rsidR="009E5250" w:rsidRPr="005667FC" w:rsidRDefault="00340F7D" w:rsidP="00FB15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0,-</w:t>
            </w:r>
          </w:p>
        </w:tc>
        <w:tc>
          <w:tcPr>
            <w:tcW w:w="2835" w:type="dxa"/>
            <w:vAlign w:val="center"/>
          </w:tcPr>
          <w:p w:rsidR="009E5250" w:rsidRPr="005667FC" w:rsidRDefault="00340F7D" w:rsidP="00FB15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580,-</w:t>
            </w:r>
          </w:p>
        </w:tc>
        <w:tc>
          <w:tcPr>
            <w:tcW w:w="1843" w:type="dxa"/>
            <w:vAlign w:val="center"/>
          </w:tcPr>
          <w:p w:rsidR="009E5250" w:rsidRPr="005667FC" w:rsidRDefault="00340F7D" w:rsidP="00FB15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580,-/1ks</w:t>
            </w:r>
          </w:p>
        </w:tc>
      </w:tr>
      <w:tr w:rsidR="009E5250" w:rsidTr="00D335CC">
        <w:trPr>
          <w:trHeight w:hRule="exact" w:val="397"/>
        </w:trPr>
        <w:tc>
          <w:tcPr>
            <w:tcW w:w="29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</w:tr>
      <w:tr w:rsidR="009E5250" w:rsidTr="00D335CC">
        <w:trPr>
          <w:trHeight w:hRule="exact" w:val="397"/>
        </w:trPr>
        <w:tc>
          <w:tcPr>
            <w:tcW w:w="29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</w:tr>
      <w:tr w:rsidR="009E5250" w:rsidTr="00D335CC">
        <w:trPr>
          <w:trHeight w:hRule="exact" w:val="397"/>
        </w:trPr>
        <w:tc>
          <w:tcPr>
            <w:tcW w:w="29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</w:tr>
      <w:tr w:rsidR="00FB155D" w:rsidTr="00D335CC">
        <w:trPr>
          <w:trHeight w:hRule="exact" w:val="397"/>
        </w:trPr>
        <w:tc>
          <w:tcPr>
            <w:tcW w:w="29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</w:tr>
      <w:tr w:rsidR="00FB155D" w:rsidTr="00D335CC">
        <w:trPr>
          <w:trHeight w:hRule="exact" w:val="397"/>
        </w:trPr>
        <w:tc>
          <w:tcPr>
            <w:tcW w:w="29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FB155D" w:rsidRPr="005667FC" w:rsidRDefault="00FB155D" w:rsidP="00FB155D">
            <w:pPr>
              <w:rPr>
                <w:rFonts w:asciiTheme="minorHAnsi" w:hAnsiTheme="minorHAnsi"/>
              </w:rPr>
            </w:pPr>
          </w:p>
        </w:tc>
      </w:tr>
      <w:tr w:rsidR="009E5250" w:rsidTr="00D335CC">
        <w:trPr>
          <w:trHeight w:hRule="exact" w:val="397"/>
        </w:trPr>
        <w:tc>
          <w:tcPr>
            <w:tcW w:w="29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vAlign w:val="center"/>
          </w:tcPr>
          <w:p w:rsidR="009E5250" w:rsidRPr="005667FC" w:rsidRDefault="009E5250" w:rsidP="00FB155D">
            <w:pPr>
              <w:rPr>
                <w:rFonts w:asciiTheme="minorHAnsi" w:hAnsiTheme="minorHAnsi"/>
              </w:rPr>
            </w:pPr>
          </w:p>
        </w:tc>
      </w:tr>
      <w:tr w:rsidR="00340F7D" w:rsidRPr="00FB155D" w:rsidTr="00D335CC">
        <w:trPr>
          <w:trHeight w:hRule="exact" w:val="397"/>
        </w:trPr>
        <w:tc>
          <w:tcPr>
            <w:tcW w:w="2943" w:type="dxa"/>
            <w:vAlign w:val="center"/>
          </w:tcPr>
          <w:p w:rsidR="00340F7D" w:rsidRPr="005667FC" w:rsidRDefault="00340F7D" w:rsidP="00FB155D">
            <w:pPr>
              <w:rPr>
                <w:rFonts w:asciiTheme="minorHAnsi" w:hAnsiTheme="minorHAnsi"/>
                <w:b/>
              </w:rPr>
            </w:pPr>
            <w:r w:rsidRPr="005667FC">
              <w:rPr>
                <w:rFonts w:asciiTheme="minorHAnsi" w:hAnsiTheme="minorHAnsi"/>
                <w:b/>
              </w:rPr>
              <w:t>CELKEM</w:t>
            </w:r>
          </w:p>
        </w:tc>
        <w:tc>
          <w:tcPr>
            <w:tcW w:w="2410" w:type="dxa"/>
            <w:vAlign w:val="center"/>
          </w:tcPr>
          <w:p w:rsidR="00340F7D" w:rsidRPr="005667FC" w:rsidRDefault="00340F7D" w:rsidP="003065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0,-</w:t>
            </w:r>
          </w:p>
        </w:tc>
        <w:tc>
          <w:tcPr>
            <w:tcW w:w="2835" w:type="dxa"/>
            <w:vAlign w:val="center"/>
          </w:tcPr>
          <w:p w:rsidR="00340F7D" w:rsidRPr="005667FC" w:rsidRDefault="00340F7D" w:rsidP="003065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580,-</w:t>
            </w:r>
          </w:p>
        </w:tc>
        <w:tc>
          <w:tcPr>
            <w:tcW w:w="1843" w:type="dxa"/>
            <w:vAlign w:val="center"/>
          </w:tcPr>
          <w:p w:rsidR="00340F7D" w:rsidRPr="005667FC" w:rsidRDefault="00340F7D" w:rsidP="003065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580,-/1ks</w:t>
            </w:r>
          </w:p>
        </w:tc>
      </w:tr>
    </w:tbl>
    <w:p w:rsidR="00C22CBD" w:rsidRDefault="00C22CBD"/>
    <w:sectPr w:rsidR="00C22CBD" w:rsidSect="00A221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36" w:rsidRDefault="00296436" w:rsidP="009B0C36">
      <w:r>
        <w:separator/>
      </w:r>
    </w:p>
  </w:endnote>
  <w:endnote w:type="continuationSeparator" w:id="0">
    <w:p w:rsidR="00296436" w:rsidRDefault="00296436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FD6359" w:rsidRDefault="00FD6359">
            <w:pPr>
              <w:pStyle w:val="Zpat"/>
              <w:jc w:val="center"/>
            </w:pPr>
          </w:p>
          <w:p w:rsidR="00FD6359" w:rsidRDefault="00E5140E">
            <w:pPr>
              <w:pStyle w:val="Zpat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FD6359" w:rsidRDefault="00FD6359">
            <w:pPr>
              <w:pStyle w:val="Zpat"/>
              <w:jc w:val="center"/>
              <w:rPr>
                <w:rFonts w:ascii="Calibri" w:hAnsi="Calibri" w:cs="Calibri"/>
                <w:b/>
                <w:sz w:val="22"/>
              </w:rPr>
            </w:pPr>
            <w:r w:rsidRPr="00FD6359">
              <w:rPr>
                <w:rFonts w:ascii="Calibri" w:hAnsi="Calibri" w:cs="Calibri"/>
                <w:sz w:val="22"/>
              </w:rPr>
              <w:t xml:space="preserve">Stránka </w:t>
            </w:r>
            <w:r w:rsidR="001D5861" w:rsidRPr="00FD6359">
              <w:rPr>
                <w:rFonts w:ascii="Calibri" w:hAnsi="Calibri" w:cs="Calibri"/>
                <w:b/>
                <w:sz w:val="22"/>
              </w:rPr>
              <w:fldChar w:fldCharType="begin"/>
            </w:r>
            <w:r w:rsidRPr="00FD6359">
              <w:rPr>
                <w:rFonts w:ascii="Calibri" w:hAnsi="Calibri" w:cs="Calibri"/>
                <w:b/>
                <w:sz w:val="22"/>
              </w:rPr>
              <w:instrText>PAGE</w:instrText>
            </w:r>
            <w:r w:rsidR="001D5861" w:rsidRPr="00FD6359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="00E5140E">
              <w:rPr>
                <w:rFonts w:ascii="Calibri" w:hAnsi="Calibri" w:cs="Calibri"/>
                <w:b/>
                <w:noProof/>
                <w:sz w:val="22"/>
              </w:rPr>
              <w:t>10</w:t>
            </w:r>
            <w:r w:rsidR="001D5861" w:rsidRPr="00FD6359">
              <w:rPr>
                <w:rFonts w:ascii="Calibri" w:hAnsi="Calibri" w:cs="Calibri"/>
                <w:b/>
                <w:sz w:val="22"/>
              </w:rPr>
              <w:fldChar w:fldCharType="end"/>
            </w:r>
            <w:r w:rsidRPr="00FD6359">
              <w:rPr>
                <w:rFonts w:ascii="Calibri" w:hAnsi="Calibri" w:cs="Calibri"/>
                <w:sz w:val="22"/>
              </w:rPr>
              <w:t xml:space="preserve"> z </w:t>
            </w:r>
            <w:r w:rsidR="001D5861" w:rsidRPr="00FD6359">
              <w:rPr>
                <w:rFonts w:ascii="Calibri" w:hAnsi="Calibri" w:cs="Calibri"/>
                <w:b/>
                <w:sz w:val="22"/>
              </w:rPr>
              <w:fldChar w:fldCharType="begin"/>
            </w:r>
            <w:r w:rsidRPr="00FD6359">
              <w:rPr>
                <w:rFonts w:ascii="Calibri" w:hAnsi="Calibri" w:cs="Calibri"/>
                <w:b/>
                <w:sz w:val="22"/>
              </w:rPr>
              <w:instrText>NUMPAGES</w:instrText>
            </w:r>
            <w:r w:rsidR="001D5861" w:rsidRPr="00FD6359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="00E5140E">
              <w:rPr>
                <w:rFonts w:ascii="Calibri" w:hAnsi="Calibri" w:cs="Calibri"/>
                <w:b/>
                <w:noProof/>
                <w:sz w:val="22"/>
              </w:rPr>
              <w:t>10</w:t>
            </w:r>
            <w:r w:rsidR="001D5861" w:rsidRPr="00FD6359">
              <w:rPr>
                <w:rFonts w:ascii="Calibri" w:hAnsi="Calibri" w:cs="Calibri"/>
                <w:b/>
                <w:sz w:val="22"/>
              </w:rPr>
              <w:fldChar w:fldCharType="end"/>
            </w:r>
          </w:p>
          <w:p w:rsidR="00FD6359" w:rsidRPr="00FD6359" w:rsidRDefault="00A22183" w:rsidP="00A22183">
            <w:pPr>
              <w:pStyle w:val="Zpa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ab/>
            </w:r>
            <w:r w:rsidR="00FD6359" w:rsidRPr="00FD6359">
              <w:rPr>
                <w:rFonts w:ascii="Calibri" w:hAnsi="Calibri" w:cs="Calibri"/>
                <w:sz w:val="20"/>
              </w:rPr>
              <w:t>KS k VZ SNO/FMP/2017/0</w:t>
            </w:r>
            <w:r w:rsidR="006644F1">
              <w:rPr>
                <w:rFonts w:ascii="Calibri" w:hAnsi="Calibri" w:cs="Calibri"/>
                <w:sz w:val="20"/>
              </w:rPr>
              <w:t>2</w:t>
            </w:r>
            <w:r w:rsidR="00FD6359" w:rsidRPr="00FD6359">
              <w:rPr>
                <w:rFonts w:ascii="Calibri" w:hAnsi="Calibri" w:cs="Calibri"/>
                <w:sz w:val="20"/>
              </w:rPr>
              <w:t>/pořízení zdravotnického vybavení pro SNO-2. etapa</w:t>
            </w:r>
          </w:p>
          <w:p w:rsidR="00FD6359" w:rsidRDefault="00FD6359">
            <w:pPr>
              <w:pStyle w:val="Zpat"/>
              <w:jc w:val="center"/>
            </w:pPr>
            <w:r w:rsidRPr="008B4D8F">
              <w:rPr>
                <w:rFonts w:asciiTheme="minorHAnsi" w:eastAsia="Calibri" w:hAnsiTheme="minorHAnsi"/>
                <w:sz w:val="16"/>
                <w:szCs w:val="16"/>
                <w:lang w:eastAsia="en-US"/>
              </w:rPr>
              <w:t>Tato dodávka bude spolufinancovaná Evropskou unií z Centra pro regionální rozvoj. Integrovaný regionální operační program. Číslo výzvy: 31 – Zvýšení kvality návazné péče. Prioritní osa: 06.2 Zkvalitnění veřejných služeb a podmínek života pro obyvatele regionů</w:t>
            </w:r>
          </w:p>
        </w:sdtContent>
      </w:sdt>
    </w:sdtContent>
  </w:sdt>
  <w:p w:rsidR="0055210D" w:rsidRDefault="005521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83" w:rsidRDefault="00A22183" w:rsidP="00A22183">
    <w:pPr>
      <w:pStyle w:val="Zpat"/>
    </w:pPr>
  </w:p>
  <w:p w:rsidR="00A22183" w:rsidRDefault="00E5140E" w:rsidP="00A22183">
    <w:pPr>
      <w:pStyle w:val="Zpat"/>
      <w:jc w:val="center"/>
    </w:pPr>
    <w:r>
      <w:pict>
        <v:rect id="_x0000_i1026" style="width:0;height:1.5pt" o:hralign="center" o:hrstd="t" o:hr="t" fillcolor="#a0a0a0" stroked="f"/>
      </w:pict>
    </w:r>
  </w:p>
  <w:p w:rsidR="00A22183" w:rsidRPr="00A22183" w:rsidRDefault="00A22183" w:rsidP="00A22183">
    <w:pPr>
      <w:pStyle w:val="Zpat"/>
      <w:jc w:val="center"/>
      <w:rPr>
        <w:rFonts w:asciiTheme="minorHAnsi" w:hAnsiTheme="minorHAnsi" w:cstheme="minorHAnsi"/>
        <w:b/>
        <w:sz w:val="22"/>
        <w:szCs w:val="22"/>
      </w:rPr>
    </w:pPr>
    <w:r w:rsidRPr="00A22183">
      <w:rPr>
        <w:rFonts w:asciiTheme="minorHAnsi" w:hAnsiTheme="minorHAnsi" w:cstheme="minorHAnsi"/>
        <w:b/>
        <w:sz w:val="22"/>
        <w:szCs w:val="22"/>
      </w:rPr>
      <w:t xml:space="preserve">Stránka </w:t>
    </w:r>
    <w:r>
      <w:rPr>
        <w:rFonts w:asciiTheme="minorHAnsi" w:hAnsiTheme="minorHAnsi" w:cstheme="minorHAnsi"/>
        <w:b/>
        <w:sz w:val="22"/>
        <w:szCs w:val="22"/>
      </w:rPr>
      <w:t>1</w:t>
    </w:r>
    <w:r w:rsidRPr="00A22183">
      <w:rPr>
        <w:rFonts w:asciiTheme="minorHAnsi" w:hAnsiTheme="minorHAnsi" w:cstheme="minorHAnsi"/>
        <w:b/>
        <w:sz w:val="22"/>
        <w:szCs w:val="22"/>
      </w:rPr>
      <w:t xml:space="preserve"> z 10</w:t>
    </w:r>
  </w:p>
  <w:p w:rsidR="00A22183" w:rsidRPr="00A22183" w:rsidRDefault="00A22183" w:rsidP="00A22183">
    <w:pPr>
      <w:pStyle w:val="Zpat"/>
      <w:rPr>
        <w:rFonts w:asciiTheme="minorHAnsi" w:hAnsiTheme="minorHAnsi" w:cstheme="minorHAnsi"/>
        <w:sz w:val="20"/>
        <w:szCs w:val="20"/>
      </w:rPr>
    </w:pPr>
    <w:r w:rsidRPr="00A22183">
      <w:rPr>
        <w:rFonts w:asciiTheme="minorHAnsi" w:hAnsiTheme="minorHAnsi" w:cstheme="minorHAnsi"/>
        <w:sz w:val="20"/>
        <w:szCs w:val="20"/>
      </w:rPr>
      <w:tab/>
      <w:t>KS k VZ SNO/FMP/2017/0</w:t>
    </w:r>
    <w:r w:rsidR="00FF1562">
      <w:rPr>
        <w:rFonts w:asciiTheme="minorHAnsi" w:hAnsiTheme="minorHAnsi" w:cstheme="minorHAnsi"/>
        <w:sz w:val="20"/>
        <w:szCs w:val="20"/>
      </w:rPr>
      <w:t>2</w:t>
    </w:r>
    <w:r w:rsidRPr="00A22183">
      <w:rPr>
        <w:rFonts w:asciiTheme="minorHAnsi" w:hAnsiTheme="minorHAnsi" w:cstheme="minorHAnsi"/>
        <w:sz w:val="20"/>
        <w:szCs w:val="20"/>
      </w:rPr>
      <w:t>/pořízení zdravotnického vybavení pro SNO-2. etapa</w:t>
    </w:r>
  </w:p>
  <w:p w:rsidR="00A22183" w:rsidRPr="00A22183" w:rsidRDefault="00A22183" w:rsidP="00A22183">
    <w:pPr>
      <w:pStyle w:val="Zpat"/>
      <w:jc w:val="center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16"/>
        <w:szCs w:val="16"/>
      </w:rPr>
      <w:t>Tato dodávka bude spolufinancovaná Evropskou unií z Centra pro regionální rozvoj. Integrovaný regionální operační program. Číslo výzvy: 31 – Zvýšení kvality návazné péče. Prioritní osa: 06.2 Zkvalitnění veřejných služeb a podmínek života pro obyvatele regionů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36" w:rsidRDefault="00296436" w:rsidP="009B0C36">
      <w:r>
        <w:separator/>
      </w:r>
    </w:p>
  </w:footnote>
  <w:footnote w:type="continuationSeparator" w:id="0">
    <w:p w:rsidR="00296436" w:rsidRDefault="00296436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  <w:r w:rsidR="00DC64C0">
      <w:rPr>
        <w:noProof/>
      </w:rPr>
      <w:drawing>
        <wp:inline distT="0" distB="0" distL="0" distR="0">
          <wp:extent cx="5759450" cy="6711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183" w:rsidRPr="00876FDC" w:rsidRDefault="00A22183" w:rsidP="00A22183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876FDC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1</w:t>
    </w:r>
    <w:r>
      <w:rPr>
        <w:sz w:val="16"/>
        <w:szCs w:val="16"/>
      </w:rPr>
      <w:t xml:space="preserve"> – Zadávací d</w:t>
    </w:r>
    <w:r w:rsidRPr="00876FDC">
      <w:rPr>
        <w:sz w:val="16"/>
        <w:szCs w:val="16"/>
      </w:rPr>
      <w:t>okumentace</w:t>
    </w:r>
    <w:r w:rsidRPr="00876FD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</w:t>
    </w:r>
    <w:r w:rsidRPr="00876FDC">
      <w:rPr>
        <w:sz w:val="16"/>
        <w:szCs w:val="16"/>
      </w:rPr>
      <w:t xml:space="preserve">Zadavatel: </w:t>
    </w:r>
  </w:p>
  <w:p w:rsidR="00A22183" w:rsidRPr="00876FDC" w:rsidRDefault="00A22183" w:rsidP="00A22183">
    <w:pPr>
      <w:pStyle w:val="Zhlav"/>
      <w:rPr>
        <w:sz w:val="16"/>
        <w:szCs w:val="16"/>
      </w:rPr>
    </w:pPr>
    <w:r>
      <w:rPr>
        <w:sz w:val="16"/>
        <w:szCs w:val="16"/>
      </w:rPr>
      <w:t xml:space="preserve">Kupní smlouva </w:t>
    </w:r>
    <w:r w:rsidRPr="00876FDC">
      <w:rPr>
        <w:sz w:val="16"/>
        <w:szCs w:val="16"/>
      </w:rPr>
      <w:tab/>
    </w:r>
    <w:r>
      <w:rPr>
        <w:sz w:val="16"/>
        <w:szCs w:val="16"/>
      </w:rPr>
      <w:tab/>
      <w:t>S</w:t>
    </w:r>
    <w:r w:rsidRPr="00876FDC">
      <w:rPr>
        <w:sz w:val="16"/>
        <w:szCs w:val="16"/>
      </w:rPr>
      <w:t>lezská nemocnice v Opavě, příspěvková org.</w:t>
    </w:r>
  </w:p>
  <w:p w:rsidR="00A22183" w:rsidRPr="00876FDC" w:rsidRDefault="00A22183" w:rsidP="00A22183">
    <w:pPr>
      <w:pStyle w:val="Zhlav"/>
      <w:rPr>
        <w:sz w:val="16"/>
        <w:szCs w:val="16"/>
      </w:rPr>
    </w:pPr>
  </w:p>
  <w:p w:rsidR="00A22183" w:rsidRPr="00876FDC" w:rsidRDefault="00A22183" w:rsidP="00A22183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:rsidR="00A22183" w:rsidRDefault="00A22183" w:rsidP="00A22183">
    <w:pPr>
      <w:pStyle w:val="Zhlav"/>
      <w:pBdr>
        <w:bottom w:val="single" w:sz="6" w:space="1" w:color="auto"/>
      </w:pBdr>
      <w:rPr>
        <w:sz w:val="16"/>
        <w:szCs w:val="16"/>
      </w:rPr>
    </w:pPr>
    <w:r w:rsidRPr="00876FDC">
      <w:rPr>
        <w:sz w:val="16"/>
        <w:szCs w:val="16"/>
      </w:rPr>
      <w:t>„Pořízení zdravotnického vybavení pro Slezskou nemocnici v Opavě, p. o. – 2. etapa“</w:t>
    </w:r>
  </w:p>
  <w:p w:rsidR="00A22183" w:rsidRDefault="00A22183" w:rsidP="00A22183">
    <w:pPr>
      <w:pStyle w:val="Zhlav"/>
    </w:pPr>
  </w:p>
  <w:p w:rsidR="00A22183" w:rsidRDefault="00A22183" w:rsidP="00A22183">
    <w:pPr>
      <w:pStyle w:val="Zhlav"/>
    </w:pPr>
    <w:r>
      <w:rPr>
        <w:noProof/>
      </w:rPr>
      <w:drawing>
        <wp:inline distT="0" distB="0" distL="0" distR="0">
          <wp:extent cx="5759450" cy="6711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2183" w:rsidRDefault="00A221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5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7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21"/>
  </w:num>
  <w:num w:numId="9">
    <w:abstractNumId w:val="4"/>
  </w:num>
  <w:num w:numId="10">
    <w:abstractNumId w:val="17"/>
  </w:num>
  <w:num w:numId="11">
    <w:abstractNumId w:val="9"/>
  </w:num>
  <w:num w:numId="12">
    <w:abstractNumId w:val="14"/>
  </w:num>
  <w:num w:numId="13">
    <w:abstractNumId w:val="12"/>
  </w:num>
  <w:num w:numId="14">
    <w:abstractNumId w:val="18"/>
  </w:num>
  <w:num w:numId="15">
    <w:abstractNumId w:val="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11"/>
  </w:num>
  <w:num w:numId="22">
    <w:abstractNumId w:val="1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A9"/>
    <w:rsid w:val="00036D74"/>
    <w:rsid w:val="00060C8E"/>
    <w:rsid w:val="00070A32"/>
    <w:rsid w:val="000724BF"/>
    <w:rsid w:val="000D36BA"/>
    <w:rsid w:val="00120FA0"/>
    <w:rsid w:val="00125B5B"/>
    <w:rsid w:val="00173BE6"/>
    <w:rsid w:val="0018224F"/>
    <w:rsid w:val="00183F7F"/>
    <w:rsid w:val="001A165A"/>
    <w:rsid w:val="001B596A"/>
    <w:rsid w:val="001D581A"/>
    <w:rsid w:val="001D5861"/>
    <w:rsid w:val="001D792C"/>
    <w:rsid w:val="001F2F85"/>
    <w:rsid w:val="002168F1"/>
    <w:rsid w:val="0022065C"/>
    <w:rsid w:val="00252EDF"/>
    <w:rsid w:val="00254B7C"/>
    <w:rsid w:val="002627D2"/>
    <w:rsid w:val="002845C1"/>
    <w:rsid w:val="00296436"/>
    <w:rsid w:val="002F5FD2"/>
    <w:rsid w:val="00313EE2"/>
    <w:rsid w:val="00324C1F"/>
    <w:rsid w:val="00340F7D"/>
    <w:rsid w:val="003430C4"/>
    <w:rsid w:val="0034495D"/>
    <w:rsid w:val="00371E40"/>
    <w:rsid w:val="00377317"/>
    <w:rsid w:val="00384616"/>
    <w:rsid w:val="003F65CD"/>
    <w:rsid w:val="00404291"/>
    <w:rsid w:val="00462F7D"/>
    <w:rsid w:val="00464D2C"/>
    <w:rsid w:val="004722AB"/>
    <w:rsid w:val="004759DF"/>
    <w:rsid w:val="00485D3F"/>
    <w:rsid w:val="004A44B7"/>
    <w:rsid w:val="004A6ACE"/>
    <w:rsid w:val="004C499D"/>
    <w:rsid w:val="004C684E"/>
    <w:rsid w:val="004E44C6"/>
    <w:rsid w:val="0053054B"/>
    <w:rsid w:val="00541181"/>
    <w:rsid w:val="0055210D"/>
    <w:rsid w:val="00562ECE"/>
    <w:rsid w:val="00562FA5"/>
    <w:rsid w:val="005667FC"/>
    <w:rsid w:val="00582AD2"/>
    <w:rsid w:val="00595449"/>
    <w:rsid w:val="005D13F6"/>
    <w:rsid w:val="005E45F0"/>
    <w:rsid w:val="005F253D"/>
    <w:rsid w:val="006013B3"/>
    <w:rsid w:val="00647A96"/>
    <w:rsid w:val="006644F1"/>
    <w:rsid w:val="006A36A9"/>
    <w:rsid w:val="006A66D0"/>
    <w:rsid w:val="006B6AD8"/>
    <w:rsid w:val="006C68BC"/>
    <w:rsid w:val="006E112B"/>
    <w:rsid w:val="006F4943"/>
    <w:rsid w:val="00724329"/>
    <w:rsid w:val="00730495"/>
    <w:rsid w:val="00740349"/>
    <w:rsid w:val="00756F6B"/>
    <w:rsid w:val="00782111"/>
    <w:rsid w:val="00784323"/>
    <w:rsid w:val="007915AF"/>
    <w:rsid w:val="007F3550"/>
    <w:rsid w:val="008159BA"/>
    <w:rsid w:val="00816E91"/>
    <w:rsid w:val="00820A88"/>
    <w:rsid w:val="0087313E"/>
    <w:rsid w:val="00885D47"/>
    <w:rsid w:val="00886AE5"/>
    <w:rsid w:val="00890709"/>
    <w:rsid w:val="008A7807"/>
    <w:rsid w:val="008F2185"/>
    <w:rsid w:val="00913E17"/>
    <w:rsid w:val="009143AC"/>
    <w:rsid w:val="009A5D2F"/>
    <w:rsid w:val="009B0C36"/>
    <w:rsid w:val="009C171B"/>
    <w:rsid w:val="009C4C43"/>
    <w:rsid w:val="009E5250"/>
    <w:rsid w:val="009F12A2"/>
    <w:rsid w:val="009F3A86"/>
    <w:rsid w:val="00A1327B"/>
    <w:rsid w:val="00A22183"/>
    <w:rsid w:val="00A32B70"/>
    <w:rsid w:val="00A36F2B"/>
    <w:rsid w:val="00A45DE6"/>
    <w:rsid w:val="00A6153B"/>
    <w:rsid w:val="00A84E6D"/>
    <w:rsid w:val="00A94CB1"/>
    <w:rsid w:val="00A97DF3"/>
    <w:rsid w:val="00AA0A1C"/>
    <w:rsid w:val="00AD7ACD"/>
    <w:rsid w:val="00AE1F0F"/>
    <w:rsid w:val="00AF367E"/>
    <w:rsid w:val="00AF7FBA"/>
    <w:rsid w:val="00B539F1"/>
    <w:rsid w:val="00B91721"/>
    <w:rsid w:val="00BB6A4B"/>
    <w:rsid w:val="00BF2FC2"/>
    <w:rsid w:val="00C22CBD"/>
    <w:rsid w:val="00C23B31"/>
    <w:rsid w:val="00C96C5E"/>
    <w:rsid w:val="00CA216B"/>
    <w:rsid w:val="00CC3673"/>
    <w:rsid w:val="00D026F4"/>
    <w:rsid w:val="00D2701F"/>
    <w:rsid w:val="00D335CC"/>
    <w:rsid w:val="00D34575"/>
    <w:rsid w:val="00D71975"/>
    <w:rsid w:val="00D8774B"/>
    <w:rsid w:val="00DC64C0"/>
    <w:rsid w:val="00E3141B"/>
    <w:rsid w:val="00E5140E"/>
    <w:rsid w:val="00E702F2"/>
    <w:rsid w:val="00F204CF"/>
    <w:rsid w:val="00F24E27"/>
    <w:rsid w:val="00F63D94"/>
    <w:rsid w:val="00F65150"/>
    <w:rsid w:val="00FB155D"/>
    <w:rsid w:val="00FC5BCF"/>
    <w:rsid w:val="00FD6359"/>
    <w:rsid w:val="00FE3AF9"/>
    <w:rsid w:val="00FE69B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6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6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nemocnice.opava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2912</Words>
  <Characters>17181</Characters>
  <Application>Microsoft Office Word</Application>
  <DocSecurity>4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Renáta Mrkvová</cp:lastModifiedBy>
  <cp:revision>2</cp:revision>
  <cp:lastPrinted>2017-12-15T08:40:00Z</cp:lastPrinted>
  <dcterms:created xsi:type="dcterms:W3CDTF">2018-03-08T12:41:00Z</dcterms:created>
  <dcterms:modified xsi:type="dcterms:W3CDTF">2018-03-08T12:41:00Z</dcterms:modified>
</cp:coreProperties>
</file>