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779" w:rsidRDefault="001239C0">
      <w:pPr>
        <w:spacing w:after="27" w:line="259" w:lineRule="auto"/>
        <w:ind w:left="-125" w:right="-989" w:firstLine="0"/>
        <w:jc w:val="left"/>
      </w:pPr>
      <w:r>
        <w:rPr>
          <w:noProof/>
        </w:rPr>
        <w:drawing>
          <wp:inline distT="0" distB="0" distL="0" distR="0">
            <wp:extent cx="6629400" cy="960394"/>
            <wp:effectExtent l="0" t="0" r="0" b="0"/>
            <wp:docPr id="15990" name="Picture 15990"/>
            <wp:cNvGraphicFramePr/>
            <a:graphic xmlns:a="http://schemas.openxmlformats.org/drawingml/2006/main">
              <a:graphicData uri="http://schemas.openxmlformats.org/drawingml/2006/picture">
                <pic:pic xmlns:pic="http://schemas.openxmlformats.org/drawingml/2006/picture">
                  <pic:nvPicPr>
                    <pic:cNvPr id="15990" name="Picture 15990"/>
                    <pic:cNvPicPr/>
                  </pic:nvPicPr>
                  <pic:blipFill>
                    <a:blip r:embed="rId7"/>
                    <a:stretch>
                      <a:fillRect/>
                    </a:stretch>
                  </pic:blipFill>
                  <pic:spPr>
                    <a:xfrm>
                      <a:off x="0" y="0"/>
                      <a:ext cx="6629400" cy="960394"/>
                    </a:xfrm>
                    <a:prstGeom prst="rect">
                      <a:avLst/>
                    </a:prstGeom>
                  </pic:spPr>
                </pic:pic>
              </a:graphicData>
            </a:graphic>
          </wp:inline>
        </w:drawing>
      </w:r>
    </w:p>
    <w:p w:rsidR="00033779" w:rsidRDefault="001239C0">
      <w:pPr>
        <w:spacing w:after="0" w:line="259" w:lineRule="auto"/>
        <w:ind w:left="0" w:right="158" w:firstLine="0"/>
        <w:jc w:val="center"/>
      </w:pPr>
      <w:r>
        <w:rPr>
          <w:sz w:val="56"/>
        </w:rPr>
        <w:t>S M LO UVA O ZAJ I Š Ť OVÁ N Í</w:t>
      </w:r>
    </w:p>
    <w:p w:rsidR="00033779" w:rsidRDefault="001239C0">
      <w:pPr>
        <w:pStyle w:val="Nadpis1"/>
      </w:pPr>
      <w:r>
        <w:t>P RACOVN Ě L É KAŘS KÝC H S L U Ž E B</w:t>
      </w:r>
    </w:p>
    <w:tbl>
      <w:tblPr>
        <w:tblStyle w:val="TableGrid"/>
        <w:tblpPr w:vertAnchor="text" w:tblpX="7834" w:tblpY="106"/>
        <w:tblOverlap w:val="never"/>
        <w:tblW w:w="2653" w:type="dxa"/>
        <w:tblInd w:w="0" w:type="dxa"/>
        <w:tblCellMar>
          <w:top w:w="0" w:type="dxa"/>
          <w:left w:w="0" w:type="dxa"/>
          <w:bottom w:w="0" w:type="dxa"/>
          <w:right w:w="0" w:type="dxa"/>
        </w:tblCellMar>
        <w:tblLook w:val="04A0" w:firstRow="1" w:lastRow="0" w:firstColumn="1" w:lastColumn="0" w:noHBand="0" w:noVBand="1"/>
      </w:tblPr>
      <w:tblGrid>
        <w:gridCol w:w="23"/>
        <w:gridCol w:w="9303"/>
      </w:tblGrid>
      <w:tr w:rsidR="00033779">
        <w:trPr>
          <w:trHeight w:val="242"/>
        </w:trPr>
        <w:tc>
          <w:tcPr>
            <w:tcW w:w="55" w:type="dxa"/>
            <w:tcBorders>
              <w:top w:val="nil"/>
              <w:left w:val="nil"/>
              <w:bottom w:val="nil"/>
              <w:right w:val="nil"/>
            </w:tcBorders>
            <w:vAlign w:val="bottom"/>
          </w:tcPr>
          <w:p w:rsidR="00033779" w:rsidRDefault="001239C0">
            <w:pPr>
              <w:spacing w:after="0" w:line="259" w:lineRule="auto"/>
              <w:ind w:left="0" w:firstLine="0"/>
              <w:jc w:val="left"/>
            </w:pPr>
            <w:r>
              <w:rPr>
                <w:noProof/>
              </w:rPr>
              <w:drawing>
                <wp:inline distT="0" distB="0" distL="0" distR="0">
                  <wp:extent cx="12192" cy="57929"/>
                  <wp:effectExtent l="0" t="0" r="0" b="0"/>
                  <wp:docPr id="15994" name="Picture 15994"/>
                  <wp:cNvGraphicFramePr/>
                  <a:graphic xmlns:a="http://schemas.openxmlformats.org/drawingml/2006/main">
                    <a:graphicData uri="http://schemas.openxmlformats.org/drawingml/2006/picture">
                      <pic:pic xmlns:pic="http://schemas.openxmlformats.org/drawingml/2006/picture">
                        <pic:nvPicPr>
                          <pic:cNvPr id="15994" name="Picture 15994"/>
                          <pic:cNvPicPr/>
                        </pic:nvPicPr>
                        <pic:blipFill>
                          <a:blip r:embed="rId8"/>
                          <a:stretch>
                            <a:fillRect/>
                          </a:stretch>
                        </pic:blipFill>
                        <pic:spPr>
                          <a:xfrm>
                            <a:off x="0" y="0"/>
                            <a:ext cx="12192" cy="57929"/>
                          </a:xfrm>
                          <a:prstGeom prst="rect">
                            <a:avLst/>
                          </a:prstGeom>
                        </pic:spPr>
                      </pic:pic>
                    </a:graphicData>
                  </a:graphic>
                </wp:inline>
              </w:drawing>
            </w:r>
          </w:p>
        </w:tc>
        <w:tc>
          <w:tcPr>
            <w:tcW w:w="2597" w:type="dxa"/>
            <w:vMerge w:val="restart"/>
            <w:tcBorders>
              <w:top w:val="nil"/>
              <w:left w:val="nil"/>
              <w:bottom w:val="nil"/>
              <w:right w:val="nil"/>
            </w:tcBorders>
          </w:tcPr>
          <w:p w:rsidR="00033779" w:rsidRDefault="00033779">
            <w:pPr>
              <w:spacing w:after="0" w:line="259" w:lineRule="auto"/>
              <w:ind w:left="-9214" w:right="11811" w:firstLine="0"/>
              <w:jc w:val="left"/>
            </w:pPr>
          </w:p>
          <w:tbl>
            <w:tblPr>
              <w:tblStyle w:val="TableGrid"/>
              <w:tblW w:w="2571" w:type="dxa"/>
              <w:tblInd w:w="26" w:type="dxa"/>
              <w:tblCellMar>
                <w:top w:w="0" w:type="dxa"/>
                <w:left w:w="0" w:type="dxa"/>
                <w:bottom w:w="0" w:type="dxa"/>
                <w:right w:w="115" w:type="dxa"/>
              </w:tblCellMar>
              <w:tblLook w:val="04A0" w:firstRow="1" w:lastRow="0" w:firstColumn="1" w:lastColumn="0" w:noHBand="0" w:noVBand="1"/>
            </w:tblPr>
            <w:tblGrid>
              <w:gridCol w:w="2571"/>
            </w:tblGrid>
            <w:tr w:rsidR="00033779">
              <w:trPr>
                <w:trHeight w:val="243"/>
              </w:trPr>
              <w:tc>
                <w:tcPr>
                  <w:tcW w:w="2571" w:type="dxa"/>
                  <w:tcBorders>
                    <w:top w:val="nil"/>
                    <w:left w:val="nil"/>
                    <w:bottom w:val="nil"/>
                    <w:right w:val="single" w:sz="2" w:space="0" w:color="000000"/>
                  </w:tcBorders>
                </w:tcPr>
                <w:p w:rsidR="00033779" w:rsidRDefault="001239C0">
                  <w:pPr>
                    <w:framePr w:wrap="around" w:vAnchor="text" w:hAnchor="text" w:x="7834" w:y="106"/>
                    <w:spacing w:after="0" w:line="259" w:lineRule="auto"/>
                    <w:ind w:left="91" w:firstLine="0"/>
                    <w:suppressOverlap/>
                    <w:jc w:val="left"/>
                  </w:pPr>
                  <w:r>
                    <w:rPr>
                      <w:sz w:val="18"/>
                      <w:u w:val="single" w:color="000000"/>
                    </w:rPr>
                    <w:t>Zdravotni út)</w:t>
                  </w:r>
                  <w:r>
                    <w:rPr>
                      <w:sz w:val="18"/>
                    </w:rPr>
                    <w:t>tav úd n Labem</w:t>
                  </w:r>
                </w:p>
              </w:tc>
            </w:tr>
            <w:tr w:rsidR="00033779">
              <w:trPr>
                <w:trHeight w:val="379"/>
              </w:trPr>
              <w:tc>
                <w:tcPr>
                  <w:tcW w:w="2571" w:type="dxa"/>
                  <w:tcBorders>
                    <w:top w:val="nil"/>
                    <w:left w:val="nil"/>
                    <w:bottom w:val="single" w:sz="2" w:space="0" w:color="000000"/>
                    <w:right w:val="single" w:sz="2" w:space="0" w:color="000000"/>
                  </w:tcBorders>
                </w:tcPr>
                <w:p w:rsidR="00033779" w:rsidRDefault="001239C0">
                  <w:pPr>
                    <w:framePr w:wrap="around" w:vAnchor="text" w:hAnchor="text" w:x="7834" w:y="106"/>
                    <w:tabs>
                      <w:tab w:val="center" w:pos="1769"/>
                    </w:tabs>
                    <w:spacing w:after="0" w:line="259" w:lineRule="auto"/>
                    <w:ind w:left="0" w:firstLine="0"/>
                    <w:suppressOverlap/>
                    <w:jc w:val="left"/>
                  </w:pPr>
                  <w:r>
                    <w:rPr>
                      <w:sz w:val="20"/>
                    </w:rPr>
                    <w:t xml:space="preserve">Došlo, 1 4. </w:t>
                  </w:r>
                  <w:r>
                    <w:rPr>
                      <w:sz w:val="20"/>
                    </w:rPr>
                    <w:tab/>
                    <w:t>2017</w:t>
                  </w:r>
                </w:p>
              </w:tc>
            </w:tr>
            <w:tr w:rsidR="00033779">
              <w:trPr>
                <w:trHeight w:val="372"/>
              </w:trPr>
              <w:tc>
                <w:tcPr>
                  <w:tcW w:w="2571" w:type="dxa"/>
                  <w:tcBorders>
                    <w:top w:val="single" w:sz="2" w:space="0" w:color="000000"/>
                    <w:left w:val="nil"/>
                    <w:bottom w:val="nil"/>
                    <w:right w:val="single" w:sz="2" w:space="0" w:color="000000"/>
                  </w:tcBorders>
                </w:tcPr>
                <w:p w:rsidR="00033779" w:rsidRDefault="00033779">
                  <w:pPr>
                    <w:framePr w:wrap="around" w:vAnchor="text" w:hAnchor="text" w:x="7834" w:y="106"/>
                    <w:spacing w:after="0" w:line="259" w:lineRule="auto"/>
                    <w:ind w:left="-139" w:firstLine="0"/>
                    <w:suppressOverlap/>
                    <w:jc w:val="left"/>
                  </w:pPr>
                </w:p>
              </w:tc>
            </w:tr>
          </w:tbl>
          <w:p w:rsidR="00033779" w:rsidRDefault="00033779">
            <w:pPr>
              <w:spacing w:after="160" w:line="259" w:lineRule="auto"/>
              <w:ind w:left="0" w:firstLine="0"/>
              <w:jc w:val="left"/>
            </w:pPr>
          </w:p>
        </w:tc>
      </w:tr>
      <w:tr w:rsidR="00033779">
        <w:trPr>
          <w:trHeight w:val="379"/>
        </w:trPr>
        <w:tc>
          <w:tcPr>
            <w:tcW w:w="55" w:type="dxa"/>
            <w:tcBorders>
              <w:top w:val="nil"/>
              <w:left w:val="nil"/>
              <w:bottom w:val="nil"/>
              <w:right w:val="nil"/>
            </w:tcBorders>
          </w:tcPr>
          <w:p w:rsidR="00033779" w:rsidRDefault="001239C0">
            <w:pPr>
              <w:spacing w:after="0" w:line="259" w:lineRule="auto"/>
              <w:ind w:left="5" w:firstLine="0"/>
              <w:jc w:val="left"/>
            </w:pPr>
            <w:r>
              <w:rPr>
                <w:noProof/>
              </w:rPr>
              <w:drawing>
                <wp:inline distT="0" distB="0" distL="0" distR="0">
                  <wp:extent cx="15240" cy="121955"/>
                  <wp:effectExtent l="0" t="0" r="0" b="0"/>
                  <wp:docPr id="15998" name="Picture 15998"/>
                  <wp:cNvGraphicFramePr/>
                  <a:graphic xmlns:a="http://schemas.openxmlformats.org/drawingml/2006/main">
                    <a:graphicData uri="http://schemas.openxmlformats.org/drawingml/2006/picture">
                      <pic:pic xmlns:pic="http://schemas.openxmlformats.org/drawingml/2006/picture">
                        <pic:nvPicPr>
                          <pic:cNvPr id="15998" name="Picture 15998"/>
                          <pic:cNvPicPr/>
                        </pic:nvPicPr>
                        <pic:blipFill>
                          <a:blip r:embed="rId9"/>
                          <a:stretch>
                            <a:fillRect/>
                          </a:stretch>
                        </pic:blipFill>
                        <pic:spPr>
                          <a:xfrm>
                            <a:off x="0" y="0"/>
                            <a:ext cx="15240" cy="121955"/>
                          </a:xfrm>
                          <a:prstGeom prst="rect">
                            <a:avLst/>
                          </a:prstGeom>
                        </pic:spPr>
                      </pic:pic>
                    </a:graphicData>
                  </a:graphic>
                </wp:inline>
              </w:drawing>
            </w:r>
          </w:p>
        </w:tc>
        <w:tc>
          <w:tcPr>
            <w:tcW w:w="0" w:type="auto"/>
            <w:vMerge/>
            <w:tcBorders>
              <w:top w:val="nil"/>
              <w:left w:val="nil"/>
              <w:bottom w:val="nil"/>
              <w:right w:val="nil"/>
            </w:tcBorders>
          </w:tcPr>
          <w:p w:rsidR="00033779" w:rsidRDefault="00033779">
            <w:pPr>
              <w:spacing w:after="160" w:line="259" w:lineRule="auto"/>
              <w:ind w:left="0" w:firstLine="0"/>
              <w:jc w:val="left"/>
            </w:pPr>
          </w:p>
        </w:tc>
      </w:tr>
      <w:tr w:rsidR="00033779">
        <w:trPr>
          <w:trHeight w:val="372"/>
        </w:trPr>
        <w:tc>
          <w:tcPr>
            <w:tcW w:w="55" w:type="dxa"/>
            <w:tcBorders>
              <w:top w:val="nil"/>
              <w:left w:val="nil"/>
              <w:bottom w:val="nil"/>
              <w:right w:val="nil"/>
            </w:tcBorders>
          </w:tcPr>
          <w:p w:rsidR="00033779" w:rsidRDefault="001239C0">
            <w:pPr>
              <w:spacing w:after="0" w:line="259" w:lineRule="auto"/>
              <w:ind w:left="10" w:firstLine="0"/>
              <w:jc w:val="left"/>
            </w:pPr>
            <w:r>
              <w:rPr>
                <w:noProof/>
              </w:rPr>
              <w:drawing>
                <wp:inline distT="0" distB="0" distL="0" distR="0">
                  <wp:extent cx="12192" cy="57928"/>
                  <wp:effectExtent l="0" t="0" r="0" b="0"/>
                  <wp:docPr id="16000" name="Picture 16000"/>
                  <wp:cNvGraphicFramePr/>
                  <a:graphic xmlns:a="http://schemas.openxmlformats.org/drawingml/2006/main">
                    <a:graphicData uri="http://schemas.openxmlformats.org/drawingml/2006/picture">
                      <pic:pic xmlns:pic="http://schemas.openxmlformats.org/drawingml/2006/picture">
                        <pic:nvPicPr>
                          <pic:cNvPr id="16000" name="Picture 16000"/>
                          <pic:cNvPicPr/>
                        </pic:nvPicPr>
                        <pic:blipFill>
                          <a:blip r:embed="rId10"/>
                          <a:stretch>
                            <a:fillRect/>
                          </a:stretch>
                        </pic:blipFill>
                        <pic:spPr>
                          <a:xfrm>
                            <a:off x="0" y="0"/>
                            <a:ext cx="12192" cy="57928"/>
                          </a:xfrm>
                          <a:prstGeom prst="rect">
                            <a:avLst/>
                          </a:prstGeom>
                        </pic:spPr>
                      </pic:pic>
                    </a:graphicData>
                  </a:graphic>
                </wp:inline>
              </w:drawing>
            </w:r>
          </w:p>
        </w:tc>
        <w:tc>
          <w:tcPr>
            <w:tcW w:w="0" w:type="auto"/>
            <w:vMerge/>
            <w:tcBorders>
              <w:top w:val="nil"/>
              <w:left w:val="nil"/>
              <w:bottom w:val="nil"/>
              <w:right w:val="nil"/>
            </w:tcBorders>
          </w:tcPr>
          <w:p w:rsidR="00033779" w:rsidRDefault="00033779">
            <w:pPr>
              <w:spacing w:after="160" w:line="259" w:lineRule="auto"/>
              <w:ind w:left="0" w:firstLine="0"/>
              <w:jc w:val="left"/>
            </w:pPr>
          </w:p>
        </w:tc>
      </w:tr>
    </w:tbl>
    <w:p w:rsidR="00033779" w:rsidRDefault="001239C0">
      <w:pPr>
        <w:spacing w:after="556" w:line="259" w:lineRule="auto"/>
        <w:ind w:left="3264" w:right="1474" w:firstLine="0"/>
        <w:jc w:val="left"/>
      </w:pPr>
      <w:r>
        <w:rPr>
          <w:sz w:val="34"/>
        </w:rPr>
        <w:t>č. 2/OPL/KO</w:t>
      </w:r>
      <w:r>
        <w:rPr>
          <w:noProof/>
        </w:rPr>
        <w:drawing>
          <wp:inline distT="0" distB="0" distL="0" distR="0">
            <wp:extent cx="502920" cy="30489"/>
            <wp:effectExtent l="0" t="0" r="0" b="0"/>
            <wp:docPr id="15992" name="Picture 15992"/>
            <wp:cNvGraphicFramePr/>
            <a:graphic xmlns:a="http://schemas.openxmlformats.org/drawingml/2006/main">
              <a:graphicData uri="http://schemas.openxmlformats.org/drawingml/2006/picture">
                <pic:pic xmlns:pic="http://schemas.openxmlformats.org/drawingml/2006/picture">
                  <pic:nvPicPr>
                    <pic:cNvPr id="15992" name="Picture 15992"/>
                    <pic:cNvPicPr/>
                  </pic:nvPicPr>
                  <pic:blipFill>
                    <a:blip r:embed="rId11"/>
                    <a:stretch>
                      <a:fillRect/>
                    </a:stretch>
                  </pic:blipFill>
                  <pic:spPr>
                    <a:xfrm>
                      <a:off x="0" y="0"/>
                      <a:ext cx="502920" cy="30489"/>
                    </a:xfrm>
                    <a:prstGeom prst="rect">
                      <a:avLst/>
                    </a:prstGeom>
                  </pic:spPr>
                </pic:pic>
              </a:graphicData>
            </a:graphic>
          </wp:inline>
        </w:drawing>
      </w:r>
    </w:p>
    <w:p w:rsidR="00033779" w:rsidRDefault="001239C0">
      <w:pPr>
        <w:spacing w:after="82" w:line="259" w:lineRule="auto"/>
        <w:ind w:left="10" w:right="53"/>
        <w:jc w:val="center"/>
      </w:pPr>
      <w:r>
        <w:rPr>
          <w:sz w:val="28"/>
        </w:rPr>
        <w:t>Smluvní strany</w:t>
      </w:r>
    </w:p>
    <w:p w:rsidR="00033779" w:rsidRDefault="001239C0">
      <w:pPr>
        <w:spacing w:after="47" w:line="216" w:lineRule="auto"/>
        <w:ind w:right="33"/>
      </w:pPr>
      <w:r>
        <w:rPr>
          <w:sz w:val="26"/>
        </w:rPr>
        <w:t>Objednatel:</w:t>
      </w:r>
    </w:p>
    <w:p w:rsidR="00033779" w:rsidRDefault="001239C0">
      <w:pPr>
        <w:spacing w:after="0" w:line="259" w:lineRule="auto"/>
        <w:ind w:left="19"/>
        <w:jc w:val="left"/>
      </w:pPr>
      <w:r>
        <w:rPr>
          <w:sz w:val="28"/>
        </w:rPr>
        <w:t>Firma Tsubaki Automotive Czech Republic s.r.o.</w:t>
      </w:r>
    </w:p>
    <w:p w:rsidR="00033779" w:rsidRDefault="001239C0">
      <w:pPr>
        <w:spacing w:after="0" w:line="216" w:lineRule="auto"/>
        <w:ind w:right="33"/>
      </w:pPr>
      <w:r>
        <w:rPr>
          <w:sz w:val="26"/>
        </w:rPr>
        <w:t xml:space="preserve">zapsaná v obchodním rejstříku vedeném u městského soudu v Praze oddíl C, </w:t>
      </w:r>
      <w:r>
        <w:rPr>
          <w:sz w:val="26"/>
        </w:rPr>
        <w:t xml:space="preserve">vložka 243 122 </w:t>
      </w:r>
      <w:r>
        <w:rPr>
          <w:sz w:val="26"/>
        </w:rPr>
        <w:t>Sídlo: č.p. 295, 280 02, OVČÁRY</w:t>
      </w:r>
    </w:p>
    <w:p w:rsidR="00033779" w:rsidRDefault="001239C0">
      <w:pPr>
        <w:ind w:right="33"/>
      </w:pPr>
      <w:r>
        <w:t>Zastoupen: Mitsuru Uchida</w:t>
      </w:r>
    </w:p>
    <w:p w:rsidR="00033779" w:rsidRDefault="001239C0">
      <w:pPr>
        <w:ind w:right="33"/>
      </w:pPr>
      <w:r>
        <w:t>IC: 04223012</w:t>
      </w:r>
    </w:p>
    <w:p w:rsidR="00033779" w:rsidRDefault="001239C0">
      <w:pPr>
        <w:spacing w:after="47" w:line="216" w:lineRule="auto"/>
        <w:ind w:right="33"/>
      </w:pPr>
      <w:r>
        <w:rPr>
          <w:sz w:val="26"/>
        </w:rPr>
        <w:t>DIČ: CZ04223012</w:t>
      </w:r>
    </w:p>
    <w:p w:rsidR="00033779" w:rsidRDefault="001239C0">
      <w:pPr>
        <w:spacing w:after="223"/>
        <w:ind w:right="33"/>
      </w:pPr>
      <w:r>
        <w:t>Bankovní spojení</w:t>
      </w:r>
      <w:r w:rsidRPr="001239C0">
        <w:rPr>
          <w:highlight w:val="black"/>
        </w:rPr>
        <w:t>: 115-264950237/0100</w:t>
      </w:r>
    </w:p>
    <w:p w:rsidR="00033779" w:rsidRDefault="001239C0">
      <w:pPr>
        <w:spacing w:after="104" w:line="259" w:lineRule="auto"/>
        <w:ind w:left="0" w:right="43" w:firstLine="0"/>
        <w:jc w:val="center"/>
      </w:pPr>
      <w:r>
        <w:rPr>
          <w:sz w:val="32"/>
        </w:rPr>
        <w:t>a</w:t>
      </w:r>
    </w:p>
    <w:p w:rsidR="00033779" w:rsidRDefault="001239C0">
      <w:pPr>
        <w:spacing w:after="0" w:line="259" w:lineRule="auto"/>
        <w:ind w:left="19"/>
        <w:jc w:val="left"/>
      </w:pPr>
      <w:r>
        <w:rPr>
          <w:sz w:val="28"/>
        </w:rPr>
        <w:t>Poskytovatel:</w:t>
      </w:r>
    </w:p>
    <w:p w:rsidR="00033779" w:rsidRDefault="001239C0">
      <w:pPr>
        <w:spacing w:after="20" w:line="216" w:lineRule="auto"/>
        <w:ind w:right="33"/>
      </w:pPr>
      <w:r>
        <w:rPr>
          <w:sz w:val="26"/>
        </w:rPr>
        <w:t>Zdravotní ústav se sídlem v Ústí nad Labem příspěvková organizace zřízená podle S 86 odst. 1, zákona č. 258/2000 Sb. ve znění pozdějších předpisů.</w:t>
      </w:r>
    </w:p>
    <w:p w:rsidR="00033779" w:rsidRDefault="001239C0">
      <w:pPr>
        <w:spacing w:after="47" w:line="216" w:lineRule="auto"/>
        <w:ind w:right="33"/>
      </w:pPr>
      <w:r>
        <w:rPr>
          <w:sz w:val="26"/>
        </w:rPr>
        <w:t>Sídlo: Moskevská 1531/15, 400 01 Ústí nad Labem</w:t>
      </w:r>
    </w:p>
    <w:p w:rsidR="00033779" w:rsidRDefault="001239C0">
      <w:pPr>
        <w:ind w:right="33"/>
      </w:pPr>
      <w:r>
        <w:t>Zastoupen: Ing. Pavlem Bernáthem, ředitelem</w:t>
      </w:r>
    </w:p>
    <w:p w:rsidR="00033779" w:rsidRDefault="001239C0">
      <w:pPr>
        <w:ind w:right="33"/>
      </w:pPr>
      <w:r>
        <w:t>IC: 71009361</w:t>
      </w:r>
    </w:p>
    <w:p w:rsidR="00033779" w:rsidRDefault="001239C0">
      <w:pPr>
        <w:ind w:right="33"/>
      </w:pPr>
      <w:r>
        <w:t>DIČ:</w:t>
      </w:r>
      <w:r>
        <w:t xml:space="preserve"> CZ71009361</w:t>
      </w:r>
    </w:p>
    <w:p w:rsidR="00033779" w:rsidRDefault="001239C0">
      <w:pPr>
        <w:spacing w:after="486"/>
        <w:ind w:right="33"/>
      </w:pPr>
      <w:r>
        <w:t xml:space="preserve">Bankovní spojení: ČNB Ústí nad Labem, č. ú. </w:t>
      </w:r>
      <w:r w:rsidRPr="001239C0">
        <w:rPr>
          <w:highlight w:val="black"/>
        </w:rPr>
        <w:t>10006-41936411/0710</w:t>
      </w:r>
    </w:p>
    <w:p w:rsidR="00033779" w:rsidRDefault="001239C0">
      <w:pPr>
        <w:spacing w:after="669" w:line="216" w:lineRule="auto"/>
        <w:ind w:right="33"/>
      </w:pPr>
      <w:r>
        <w:rPr>
          <w:sz w:val="26"/>
        </w:rPr>
        <w:t>se dohodly na uzavření této smlouvy podle S 1746 a násl. zákona č. 89/2012 Sb., občanský zákoník ve smyslu S 53 a násl. zák. č. 373/2011 Sb., o specifických zdravotních službách, v</w:t>
      </w:r>
      <w:r>
        <w:rPr>
          <w:sz w:val="26"/>
        </w:rPr>
        <w:t>e znění pozdějších předpisů a vyhlášky č. 79/2013 Sb., o pracovnělékařských službách a některých druzích posudkové péče.</w:t>
      </w:r>
    </w:p>
    <w:p w:rsidR="00033779" w:rsidRDefault="001239C0">
      <w:pPr>
        <w:spacing w:after="98" w:line="259" w:lineRule="auto"/>
        <w:ind w:left="10" w:right="24"/>
        <w:jc w:val="center"/>
      </w:pPr>
      <w:r>
        <w:rPr>
          <w:sz w:val="26"/>
        </w:rPr>
        <w:t>Předmět smlouvy</w:t>
      </w:r>
    </w:p>
    <w:p w:rsidR="00033779" w:rsidRDefault="001239C0">
      <w:pPr>
        <w:numPr>
          <w:ilvl w:val="0"/>
          <w:numId w:val="1"/>
        </w:numPr>
        <w:spacing w:after="83"/>
        <w:ind w:right="33" w:hanging="374"/>
      </w:pPr>
      <w:r>
        <w:t>Poskytovatel se zavazuje pro objednatele poskytovat pracovnělékařské služby podle S 53 zákona č. 373/2011 Sb. Rozsah sj</w:t>
      </w:r>
      <w:r>
        <w:t>ednaných pracovnělékařských služeb podle S 2 vyhlášky č. 79/2013 Sb. je uveden v odstavci 5.</w:t>
      </w:r>
    </w:p>
    <w:p w:rsidR="00033779" w:rsidRDefault="001239C0">
      <w:pPr>
        <w:numPr>
          <w:ilvl w:val="0"/>
          <w:numId w:val="1"/>
        </w:numPr>
        <w:spacing w:after="125"/>
        <w:ind w:right="33" w:hanging="374"/>
      </w:pPr>
      <w:r>
        <w:t>Objednatel zaměstnává ke dni uzavření smlouvy přibližně 33 pracovníků. Předmětem (oborem) podnikání objednatele je Výroba ostatních dílů a příslušenství pro motorová vozidla.</w:t>
      </w:r>
    </w:p>
    <w:p w:rsidR="00033779" w:rsidRDefault="001239C0">
      <w:pPr>
        <w:numPr>
          <w:ilvl w:val="0"/>
          <w:numId w:val="1"/>
        </w:numPr>
        <w:ind w:right="33" w:hanging="374"/>
      </w:pPr>
      <w:r>
        <w:t>Ordinace pracovního lékařství je umístěna v objektu: Areál nemocnice, budova H 3.</w:t>
      </w:r>
      <w:r>
        <w:t xml:space="preserve"> patro</w:t>
      </w:r>
    </w:p>
    <w:p w:rsidR="00033779" w:rsidRDefault="001239C0">
      <w:pPr>
        <w:numPr>
          <w:ilvl w:val="0"/>
          <w:numId w:val="1"/>
        </w:numPr>
        <w:spacing w:after="752"/>
        <w:ind w:right="33" w:hanging="374"/>
      </w:pPr>
      <w:r>
        <w:lastRenderedPageBreak/>
        <w:t>Pracoviště objednatele k výkonu pracovnělékařských služeb jsou soustředěna na adrese: čp. 295, Ovčáry.</w:t>
      </w:r>
    </w:p>
    <w:p w:rsidR="00033779" w:rsidRDefault="001239C0">
      <w:pPr>
        <w:spacing w:after="293" w:line="259" w:lineRule="auto"/>
        <w:ind w:left="-86" w:right="-288" w:firstLine="0"/>
        <w:jc w:val="left"/>
      </w:pPr>
      <w:r>
        <w:rPr>
          <w:noProof/>
          <w:sz w:val="22"/>
        </w:rPr>
        <mc:AlternateContent>
          <mc:Choice Requires="wpg">
            <w:drawing>
              <wp:inline distT="0" distB="0" distL="0" distR="0">
                <wp:extent cx="6160008" cy="9146"/>
                <wp:effectExtent l="0" t="0" r="0" b="0"/>
                <wp:docPr id="16003" name="Group 16003"/>
                <wp:cNvGraphicFramePr/>
                <a:graphic xmlns:a="http://schemas.openxmlformats.org/drawingml/2006/main">
                  <a:graphicData uri="http://schemas.microsoft.com/office/word/2010/wordprocessingGroup">
                    <wpg:wgp>
                      <wpg:cNvGrpSpPr/>
                      <wpg:grpSpPr>
                        <a:xfrm>
                          <a:off x="0" y="0"/>
                          <a:ext cx="6160008" cy="9146"/>
                          <a:chOff x="0" y="0"/>
                          <a:chExt cx="6160008" cy="9146"/>
                        </a:xfrm>
                      </wpg:grpSpPr>
                      <wps:wsp>
                        <wps:cNvPr id="16002" name="Shape 16002"/>
                        <wps:cNvSpPr/>
                        <wps:spPr>
                          <a:xfrm>
                            <a:off x="0" y="0"/>
                            <a:ext cx="6160008" cy="9146"/>
                          </a:xfrm>
                          <a:custGeom>
                            <a:avLst/>
                            <a:gdLst/>
                            <a:ahLst/>
                            <a:cxnLst/>
                            <a:rect l="0" t="0" r="0" b="0"/>
                            <a:pathLst>
                              <a:path w="6160008" h="9146">
                                <a:moveTo>
                                  <a:pt x="0" y="4573"/>
                                </a:moveTo>
                                <a:lnTo>
                                  <a:pt x="6160008"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003" style="width:485.04pt;height:0.720154pt;mso-position-horizontal-relative:char;mso-position-vertical-relative:line" coordsize="61600,91">
                <v:shape id="Shape 16002" style="position:absolute;width:61600;height:91;left:0;top:0;" coordsize="6160008,9146" path="m0,4573l6160008,4573">
                  <v:stroke weight="0.720154pt" endcap="flat" joinstyle="miter" miterlimit="1" on="true" color="#000000"/>
                  <v:fill on="false" color="#000000"/>
                </v:shape>
              </v:group>
            </w:pict>
          </mc:Fallback>
        </mc:AlternateContent>
      </w:r>
    </w:p>
    <w:p w:rsidR="00033779" w:rsidRDefault="001239C0">
      <w:pPr>
        <w:spacing w:after="230" w:line="259" w:lineRule="auto"/>
        <w:ind w:left="466"/>
        <w:jc w:val="center"/>
      </w:pPr>
      <w:r>
        <w:rPr>
          <w:sz w:val="18"/>
        </w:rPr>
        <w:t xml:space="preserve">1 </w:t>
      </w:r>
    </w:p>
    <w:p w:rsidR="00033779" w:rsidRDefault="001239C0">
      <w:pPr>
        <w:spacing w:after="109"/>
        <w:ind w:left="1152" w:right="33" w:hanging="365"/>
      </w:pPr>
      <w:r>
        <w:rPr>
          <w:noProof/>
        </w:rPr>
        <w:drawing>
          <wp:inline distT="0" distB="0" distL="0" distR="0">
            <wp:extent cx="45720" cy="18293"/>
            <wp:effectExtent l="0" t="0" r="0" b="0"/>
            <wp:docPr id="5960" name="Picture 5960"/>
            <wp:cNvGraphicFramePr/>
            <a:graphic xmlns:a="http://schemas.openxmlformats.org/drawingml/2006/main">
              <a:graphicData uri="http://schemas.openxmlformats.org/drawingml/2006/picture">
                <pic:pic xmlns:pic="http://schemas.openxmlformats.org/drawingml/2006/picture">
                  <pic:nvPicPr>
                    <pic:cNvPr id="5960" name="Picture 5960"/>
                    <pic:cNvPicPr/>
                  </pic:nvPicPr>
                  <pic:blipFill>
                    <a:blip r:embed="rId12"/>
                    <a:stretch>
                      <a:fillRect/>
                    </a:stretch>
                  </pic:blipFill>
                  <pic:spPr>
                    <a:xfrm>
                      <a:off x="0" y="0"/>
                      <a:ext cx="45720" cy="18293"/>
                    </a:xfrm>
                    <a:prstGeom prst="rect">
                      <a:avLst/>
                    </a:prstGeom>
                  </pic:spPr>
                </pic:pic>
              </a:graphicData>
            </a:graphic>
          </wp:inline>
        </w:drawing>
      </w:r>
      <w:r>
        <w:t xml:space="preserve"> hodnocení rizik s využitím informací o míře expozice rizikovým faktorům při výkonu práce a výsledků analýzy výskytu nemocí z povolání, prac</w:t>
      </w:r>
      <w:r>
        <w:t>ovních úrazů a nemocí souvisejících s prací,</w:t>
      </w:r>
    </w:p>
    <w:p w:rsidR="00033779" w:rsidRDefault="001239C0">
      <w:pPr>
        <w:spacing w:after="868"/>
        <w:ind w:left="1132" w:right="33" w:hanging="350"/>
      </w:pPr>
      <w:r>
        <w:rPr>
          <w:noProof/>
        </w:rPr>
        <w:drawing>
          <wp:inline distT="0" distB="0" distL="0" distR="0">
            <wp:extent cx="39624" cy="18293"/>
            <wp:effectExtent l="0" t="0" r="0" b="0"/>
            <wp:docPr id="5961" name="Picture 5961"/>
            <wp:cNvGraphicFramePr/>
            <a:graphic xmlns:a="http://schemas.openxmlformats.org/drawingml/2006/main">
              <a:graphicData uri="http://schemas.openxmlformats.org/drawingml/2006/picture">
                <pic:pic xmlns:pic="http://schemas.openxmlformats.org/drawingml/2006/picture">
                  <pic:nvPicPr>
                    <pic:cNvPr id="5961" name="Picture 5961"/>
                    <pic:cNvPicPr/>
                  </pic:nvPicPr>
                  <pic:blipFill>
                    <a:blip r:embed="rId13"/>
                    <a:stretch>
                      <a:fillRect/>
                    </a:stretch>
                  </pic:blipFill>
                  <pic:spPr>
                    <a:xfrm>
                      <a:off x="0" y="0"/>
                      <a:ext cx="39624" cy="18293"/>
                    </a:xfrm>
                    <a:prstGeom prst="rect">
                      <a:avLst/>
                    </a:prstGeom>
                  </pic:spPr>
                </pic:pic>
              </a:graphicData>
            </a:graphic>
          </wp:inline>
        </w:drawing>
      </w:r>
      <w:r>
        <w:t xml:space="preserve"> spolupráce při vypracování návrhů pro zaměstnavatele na odstranění zjištěných závad, včetně návrhu na zajištění měření rizikových faktorů pracovních podmínek.</w:t>
      </w:r>
    </w:p>
    <w:p w:rsidR="00033779" w:rsidRDefault="001239C0">
      <w:pPr>
        <w:spacing w:after="122" w:line="259" w:lineRule="auto"/>
        <w:ind w:left="10" w:right="-19"/>
        <w:jc w:val="center"/>
      </w:pPr>
      <w:r>
        <w:rPr>
          <w:sz w:val="26"/>
        </w:rPr>
        <w:t>Součinnost objednatele a poskytovatele</w:t>
      </w:r>
    </w:p>
    <w:p w:rsidR="00033779" w:rsidRDefault="001239C0">
      <w:pPr>
        <w:spacing w:after="127" w:line="216" w:lineRule="auto"/>
        <w:ind w:left="31" w:right="34" w:hanging="31"/>
        <w:jc w:val="right"/>
      </w:pPr>
      <w:r>
        <w:t xml:space="preserve">1 . </w:t>
      </w:r>
      <w:r>
        <w:t>Poskytovatel se zavazuje zachovávat mlčenlivost o všech skutečnostech spadajících pod pojem obchodní tajemství,</w:t>
      </w:r>
      <w:r>
        <w:tab/>
        <w:t>ke kterým se dostane v souvislosti s výkonem pracovnělékařských služeb. Povinnost mlčenlivosti trvá i po ukončení platnosti smlouvy.</w:t>
      </w:r>
    </w:p>
    <w:p w:rsidR="00033779" w:rsidRDefault="001239C0">
      <w:pPr>
        <w:spacing w:after="72"/>
        <w:ind w:left="379" w:right="33" w:hanging="365"/>
      </w:pPr>
      <w:r>
        <w:t xml:space="preserve">2. </w:t>
      </w:r>
      <w:r>
        <w:t>Objednat</w:t>
      </w:r>
      <w:r>
        <w:t>el i poskytovatel se zavazují k potřebné součinnost pro provádění úkonů pracovnělékařských služeb a za tím účelem zajistí, popřípadě poskytnou:</w:t>
      </w:r>
    </w:p>
    <w:p w:rsidR="00033779" w:rsidRDefault="001239C0">
      <w:pPr>
        <w:numPr>
          <w:ilvl w:val="0"/>
          <w:numId w:val="2"/>
        </w:numPr>
        <w:spacing w:after="78"/>
        <w:ind w:right="33" w:hanging="365"/>
      </w:pPr>
      <w:r>
        <w:t>včasné a řádné vysílání nových i stávajících zaměstnanců na potřebné prohlídky vstupní, periodické, mimořádné a, v případě prací zařazených mezi práce rizikové, i prohlídky výstupní,</w:t>
      </w:r>
    </w:p>
    <w:p w:rsidR="00033779" w:rsidRDefault="001239C0">
      <w:pPr>
        <w:numPr>
          <w:ilvl w:val="0"/>
          <w:numId w:val="2"/>
        </w:numPr>
        <w:spacing w:after="156"/>
        <w:ind w:right="33" w:hanging="365"/>
      </w:pPr>
      <w:r>
        <w:t>k provádění pracovnělékařských prohlídek a posouzení zdravotní způsobilos</w:t>
      </w:r>
      <w:r>
        <w:t>ti ve vztahu k práci objednatel vybavuje zaměstnance žádostí s náležitostmi podle S 15 vyhlášky č. 79/2013 Sb. Poskytovatel se zavazuje zpracovávat osobní údaje, poskytnuté objednatelem za účelem řádného provádění pracovnělékařských služeb. Poskytovatel za</w:t>
      </w:r>
      <w:r>
        <w:t>ručuje technické a organizační podmínky zabezpečení ochrany osobních údajů předaných mu objednatelem způsobem běžným ve zdravotnickém zařízení,</w:t>
      </w:r>
    </w:p>
    <w:p w:rsidR="00033779" w:rsidRDefault="001239C0">
      <w:pPr>
        <w:numPr>
          <w:ilvl w:val="0"/>
          <w:numId w:val="2"/>
        </w:numPr>
        <w:spacing w:after="145"/>
        <w:ind w:right="33" w:hanging="365"/>
      </w:pPr>
      <w:r>
        <w:t>poskytovatel se zavazuje zajišťovat pracovnělékařské prohlídky podle S 6 až S 17 vyhlášky č. 79/2013 Sb.,</w:t>
      </w:r>
    </w:p>
    <w:p w:rsidR="00033779" w:rsidRDefault="001239C0">
      <w:pPr>
        <w:numPr>
          <w:ilvl w:val="0"/>
          <w:numId w:val="2"/>
        </w:numPr>
        <w:spacing w:after="137"/>
        <w:ind w:right="33" w:hanging="365"/>
      </w:pPr>
      <w:r>
        <w:t>poskyt</w:t>
      </w:r>
      <w:r>
        <w:t>ovatel se zavazuje vykonávat pracovnělékařské služby podle dílčích objednávek objednatele, zpracovávat dokumentaci o pracovnělékařských službách podle S 5 vyhlášky č. 79/2013 Sb. a výsledky předávat zástupci objednatele s v termínech podle dispozic objedna</w:t>
      </w:r>
      <w:r>
        <w:t>tele v akceptovaných objednávkách,</w:t>
      </w:r>
    </w:p>
    <w:p w:rsidR="00033779" w:rsidRDefault="001239C0">
      <w:pPr>
        <w:numPr>
          <w:ilvl w:val="0"/>
          <w:numId w:val="2"/>
        </w:numPr>
        <w:spacing w:after="0"/>
        <w:ind w:right="33" w:hanging="365"/>
      </w:pPr>
      <w:r>
        <w:t xml:space="preserve">pracovnělékařské prohlídky provádí lékař oddělení pracovního lékařství regionálního pracoviště Kolín na telefonické objednání v ordinační době: obvykle pondělí až čtvrtek </w:t>
      </w:r>
      <w:r>
        <w:rPr>
          <w:noProof/>
        </w:rPr>
        <w:drawing>
          <wp:inline distT="0" distB="0" distL="0" distR="0">
            <wp:extent cx="3048" cy="3049"/>
            <wp:effectExtent l="0" t="0" r="0" b="0"/>
            <wp:docPr id="5962" name="Picture 5962"/>
            <wp:cNvGraphicFramePr/>
            <a:graphic xmlns:a="http://schemas.openxmlformats.org/drawingml/2006/main">
              <a:graphicData uri="http://schemas.openxmlformats.org/drawingml/2006/picture">
                <pic:pic xmlns:pic="http://schemas.openxmlformats.org/drawingml/2006/picture">
                  <pic:nvPicPr>
                    <pic:cNvPr id="5962" name="Picture 5962"/>
                    <pic:cNvPicPr/>
                  </pic:nvPicPr>
                  <pic:blipFill>
                    <a:blip r:embed="rId14"/>
                    <a:stretch>
                      <a:fillRect/>
                    </a:stretch>
                  </pic:blipFill>
                  <pic:spPr>
                    <a:xfrm>
                      <a:off x="0" y="0"/>
                      <a:ext cx="3048" cy="3049"/>
                    </a:xfrm>
                    <a:prstGeom prst="rect">
                      <a:avLst/>
                    </a:prstGeom>
                  </pic:spPr>
                </pic:pic>
              </a:graphicData>
            </a:graphic>
          </wp:inline>
        </w:drawing>
      </w:r>
      <w:r>
        <w:t>od 8:00 do 16:00, pátek od 8:00 do 14:00. Tato or</w:t>
      </w:r>
      <w:r>
        <w:t>dinační doba se může měnit bez předchozího upozornění, podle potřeby provozu ordinace. Po předchozí telefonické domluvě je rovněž možné dohodnout jiné termíny pracovnělékařských prohlídek, vstup na všechna pracoviště (vždy za přítomnosti pracovníka pověřen</w:t>
      </w:r>
      <w:r>
        <w:t>ého objednatelem),</w:t>
      </w:r>
    </w:p>
    <w:p w:rsidR="00033779" w:rsidRDefault="001239C0">
      <w:pPr>
        <w:spacing w:after="141" w:line="259" w:lineRule="auto"/>
        <w:ind w:left="8842" w:firstLine="0"/>
        <w:jc w:val="left"/>
      </w:pPr>
      <w:r>
        <w:rPr>
          <w:noProof/>
        </w:rPr>
        <w:drawing>
          <wp:inline distT="0" distB="0" distL="0" distR="0">
            <wp:extent cx="3048" cy="3049"/>
            <wp:effectExtent l="0" t="0" r="0" b="0"/>
            <wp:docPr id="5963" name="Picture 5963"/>
            <wp:cNvGraphicFramePr/>
            <a:graphic xmlns:a="http://schemas.openxmlformats.org/drawingml/2006/main">
              <a:graphicData uri="http://schemas.openxmlformats.org/drawingml/2006/picture">
                <pic:pic xmlns:pic="http://schemas.openxmlformats.org/drawingml/2006/picture">
                  <pic:nvPicPr>
                    <pic:cNvPr id="5963" name="Picture 5963"/>
                    <pic:cNvPicPr/>
                  </pic:nvPicPr>
                  <pic:blipFill>
                    <a:blip r:embed="rId15"/>
                    <a:stretch>
                      <a:fillRect/>
                    </a:stretch>
                  </pic:blipFill>
                  <pic:spPr>
                    <a:xfrm>
                      <a:off x="0" y="0"/>
                      <a:ext cx="3048" cy="3049"/>
                    </a:xfrm>
                    <a:prstGeom prst="rect">
                      <a:avLst/>
                    </a:prstGeom>
                  </pic:spPr>
                </pic:pic>
              </a:graphicData>
            </a:graphic>
          </wp:inline>
        </w:drawing>
      </w:r>
    </w:p>
    <w:p w:rsidR="00033779" w:rsidRDefault="001239C0">
      <w:pPr>
        <w:numPr>
          <w:ilvl w:val="0"/>
          <w:numId w:val="2"/>
        </w:numPr>
        <w:spacing w:after="83"/>
        <w:ind w:right="33" w:hanging="365"/>
      </w:pPr>
      <w:r>
        <w:t>poskytovateli všechny potřebné informace o technologii a organizaci výroby a skutečnostech potřebných k výkonu pracovnělékařských služeb,</w:t>
      </w:r>
    </w:p>
    <w:p w:rsidR="00033779" w:rsidRDefault="001239C0">
      <w:pPr>
        <w:numPr>
          <w:ilvl w:val="0"/>
          <w:numId w:val="2"/>
        </w:numPr>
        <w:spacing w:after="80"/>
        <w:ind w:right="33" w:hanging="365"/>
      </w:pPr>
      <w:r>
        <w:t>poskytovateli jmenný seznam zaměstnanců, kteří ve smyslu S 106 odst. 4 písmene b) zákona č. 262/2</w:t>
      </w:r>
      <w:r>
        <w:t>006 Sb., zákoníku práce, ve zdění pozdějších předpisů, jsou povinni se podrobit preventivním prohlídkám stanoveným právními předpisy (směrnice Ministerstva zdravotnictví č. 49/1967, příp. prováděcí vyhláška Ministerstva zdravotnictví ČR k zákonu 373/2011 S</w:t>
      </w:r>
      <w:r>
        <w:t>b.); tento seznam bude průběžně aktualizován,</w:t>
      </w:r>
    </w:p>
    <w:p w:rsidR="00033779" w:rsidRDefault="001239C0">
      <w:pPr>
        <w:numPr>
          <w:ilvl w:val="0"/>
          <w:numId w:val="2"/>
        </w:numPr>
        <w:spacing w:after="70"/>
        <w:ind w:right="33" w:hanging="365"/>
      </w:pPr>
      <w:r>
        <w:lastRenderedPageBreak/>
        <w:t>poskytovateli informace o vzniku všech pracovních úrazů svých zaměstnanců spojených s pracovní neschopností,</w:t>
      </w:r>
    </w:p>
    <w:p w:rsidR="00033779" w:rsidRDefault="001239C0">
      <w:pPr>
        <w:numPr>
          <w:ilvl w:val="0"/>
          <w:numId w:val="2"/>
        </w:numPr>
        <w:spacing w:after="959"/>
        <w:ind w:right="33" w:hanging="365"/>
      </w:pPr>
      <w:r>
        <w:t>uskutečnění mimořádné pracovnělékařské prohlídky zaměstnance před jeho návratem do práce po době prac</w:t>
      </w:r>
      <w:r>
        <w:t>ovní neschopnosti trvající déle než 6 měsíců, nestanoví-li závazný právní předpis dobu odlišnou.</w:t>
      </w:r>
    </w:p>
    <w:p w:rsidR="00033779" w:rsidRDefault="001239C0">
      <w:pPr>
        <w:spacing w:after="322" w:line="259" w:lineRule="auto"/>
        <w:ind w:left="-144" w:right="-230" w:firstLine="0"/>
        <w:jc w:val="left"/>
      </w:pPr>
      <w:r>
        <w:rPr>
          <w:noProof/>
          <w:sz w:val="22"/>
        </w:rPr>
        <mc:AlternateContent>
          <mc:Choice Requires="wpg">
            <w:drawing>
              <wp:inline distT="0" distB="0" distL="0" distR="0">
                <wp:extent cx="6160008" cy="9146"/>
                <wp:effectExtent l="0" t="0" r="0" b="0"/>
                <wp:docPr id="16005" name="Group 16005"/>
                <wp:cNvGraphicFramePr/>
                <a:graphic xmlns:a="http://schemas.openxmlformats.org/drawingml/2006/main">
                  <a:graphicData uri="http://schemas.microsoft.com/office/word/2010/wordprocessingGroup">
                    <wpg:wgp>
                      <wpg:cNvGrpSpPr/>
                      <wpg:grpSpPr>
                        <a:xfrm>
                          <a:off x="0" y="0"/>
                          <a:ext cx="6160008" cy="9146"/>
                          <a:chOff x="0" y="0"/>
                          <a:chExt cx="6160008" cy="9146"/>
                        </a:xfrm>
                      </wpg:grpSpPr>
                      <wps:wsp>
                        <wps:cNvPr id="16004" name="Shape 16004"/>
                        <wps:cNvSpPr/>
                        <wps:spPr>
                          <a:xfrm>
                            <a:off x="0" y="0"/>
                            <a:ext cx="6160008" cy="9146"/>
                          </a:xfrm>
                          <a:custGeom>
                            <a:avLst/>
                            <a:gdLst/>
                            <a:ahLst/>
                            <a:cxnLst/>
                            <a:rect l="0" t="0" r="0" b="0"/>
                            <a:pathLst>
                              <a:path w="6160008" h="9146">
                                <a:moveTo>
                                  <a:pt x="0" y="4573"/>
                                </a:moveTo>
                                <a:lnTo>
                                  <a:pt x="6160008"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6005" style="width:485.04pt;height:0.720154pt;mso-position-horizontal-relative:char;mso-position-vertical-relative:line" coordsize="61600,91">
                <v:shape id="Shape 16004" style="position:absolute;width:61600;height:91;left:0;top:0;" coordsize="6160008,9146" path="m0,4573l6160008,4573">
                  <v:stroke weight="0.720154pt" endcap="flat" joinstyle="miter" miterlimit="1" on="true" color="#000000"/>
                  <v:fill on="false" color="#000000"/>
                </v:shape>
              </v:group>
            </w:pict>
          </mc:Fallback>
        </mc:AlternateContent>
      </w:r>
    </w:p>
    <w:p w:rsidR="00033779" w:rsidRDefault="001239C0">
      <w:pPr>
        <w:spacing w:after="0" w:line="259" w:lineRule="auto"/>
        <w:ind w:left="331" w:firstLine="0"/>
        <w:jc w:val="center"/>
      </w:pPr>
      <w:r>
        <w:rPr>
          <w:sz w:val="20"/>
        </w:rPr>
        <w:t xml:space="preserve">3 </w:t>
      </w:r>
    </w:p>
    <w:p w:rsidR="00033779" w:rsidRDefault="001239C0">
      <w:pPr>
        <w:spacing w:after="107" w:line="259" w:lineRule="auto"/>
        <w:ind w:left="10" w:right="77"/>
        <w:jc w:val="center"/>
      </w:pPr>
      <w:r>
        <w:rPr>
          <w:sz w:val="28"/>
        </w:rPr>
        <w:t>Kontrola plnění smluvních podmínek</w:t>
      </w:r>
    </w:p>
    <w:p w:rsidR="00033779" w:rsidRDefault="001239C0">
      <w:pPr>
        <w:numPr>
          <w:ilvl w:val="0"/>
          <w:numId w:val="3"/>
        </w:numPr>
        <w:ind w:right="33" w:hanging="422"/>
      </w:pPr>
      <w:r>
        <w:t>Objednatel má právo na kontrolu provádění pracovnělékařských služeb jak z hlediska dodržování obecně platných předpisů, tak z hlediska dodržování ujednání této smlouvy.</w:t>
      </w:r>
    </w:p>
    <w:p w:rsidR="00033779" w:rsidRDefault="001239C0">
      <w:pPr>
        <w:numPr>
          <w:ilvl w:val="0"/>
          <w:numId w:val="3"/>
        </w:numPr>
        <w:spacing w:after="574"/>
        <w:ind w:right="33" w:hanging="422"/>
      </w:pPr>
      <w:r>
        <w:t>Poskytovatel je povinen účinně spolupracovat při kontrole a poskytnout požadované údaje</w:t>
      </w:r>
      <w:r>
        <w:t xml:space="preserve"> též kontrolním orgánům daným obecně platnými právními předpisy.</w:t>
      </w:r>
    </w:p>
    <w:p w:rsidR="00033779" w:rsidRDefault="001239C0">
      <w:pPr>
        <w:spacing w:after="0" w:line="259" w:lineRule="auto"/>
        <w:ind w:left="10" w:right="130"/>
        <w:jc w:val="center"/>
      </w:pPr>
      <w:r>
        <w:rPr>
          <w:sz w:val="26"/>
        </w:rPr>
        <w:t>VII.</w:t>
      </w:r>
    </w:p>
    <w:p w:rsidR="00033779" w:rsidRDefault="001239C0">
      <w:pPr>
        <w:spacing w:after="153" w:line="259" w:lineRule="auto"/>
        <w:ind w:left="10" w:right="101"/>
        <w:jc w:val="center"/>
      </w:pPr>
      <w:r>
        <w:rPr>
          <w:sz w:val="26"/>
        </w:rPr>
        <w:t>Závěrečná ustanovení</w:t>
      </w:r>
    </w:p>
    <w:p w:rsidR="00033779" w:rsidRDefault="001239C0">
      <w:pPr>
        <w:spacing w:after="98"/>
        <w:ind w:right="33"/>
      </w:pPr>
      <w:r>
        <w:t xml:space="preserve">1 . </w:t>
      </w:r>
      <w:r>
        <w:t>Tato smlouva se uzavírá na dobu určitou neurčitou.</w:t>
      </w:r>
    </w:p>
    <w:p w:rsidR="00033779" w:rsidRDefault="001239C0">
      <w:pPr>
        <w:numPr>
          <w:ilvl w:val="0"/>
          <w:numId w:val="4"/>
        </w:numPr>
        <w:spacing w:after="102"/>
        <w:ind w:right="33" w:hanging="432"/>
      </w:pPr>
      <w:r>
        <w:t>Právní vztahy touto smlouvou výslovně neupravené se řídí příslušnými ustanoveními zákona č. 89/2012 Sb., občan</w:t>
      </w:r>
      <w:r>
        <w:t>ský zákoník ve znění pozdějších předpisů.</w:t>
      </w:r>
    </w:p>
    <w:p w:rsidR="00033779" w:rsidRDefault="001239C0">
      <w:pPr>
        <w:numPr>
          <w:ilvl w:val="0"/>
          <w:numId w:val="4"/>
        </w:numPr>
        <w:spacing w:after="137"/>
        <w:ind w:right="33" w:hanging="432"/>
      </w:pPr>
      <w:r>
        <w:t>Smlouvu lze měnit písemnými, pořadově číslovanými dodatky, podepsanými oprávněnými osobami.</w:t>
      </w:r>
    </w:p>
    <w:p w:rsidR="00033779" w:rsidRDefault="001239C0">
      <w:pPr>
        <w:numPr>
          <w:ilvl w:val="0"/>
          <w:numId w:val="4"/>
        </w:numPr>
        <w:spacing w:after="145"/>
        <w:ind w:right="33" w:hanging="432"/>
      </w:pPr>
      <w:r>
        <w:t>Smlouvu je možno vypovědět kteroukoli smluvní stranou bez udání důvodů. Výpovědní lhůta činí 3 měsíce a počíná běžet od prvního dne následujícího měsíce po doručení výpovědi jednou stranou straně druhé.</w:t>
      </w:r>
    </w:p>
    <w:p w:rsidR="00033779" w:rsidRDefault="001239C0">
      <w:pPr>
        <w:numPr>
          <w:ilvl w:val="0"/>
          <w:numId w:val="4"/>
        </w:numPr>
        <w:spacing w:after="68"/>
        <w:ind w:right="33" w:hanging="432"/>
      </w:pPr>
      <w:r>
        <w:t>Dojde-li k právně účinnému ukončení smluvního vztahu,</w:t>
      </w:r>
      <w:r>
        <w:t xml:space="preserve"> je každá smluvní strana povinna uhradit druhé straně dosud neuhrazené skutečné náklady, které vynaložila v souvislosti s plněním smlouvy před termínem ukončení smluvního vztahu.</w:t>
      </w:r>
    </w:p>
    <w:p w:rsidR="00033779" w:rsidRDefault="001239C0">
      <w:pPr>
        <w:numPr>
          <w:ilvl w:val="0"/>
          <w:numId w:val="4"/>
        </w:numPr>
        <w:spacing w:after="109"/>
        <w:ind w:right="33" w:hanging="432"/>
      </w:pPr>
      <w:r>
        <w:t>Všechny záležitosti a spory vyplývající z této smlouvy se smluvní strany zava</w:t>
      </w:r>
      <w:r>
        <w:t>zují řešit především smírnou cestou a dohodou ve snaze odstranit překážky, které brání plnění smlouvy. Pokud by výjimečně nedošlo ke smírnému vyřešení věci, dohodly smluvní strany předložit spor k rozhodnutí soudu místně příslušnému podle sídla poskytovate</w:t>
      </w:r>
      <w:r>
        <w:t>le.</w:t>
      </w:r>
    </w:p>
    <w:p w:rsidR="00033779" w:rsidRDefault="001239C0">
      <w:pPr>
        <w:numPr>
          <w:ilvl w:val="0"/>
          <w:numId w:val="4"/>
        </w:numPr>
        <w:ind w:right="33" w:hanging="432"/>
      </w:pPr>
      <w:r>
        <w:t>Tato smlouva nabývá platnosti a účinnosti dnem podpisu druhou ze smluvních stran.</w:t>
      </w:r>
    </w:p>
    <w:p w:rsidR="00033779" w:rsidRDefault="001239C0">
      <w:pPr>
        <w:numPr>
          <w:ilvl w:val="0"/>
          <w:numId w:val="4"/>
        </w:numPr>
        <w:spacing w:after="96"/>
        <w:ind w:right="33" w:hanging="432"/>
      </w:pPr>
      <w:r>
        <w:t>Kontaktní osoby ve věci plnění smlouvy:</w:t>
      </w:r>
    </w:p>
    <w:p w:rsidR="00033779" w:rsidRDefault="001239C0">
      <w:pPr>
        <w:spacing w:after="256"/>
        <w:ind w:left="442" w:right="33"/>
      </w:pPr>
      <w:r>
        <w:t>za objednatele: Aneta Petrová, HR administrátor, 311 549 07, aneta.petrova@tsubaki.cz za poskytovatele: jméno, funkce, telefon, e-</w:t>
      </w:r>
      <w:r>
        <w:t>mail .</w:t>
      </w:r>
    </w:p>
    <w:p w:rsidR="00033779" w:rsidRDefault="001239C0">
      <w:pPr>
        <w:numPr>
          <w:ilvl w:val="0"/>
          <w:numId w:val="4"/>
        </w:numPr>
        <w:spacing w:after="59"/>
        <w:ind w:right="33" w:hanging="432"/>
      </w:pPr>
      <w:r>
        <w:t>Tato smlouva je vyhotovena ve dvou stejnopisech, přičemž každý z nich má platnost originálu. Jedno vyhotovení si ponechá objednatel a jedno poskytovatel.</w:t>
      </w:r>
    </w:p>
    <w:p w:rsidR="00033779" w:rsidRDefault="001239C0">
      <w:pPr>
        <w:numPr>
          <w:ilvl w:val="0"/>
          <w:numId w:val="4"/>
        </w:numPr>
        <w:spacing w:after="394"/>
        <w:ind w:right="33" w:hanging="432"/>
      </w:pPr>
      <w:r>
        <w:t>Obě smluvní strany prohlašují, že se s touto smlouvou před podpisem důkladně seznámily a že sml</w:t>
      </w:r>
      <w:r>
        <w:t>ouva byla uzavřena podle jejich svobodné vůle, určitě a vážně, nikoli v tísni či za nápadně nevýhodných podmínek. Na důkaz toho dnešního dne smlouvu podepsaly.</w:t>
      </w:r>
    </w:p>
    <w:p w:rsidR="00033779" w:rsidRDefault="001239C0">
      <w:pPr>
        <w:tabs>
          <w:tab w:val="center" w:pos="5820"/>
        </w:tabs>
        <w:spacing w:after="120"/>
        <w:ind w:left="0" w:firstLine="0"/>
        <w:jc w:val="left"/>
      </w:pPr>
      <w:r>
        <w:t>za objednatele:</w:t>
      </w:r>
      <w:r>
        <w:tab/>
        <w:t>za poskytovatele:</w:t>
      </w:r>
    </w:p>
    <w:p w:rsidR="00033779" w:rsidRDefault="001239C0">
      <w:pPr>
        <w:spacing w:after="119" w:line="259" w:lineRule="auto"/>
        <w:ind w:left="0" w:right="427" w:firstLine="0"/>
        <w:jc w:val="right"/>
      </w:pPr>
      <w:r>
        <w:rPr>
          <w:sz w:val="18"/>
        </w:rPr>
        <w:t>120 2017</w:t>
      </w:r>
    </w:p>
    <w:p w:rsidR="00033779" w:rsidRDefault="001239C0">
      <w:pPr>
        <w:tabs>
          <w:tab w:val="center" w:pos="2136"/>
          <w:tab w:val="center" w:pos="6106"/>
        </w:tabs>
        <w:spacing w:after="298" w:line="259" w:lineRule="auto"/>
        <w:ind w:left="0" w:firstLine="0"/>
        <w:jc w:val="left"/>
      </w:pPr>
      <w:bookmarkStart w:id="0" w:name="_GoBack"/>
      <w:bookmarkEnd w:id="0"/>
      <w:r>
        <w:rPr>
          <w:noProof/>
        </w:rPr>
        <w:drawing>
          <wp:anchor distT="0" distB="0" distL="114300" distR="114300" simplePos="0" relativeHeight="251659264" behindDoc="0" locked="0" layoutInCell="1" allowOverlap="0">
            <wp:simplePos x="0" y="0"/>
            <wp:positionH relativeFrom="column">
              <wp:posOffset>5681472</wp:posOffset>
            </wp:positionH>
            <wp:positionV relativeFrom="paragraph">
              <wp:posOffset>23722</wp:posOffset>
            </wp:positionV>
            <wp:extent cx="713232" cy="545748"/>
            <wp:effectExtent l="0" t="0" r="0" b="0"/>
            <wp:wrapSquare wrapText="bothSides"/>
            <wp:docPr id="16009" name="Picture 16009"/>
            <wp:cNvGraphicFramePr/>
            <a:graphic xmlns:a="http://schemas.openxmlformats.org/drawingml/2006/main">
              <a:graphicData uri="http://schemas.openxmlformats.org/drawingml/2006/picture">
                <pic:pic xmlns:pic="http://schemas.openxmlformats.org/drawingml/2006/picture">
                  <pic:nvPicPr>
                    <pic:cNvPr id="16009" name="Picture 16009"/>
                    <pic:cNvPicPr/>
                  </pic:nvPicPr>
                  <pic:blipFill>
                    <a:blip r:embed="rId16"/>
                    <a:stretch>
                      <a:fillRect/>
                    </a:stretch>
                  </pic:blipFill>
                  <pic:spPr>
                    <a:xfrm>
                      <a:off x="0" y="0"/>
                      <a:ext cx="713232" cy="545748"/>
                    </a:xfrm>
                    <a:prstGeom prst="rect">
                      <a:avLst/>
                    </a:prstGeom>
                  </pic:spPr>
                </pic:pic>
              </a:graphicData>
            </a:graphic>
          </wp:anchor>
        </w:drawing>
      </w:r>
      <w:r>
        <w:rPr>
          <w:sz w:val="26"/>
        </w:rPr>
        <w:tab/>
        <w:t>dne</w:t>
      </w:r>
      <w:r>
        <w:rPr>
          <w:sz w:val="26"/>
        </w:rPr>
        <w:tab/>
        <w:t>V Ústí nad Labem, dne</w:t>
      </w:r>
    </w:p>
    <w:p w:rsidR="00033779" w:rsidRDefault="001239C0">
      <w:pPr>
        <w:tabs>
          <w:tab w:val="center" w:pos="1505"/>
          <w:tab w:val="center" w:pos="8806"/>
        </w:tabs>
        <w:spacing w:after="3" w:line="265" w:lineRule="auto"/>
        <w:ind w:left="0" w:right="-418" w:firstLine="0"/>
        <w:jc w:val="left"/>
      </w:pPr>
      <w:r>
        <w:rPr>
          <w:sz w:val="18"/>
        </w:rPr>
        <w:tab/>
        <w:t>č.p.2D5, 280 02 OVČÁRY</w:t>
      </w:r>
      <w:r>
        <w:rPr>
          <w:sz w:val="18"/>
        </w:rPr>
        <w:tab/>
        <w:t>Dič</w:t>
      </w:r>
    </w:p>
    <w:p w:rsidR="00033779" w:rsidRDefault="001239C0">
      <w:pPr>
        <w:tabs>
          <w:tab w:val="center" w:pos="1500"/>
          <w:tab w:val="center" w:pos="8806"/>
        </w:tabs>
        <w:spacing w:after="2305" w:line="265" w:lineRule="auto"/>
        <w:ind w:left="0" w:right="-418" w:firstLine="0"/>
        <w:jc w:val="left"/>
      </w:pPr>
      <w:r>
        <w:rPr>
          <w:sz w:val="18"/>
        </w:rPr>
        <w:lastRenderedPageBreak/>
        <w:tab/>
        <w:t>Česká Republika</w:t>
      </w:r>
      <w:r>
        <w:rPr>
          <w:sz w:val="18"/>
        </w:rPr>
        <w:tab/>
      </w:r>
      <w:r>
        <w:rPr>
          <w:sz w:val="18"/>
        </w:rPr>
        <w:t>601</w:t>
      </w:r>
    </w:p>
    <w:p w:rsidR="00033779" w:rsidRDefault="001239C0">
      <w:pPr>
        <w:spacing w:after="230" w:line="259" w:lineRule="auto"/>
        <w:ind w:left="466" w:right="43"/>
        <w:jc w:val="center"/>
      </w:pPr>
      <w:r>
        <w:rPr>
          <w:sz w:val="18"/>
        </w:rPr>
        <w:t xml:space="preserve">5 </w:t>
      </w:r>
    </w:p>
    <w:sectPr w:rsidR="00033779">
      <w:footerReference w:type="even" r:id="rId17"/>
      <w:footerReference w:type="default" r:id="rId18"/>
      <w:footerReference w:type="first" r:id="rId19"/>
      <w:pgSz w:w="11904" w:h="16838"/>
      <w:pgMar w:top="624" w:right="1253" w:bottom="461" w:left="1325" w:header="708" w:footer="4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239C0">
      <w:pPr>
        <w:spacing w:after="0" w:line="240" w:lineRule="auto"/>
      </w:pPr>
      <w:r>
        <w:separator/>
      </w:r>
    </w:p>
  </w:endnote>
  <w:endnote w:type="continuationSeparator" w:id="0">
    <w:p w:rsidR="00000000" w:rsidRDefault="00123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779" w:rsidRDefault="001239C0">
    <w:pPr>
      <w:spacing w:after="0" w:line="259" w:lineRule="auto"/>
      <w:ind w:left="192" w:firstLine="0"/>
      <w:jc w:val="center"/>
    </w:pPr>
    <w:r>
      <w:rPr>
        <w:sz w:val="18"/>
      </w:rPr>
      <w:t xml:space="preserve">strana </w:t>
    </w:r>
    <w:r>
      <w:rPr>
        <w:sz w:val="22"/>
      </w:rPr>
      <w:t xml:space="preserve">z </w:t>
    </w:r>
    <w:r>
      <w:rPr>
        <w:sz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779" w:rsidRDefault="001239C0">
    <w:pPr>
      <w:spacing w:after="0" w:line="259" w:lineRule="auto"/>
      <w:ind w:left="192" w:firstLine="0"/>
      <w:jc w:val="center"/>
    </w:pPr>
    <w:r>
      <w:rPr>
        <w:sz w:val="18"/>
      </w:rPr>
      <w:t xml:space="preserve">strana </w:t>
    </w:r>
    <w:r>
      <w:rPr>
        <w:sz w:val="22"/>
      </w:rPr>
      <w:t xml:space="preserve">z </w:t>
    </w:r>
    <w:r>
      <w:rPr>
        <w:sz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779" w:rsidRDefault="001239C0">
    <w:pPr>
      <w:spacing w:after="0" w:line="259" w:lineRule="auto"/>
      <w:ind w:left="192" w:firstLine="0"/>
      <w:jc w:val="center"/>
    </w:pPr>
    <w:r>
      <w:rPr>
        <w:sz w:val="18"/>
      </w:rPr>
      <w:t xml:space="preserve">strana </w:t>
    </w:r>
    <w:r>
      <w:rPr>
        <w:sz w:val="22"/>
      </w:rPr>
      <w:t xml:space="preserve">z </w:t>
    </w:r>
    <w:r>
      <w:rPr>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239C0">
      <w:pPr>
        <w:spacing w:after="0" w:line="240" w:lineRule="auto"/>
      </w:pPr>
      <w:r>
        <w:separator/>
      </w:r>
    </w:p>
  </w:footnote>
  <w:footnote w:type="continuationSeparator" w:id="0">
    <w:p w:rsidR="00000000" w:rsidRDefault="00123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2DAE"/>
    <w:multiLevelType w:val="hybridMultilevel"/>
    <w:tmpl w:val="71AAE49A"/>
    <w:lvl w:ilvl="0" w:tplc="97E24446">
      <w:start w:val="2"/>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C603C">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898A0">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A7630">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C046BC">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C87C4">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9423EC">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584BEE">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BE8B62">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1443D4"/>
    <w:multiLevelType w:val="hybridMultilevel"/>
    <w:tmpl w:val="DAA69DFA"/>
    <w:lvl w:ilvl="0" w:tplc="14E4C39E">
      <w:start w:val="1"/>
      <w:numFmt w:val="decimal"/>
      <w:lvlText w:val="%1."/>
      <w:lvlJc w:val="left"/>
      <w:pPr>
        <w:ind w:left="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EF358">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8276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D8ABB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6CA42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6940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FE6378">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68699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C87730">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DA2601"/>
    <w:multiLevelType w:val="hybridMultilevel"/>
    <w:tmpl w:val="52FE6C04"/>
    <w:lvl w:ilvl="0" w:tplc="680ABF7E">
      <w:start w:val="1"/>
      <w:numFmt w:val="lowerLetter"/>
      <w:lvlText w:val="%1)"/>
      <w:lvlJc w:val="left"/>
      <w:pPr>
        <w:ind w:left="7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B72C89A">
      <w:start w:val="1"/>
      <w:numFmt w:val="lowerLetter"/>
      <w:lvlText w:val="%2"/>
      <w:lvlJc w:val="left"/>
      <w:pPr>
        <w:ind w:left="1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A50CFEC">
      <w:start w:val="1"/>
      <w:numFmt w:val="lowerRoman"/>
      <w:lvlText w:val="%3"/>
      <w:lvlJc w:val="left"/>
      <w:pPr>
        <w:ind w:left="2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FEABB2">
      <w:start w:val="1"/>
      <w:numFmt w:val="decimal"/>
      <w:lvlText w:val="%4"/>
      <w:lvlJc w:val="left"/>
      <w:pPr>
        <w:ind w:left="2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40CFE1E">
      <w:start w:val="1"/>
      <w:numFmt w:val="lowerLetter"/>
      <w:lvlText w:val="%5"/>
      <w:lvlJc w:val="left"/>
      <w:pPr>
        <w:ind w:left="3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E8407E">
      <w:start w:val="1"/>
      <w:numFmt w:val="lowerRoman"/>
      <w:lvlText w:val="%6"/>
      <w:lvlJc w:val="left"/>
      <w:pPr>
        <w:ind w:left="4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6D66498">
      <w:start w:val="1"/>
      <w:numFmt w:val="decimal"/>
      <w:lvlText w:val="%7"/>
      <w:lvlJc w:val="left"/>
      <w:pPr>
        <w:ind w:left="5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78A3804">
      <w:start w:val="1"/>
      <w:numFmt w:val="lowerLetter"/>
      <w:lvlText w:val="%8"/>
      <w:lvlJc w:val="left"/>
      <w:pPr>
        <w:ind w:left="5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E6560A">
      <w:start w:val="1"/>
      <w:numFmt w:val="lowerRoman"/>
      <w:lvlText w:val="%9"/>
      <w:lvlJc w:val="left"/>
      <w:pPr>
        <w:ind w:left="6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7518586E"/>
    <w:multiLevelType w:val="hybridMultilevel"/>
    <w:tmpl w:val="9F867E0A"/>
    <w:lvl w:ilvl="0" w:tplc="EDF8E018">
      <w:start w:val="1"/>
      <w:numFmt w:val="decimal"/>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4BAD6">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CCF576">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E45E3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1E63C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84C03C">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C8A0B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682B8E">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8571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779"/>
    <w:rsid w:val="00033779"/>
    <w:rsid w:val="00123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FC044-EA3F-44A9-AC5A-37231CF9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33" w:line="226" w:lineRule="auto"/>
      <w:ind w:left="24"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0"/>
      <w:ind w:right="158"/>
      <w:jc w:val="center"/>
      <w:outlineLvl w:val="0"/>
    </w:pPr>
    <w:rPr>
      <w:rFonts w:ascii="Times New Roman" w:eastAsia="Times New Roman" w:hAnsi="Times New Roman" w:cs="Times New Roman"/>
      <w:color w:val="000000"/>
      <w:sz w:val="5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5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6089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Kurzweilová Dana</dc:creator>
  <cp:keywords/>
  <cp:lastModifiedBy>Kurzweilová Dana</cp:lastModifiedBy>
  <cp:revision>2</cp:revision>
  <dcterms:created xsi:type="dcterms:W3CDTF">2018-03-08T12:50:00Z</dcterms:created>
  <dcterms:modified xsi:type="dcterms:W3CDTF">2018-03-08T12:50:00Z</dcterms:modified>
</cp:coreProperties>
</file>