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C4" w:rsidRDefault="00722577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9.1pt;margin-top:46.45pt;width:161.1pt;height:71.65pt;z-index:251646976;mso-wrap-distance-left:5pt;mso-wrap-distance-right:5pt;mso-position-horizontal-relative:margin" wrapcoords="0 0 15552 0 15552 3250 21600 3339 21600 21600 186 21600 186 3339 0 3250 0 0" filled="f" stroked="f">
            <v:textbox style="mso-fit-shape-to-text:t" inset="0,0,0,0">
              <w:txbxContent>
                <w:p w:rsidR="009B68C4" w:rsidRDefault="00722577">
                  <w:pPr>
                    <w:pStyle w:val="Titulekobrzku2"/>
                    <w:shd w:val="clear" w:color="auto" w:fill="auto"/>
                    <w:spacing w:line="180" w:lineRule="exact"/>
                  </w:pPr>
                  <w:proofErr w:type="spellStart"/>
                  <w:r>
                    <w:t>Sš</w:t>
                  </w:r>
                  <w:proofErr w:type="spellEnd"/>
                  <w:r>
                    <w:t xml:space="preserve"> automobilní a informatiky</w:t>
                  </w:r>
                </w:p>
                <w:p w:rsidR="009B68C4" w:rsidRDefault="0072257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"D:\\media\\image3.png"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61.25pt;height:1in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 w:rsidR="009B68C4" w:rsidRPr="00B85196" w:rsidRDefault="00B85196">
      <w:pPr>
        <w:spacing w:line="360" w:lineRule="exact"/>
        <w:rPr>
          <w:sz w:val="32"/>
        </w:rPr>
      </w:pPr>
      <w:r>
        <w:tab/>
      </w:r>
      <w:r>
        <w:tab/>
      </w:r>
      <w:r w:rsidRPr="00B85196">
        <w:rPr>
          <w:sz w:val="32"/>
        </w:rPr>
        <w:tab/>
        <w:t>068/2017</w:t>
      </w: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702" w:lineRule="exact"/>
      </w:pPr>
    </w:p>
    <w:p w:rsidR="009B68C4" w:rsidRDefault="009B68C4">
      <w:pPr>
        <w:rPr>
          <w:sz w:val="2"/>
          <w:szCs w:val="2"/>
        </w:rPr>
        <w:sectPr w:rsidR="009B68C4">
          <w:headerReference w:type="default" r:id="rId9"/>
          <w:headerReference w:type="first" r:id="rId10"/>
          <w:type w:val="continuous"/>
          <w:pgSz w:w="11900" w:h="16840"/>
          <w:pgMar w:top="1306" w:right="143" w:bottom="7236" w:left="1323" w:header="0" w:footer="3" w:gutter="0"/>
          <w:cols w:space="720"/>
          <w:noEndnote/>
          <w:titlePg/>
          <w:docGrid w:linePitch="360"/>
        </w:sectPr>
      </w:pPr>
    </w:p>
    <w:p w:rsidR="009B68C4" w:rsidRDefault="00722577">
      <w:pPr>
        <w:rPr>
          <w:sz w:val="2"/>
          <w:szCs w:val="2"/>
        </w:rPr>
      </w:pPr>
      <w:r>
        <w:pict>
          <v:shape id="_x0000_s1060" type="#_x0000_t202" style="width:595pt;height:1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B68C4" w:rsidRDefault="009B68C4"/>
              </w:txbxContent>
            </v:textbox>
            <w10:wrap type="none"/>
            <w10:anchorlock/>
          </v:shape>
        </w:pict>
      </w:r>
      <w:r>
        <w:t xml:space="preserve"> </w:t>
      </w:r>
    </w:p>
    <w:p w:rsidR="009B68C4" w:rsidRDefault="009B68C4">
      <w:pPr>
        <w:rPr>
          <w:sz w:val="2"/>
          <w:szCs w:val="2"/>
        </w:rPr>
        <w:sectPr w:rsidR="009B68C4">
          <w:type w:val="continuous"/>
          <w:pgSz w:w="11900" w:h="16840"/>
          <w:pgMar w:top="8295" w:right="0" w:bottom="7251" w:left="0" w:header="0" w:footer="3" w:gutter="0"/>
          <w:cols w:space="720"/>
          <w:noEndnote/>
          <w:docGrid w:linePitch="360"/>
        </w:sectPr>
      </w:pPr>
    </w:p>
    <w:p w:rsidR="009B68C4" w:rsidRDefault="00722577">
      <w:pPr>
        <w:pStyle w:val="Zkladntext40"/>
        <w:shd w:val="clear" w:color="auto" w:fill="auto"/>
        <w:spacing w:after="459" w:line="230" w:lineRule="exact"/>
      </w:pPr>
      <w:r>
        <w:rPr>
          <w:rStyle w:val="Zkladntext4Malpsmena"/>
          <w:b/>
          <w:bCs/>
        </w:rPr>
        <w:lastRenderedPageBreak/>
        <w:t xml:space="preserve">Smlouva o sdružených službách dodávky elektřiny č. </w:t>
      </w:r>
      <w:r>
        <w:rPr>
          <w:rStyle w:val="Zkladntext4115ptMalpsmena"/>
          <w:b/>
          <w:bCs/>
        </w:rPr>
        <w:t>00064581/</w:t>
      </w:r>
      <w:proofErr w:type="spellStart"/>
      <w:r>
        <w:rPr>
          <w:rStyle w:val="Zkladntext4115ptMalpsmena"/>
          <w:b/>
          <w:bCs/>
        </w:rPr>
        <w:t>nn</w:t>
      </w:r>
      <w:proofErr w:type="spellEnd"/>
    </w:p>
    <w:p w:rsidR="009B68C4" w:rsidRDefault="00722577">
      <w:pPr>
        <w:pStyle w:val="Zkladntext40"/>
        <w:shd w:val="clear" w:color="auto" w:fill="auto"/>
        <w:spacing w:after="0" w:line="274" w:lineRule="exact"/>
      </w:pPr>
      <w:r>
        <w:t>PRO ODBĚRNÁ MÍSTA CENTRÁLNÍHO ZADAVATELE</w:t>
      </w:r>
    </w:p>
    <w:p w:rsidR="009B68C4" w:rsidRDefault="00722577">
      <w:pPr>
        <w:pStyle w:val="Nadpis30"/>
        <w:keepNext/>
        <w:keepLines/>
        <w:shd w:val="clear" w:color="auto" w:fill="auto"/>
        <w:sectPr w:rsidR="009B68C4">
          <w:type w:val="continuous"/>
          <w:pgSz w:w="11900" w:h="16840"/>
          <w:pgMar w:top="8295" w:right="3045" w:bottom="7251" w:left="1323" w:header="0" w:footer="3" w:gutter="0"/>
          <w:cols w:space="720"/>
          <w:noEndnote/>
          <w:docGrid w:linePitch="360"/>
        </w:sectPr>
      </w:pPr>
      <w:bookmarkStart w:id="0" w:name="bookmark0"/>
      <w:r>
        <w:t>Hlavní město Praha</w:t>
      </w:r>
      <w:bookmarkEnd w:id="0"/>
    </w:p>
    <w:p w:rsidR="009B68C4" w:rsidRDefault="00722577">
      <w:pPr>
        <w:spacing w:line="360" w:lineRule="exact"/>
      </w:pPr>
      <w:r>
        <w:lastRenderedPageBreak/>
        <w:pict>
          <v:shape id="_x0000_s1037" type="#_x0000_t202" style="position:absolute;margin-left:267.85pt;margin-top:.1pt;width:180.35pt;height:39.7pt;z-index:251653120;mso-wrap-distance-left:5pt;mso-wrap-distance-right:5pt;mso-position-horizontal-relative:margin" filled="f" stroked="f">
            <v:textbox style="mso-fit-shape-to-text:t" inset="0,0,0,0">
              <w:txbxContent>
                <w:p w:rsidR="009B68C4" w:rsidRDefault="00B85196" w:rsidP="00B85196">
                  <w:pPr>
                    <w:pStyle w:val="Zkladntext20"/>
                    <w:shd w:val="clear" w:color="auto" w:fill="auto"/>
                    <w:spacing w:line="403" w:lineRule="exact"/>
                    <w:ind w:firstLine="0"/>
                  </w:pPr>
                  <w:r>
                    <w:rPr>
                      <w:rStyle w:val="Zkladntext2Exact"/>
                    </w:rPr>
                    <w:t>Číslo smlouvy</w:t>
                  </w:r>
                  <w:r w:rsidR="00722577"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>PRE: 000645</w:t>
                  </w:r>
                  <w:r w:rsidR="00722577">
                    <w:rPr>
                      <w:rStyle w:val="Zkladntext2Exact"/>
                    </w:rPr>
                    <w:t>81/</w:t>
                  </w:r>
                  <w:proofErr w:type="spellStart"/>
                  <w:r w:rsidR="00722577">
                    <w:rPr>
                      <w:rStyle w:val="Zkladntext2Exact"/>
                    </w:rPr>
                    <w:t>nn</w:t>
                  </w:r>
                  <w:proofErr w:type="spellEnd"/>
                </w:p>
                <w:p w:rsidR="009B68C4" w:rsidRDefault="009B68C4" w:rsidP="00B85196">
                  <w:pPr>
                    <w:pStyle w:val="Zkladntext7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90.15pt;margin-top:11.05pt;width:35.65pt;height:23.05pt;z-index:251654144;mso-wrap-distance-left:5pt;mso-wrap-distance-right:5pt;mso-position-horizontal-relative:margin" filled="f" stroked="f">
            <v:textbox style="mso-fit-shape-to-text:t" inset="0,0,0,0">
              <w:txbxContent>
                <w:p w:rsidR="009B68C4" w:rsidRDefault="009B68C4">
                  <w:pPr>
                    <w:pStyle w:val="Nadpis1"/>
                    <w:keepNext/>
                    <w:keepLines/>
                    <w:shd w:val="clear" w:color="auto" w:fill="auto"/>
                    <w:spacing w:line="3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.9pt;margin-top:38.7pt;width:214.55pt;height:40.85pt;z-index:251655168;mso-wrap-distance-left:5pt;mso-wrap-distance-right:5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80"/>
                    <w:shd w:val="clear" w:color="auto" w:fill="auto"/>
                  </w:pPr>
                  <w:r>
                    <w:rPr>
                      <w:rStyle w:val="Zkladntext8Exact"/>
                      <w:b/>
                      <w:bCs/>
                    </w:rPr>
                    <w:t>obchodník s elektřinou (na straně jedné): Pražská energetika, a. s.</w:t>
                  </w:r>
                </w:p>
              </w:txbxContent>
            </v:textbox>
            <w10:wrap anchorx="margin"/>
          </v:shape>
        </w:pict>
      </w:r>
    </w:p>
    <w:p w:rsidR="009B68C4" w:rsidRDefault="009B68C4">
      <w:pPr>
        <w:spacing w:line="360" w:lineRule="exact"/>
      </w:pPr>
    </w:p>
    <w:p w:rsidR="009B68C4" w:rsidRDefault="009B68C4">
      <w:pPr>
        <w:spacing w:line="360" w:lineRule="exact"/>
      </w:pPr>
    </w:p>
    <w:p w:rsidR="009B68C4" w:rsidRDefault="009B68C4">
      <w:pPr>
        <w:spacing w:line="474" w:lineRule="exact"/>
      </w:pPr>
    </w:p>
    <w:p w:rsidR="009B68C4" w:rsidRDefault="009B68C4">
      <w:pPr>
        <w:rPr>
          <w:sz w:val="2"/>
          <w:szCs w:val="2"/>
        </w:rPr>
        <w:sectPr w:rsidR="009B68C4">
          <w:pgSz w:w="11900" w:h="16840"/>
          <w:pgMar w:top="961" w:right="1000" w:bottom="2679" w:left="1198" w:header="0" w:footer="3" w:gutter="0"/>
          <w:cols w:space="720"/>
          <w:noEndnote/>
          <w:docGrid w:linePitch="360"/>
        </w:sectPr>
      </w:pPr>
    </w:p>
    <w:p w:rsidR="009B68C4" w:rsidRDefault="00722577">
      <w:pPr>
        <w:pStyle w:val="Zkladntext20"/>
        <w:shd w:val="clear" w:color="auto" w:fill="auto"/>
        <w:spacing w:line="378" w:lineRule="exact"/>
        <w:ind w:firstLine="0"/>
      </w:pPr>
      <w:r>
        <w:lastRenderedPageBreak/>
        <w:pict>
          <v:shape id="_x0000_s1040" type="#_x0000_t202" style="position:absolute;margin-left:-143.65pt;margin-top:-7.3pt;width:83.5pt;height:154.9pt;z-index:-251660288;mso-wrap-distance-left:5pt;mso-wrap-distance-right:60.1pt;mso-position-horizontal-relative:margin;mso-position-vertic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20"/>
                    <w:shd w:val="clear" w:color="auto" w:fill="auto"/>
                    <w:spacing w:line="382" w:lineRule="exact"/>
                    <w:ind w:firstLine="0"/>
                  </w:pPr>
                  <w:r>
                    <w:rPr>
                      <w:rStyle w:val="Zkladntext2Exact"/>
                    </w:rPr>
                    <w:t>se sídlem: zástupce:</w:t>
                  </w:r>
                </w:p>
                <w:p w:rsidR="009B68C4" w:rsidRDefault="00722577">
                  <w:pPr>
                    <w:pStyle w:val="Zkladntext9"/>
                    <w:shd w:val="clear" w:color="auto" w:fill="auto"/>
                  </w:pPr>
                  <w:r>
                    <w:t>IČ:</w:t>
                  </w:r>
                </w:p>
                <w:p w:rsidR="009B68C4" w:rsidRDefault="00722577">
                  <w:pPr>
                    <w:pStyle w:val="Zkladntext20"/>
                    <w:shd w:val="clear" w:color="auto" w:fill="auto"/>
                    <w:spacing w:line="382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9B68C4" w:rsidRDefault="00722577">
                  <w:pPr>
                    <w:pStyle w:val="Zkladntext20"/>
                    <w:shd w:val="clear" w:color="auto" w:fill="auto"/>
                    <w:spacing w:line="382" w:lineRule="exact"/>
                    <w:ind w:firstLine="0"/>
                  </w:pPr>
                  <w:r>
                    <w:rPr>
                      <w:rStyle w:val="Zkladntext2Exact"/>
                    </w:rPr>
                    <w:t>OR:</w:t>
                  </w:r>
                </w:p>
                <w:p w:rsidR="009B68C4" w:rsidRDefault="00722577">
                  <w:pPr>
                    <w:pStyle w:val="Zkladntext20"/>
                    <w:shd w:val="clear" w:color="auto" w:fill="auto"/>
                    <w:spacing w:line="382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 registrační číslo:</w:t>
                  </w:r>
                </w:p>
              </w:txbxContent>
            </v:textbox>
            <w10:wrap type="square" side="right" anchorx="margin" anchory="margin"/>
          </v:shape>
        </w:pict>
      </w:r>
      <w:r>
        <w:t>Praha 10, Na Hroudě 1492/4, PSC 100 05</w:t>
      </w:r>
    </w:p>
    <w:p w:rsidR="009B68C4" w:rsidRDefault="00722577">
      <w:pPr>
        <w:pStyle w:val="Zkladntext20"/>
        <w:shd w:val="clear" w:color="auto" w:fill="auto"/>
        <w:spacing w:line="378" w:lineRule="exact"/>
        <w:ind w:firstLine="0"/>
      </w:pPr>
      <w:r>
        <w:t xml:space="preserve">Ing. </w:t>
      </w:r>
      <w:r>
        <w:t>Zdeněk Smetana, vedoucí sekce Prodej (na základě plné moci)</w:t>
      </w:r>
    </w:p>
    <w:p w:rsidR="009B68C4" w:rsidRDefault="00722577">
      <w:pPr>
        <w:pStyle w:val="Zkladntext20"/>
        <w:shd w:val="clear" w:color="auto" w:fill="auto"/>
        <w:spacing w:line="378" w:lineRule="exact"/>
        <w:ind w:firstLine="0"/>
      </w:pPr>
      <w:r>
        <w:t>60193913</w:t>
      </w:r>
    </w:p>
    <w:p w:rsidR="009B68C4" w:rsidRDefault="00722577">
      <w:pPr>
        <w:pStyle w:val="Zkladntext20"/>
        <w:shd w:val="clear" w:color="auto" w:fill="auto"/>
        <w:spacing w:line="378" w:lineRule="exact"/>
        <w:ind w:firstLine="0"/>
      </w:pPr>
      <w:r>
        <w:t>CZ60193913</w:t>
      </w:r>
    </w:p>
    <w:p w:rsidR="009B68C4" w:rsidRDefault="00722577">
      <w:pPr>
        <w:pStyle w:val="Zkladntext20"/>
        <w:shd w:val="clear" w:color="auto" w:fill="auto"/>
        <w:spacing w:line="378" w:lineRule="exact"/>
        <w:ind w:firstLine="0"/>
      </w:pPr>
      <w:r>
        <w:t>Městský soud v Praze, oddíl B, vložka 2405</w:t>
      </w:r>
    </w:p>
    <w:p w:rsidR="009B68C4" w:rsidRDefault="009B68C4">
      <w:pPr>
        <w:framePr w:h="662" w:wrap="notBeside" w:vAnchor="text" w:hAnchor="text" w:y="1"/>
        <w:rPr>
          <w:sz w:val="2"/>
          <w:szCs w:val="2"/>
        </w:rPr>
      </w:pPr>
    </w:p>
    <w:p w:rsidR="009B68C4" w:rsidRDefault="00722577">
      <w:pPr>
        <w:pStyle w:val="Titulekobrzku30"/>
        <w:framePr w:h="662" w:wrap="notBeside" w:vAnchor="text" w:hAnchor="text" w:y="1"/>
        <w:shd w:val="clear" w:color="auto" w:fill="auto"/>
        <w:spacing w:line="220" w:lineRule="exact"/>
      </w:pPr>
      <w:r>
        <w:t>ID RUT 116</w:t>
      </w:r>
    </w:p>
    <w:p w:rsidR="009B68C4" w:rsidRDefault="009B68C4">
      <w:pPr>
        <w:rPr>
          <w:sz w:val="2"/>
          <w:szCs w:val="2"/>
        </w:rPr>
      </w:pPr>
    </w:p>
    <w:p w:rsidR="009B68C4" w:rsidRDefault="009B68C4">
      <w:pPr>
        <w:rPr>
          <w:sz w:val="2"/>
          <w:szCs w:val="2"/>
        </w:rPr>
        <w:sectPr w:rsidR="009B68C4">
          <w:type w:val="continuous"/>
          <w:pgSz w:w="11900" w:h="16840"/>
          <w:pgMar w:top="2616" w:right="1774" w:bottom="2664" w:left="4114" w:header="0" w:footer="3" w:gutter="0"/>
          <w:cols w:space="720"/>
          <w:noEndnote/>
          <w:docGrid w:linePitch="360"/>
        </w:sectPr>
      </w:pPr>
    </w:p>
    <w:p w:rsidR="009B68C4" w:rsidRDefault="009B68C4">
      <w:pPr>
        <w:spacing w:before="103" w:after="103" w:line="240" w:lineRule="exact"/>
        <w:rPr>
          <w:sz w:val="19"/>
          <w:szCs w:val="19"/>
        </w:rPr>
      </w:pPr>
    </w:p>
    <w:p w:rsidR="009B68C4" w:rsidRDefault="009B68C4">
      <w:pPr>
        <w:rPr>
          <w:sz w:val="2"/>
          <w:szCs w:val="2"/>
        </w:rPr>
        <w:sectPr w:rsidR="009B68C4">
          <w:type w:val="continuous"/>
          <w:pgSz w:w="11900" w:h="16840"/>
          <w:pgMar w:top="1637" w:right="0" w:bottom="1248" w:left="0" w:header="0" w:footer="3" w:gutter="0"/>
          <w:cols w:space="720"/>
          <w:noEndnote/>
          <w:docGrid w:linePitch="360"/>
        </w:sectPr>
      </w:pPr>
    </w:p>
    <w:p w:rsidR="009B68C4" w:rsidRDefault="00722577">
      <w:pPr>
        <w:pStyle w:val="Zkladntext20"/>
        <w:shd w:val="clear" w:color="auto" w:fill="auto"/>
        <w:spacing w:line="240" w:lineRule="exact"/>
        <w:ind w:firstLine="0"/>
      </w:pPr>
      <w:r>
        <w:t xml:space="preserve">(dále jen “PRE”) </w:t>
      </w:r>
      <w:r>
        <w:rPr>
          <w:rStyle w:val="Zkladntext8"/>
        </w:rPr>
        <w:t xml:space="preserve">centrální zadavatel (na straně druhé): </w:t>
      </w:r>
      <w:r>
        <w:rPr>
          <w:rStyle w:val="Zkladntext8Arial"/>
        </w:rPr>
        <w:t>Hlavní město Praha</w:t>
      </w:r>
    </w:p>
    <w:p w:rsidR="009B68C4" w:rsidRDefault="00722577">
      <w:pPr>
        <w:pStyle w:val="Zkladntext20"/>
        <w:shd w:val="clear" w:color="auto" w:fill="auto"/>
        <w:spacing w:line="371" w:lineRule="exact"/>
        <w:ind w:firstLine="0"/>
      </w:pPr>
      <w:r>
        <w:pict>
          <v:shape id="_x0000_s1042" type="#_x0000_t202" style="position:absolute;margin-left:143.45pt;margin-top:-4.6pt;width:232.9pt;height:75.4pt;z-index:-251659264;mso-wrap-distance-left:101pt;mso-wrap-distance-top:15.45pt;mso-wrap-distance-right:5pt;mso-wrap-distance-bottom:3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20"/>
                    <w:shd w:val="clear" w:color="auto" w:fill="auto"/>
                    <w:spacing w:line="371" w:lineRule="exact"/>
                    <w:ind w:firstLine="0"/>
                  </w:pPr>
                  <w:r>
                    <w:rPr>
                      <w:rStyle w:val="Zkladntext2Exact"/>
                    </w:rPr>
                    <w:t>Praha 1, Mariánské náměstí 2/2, PSČ: 110 01 Mgr. Marta Dufková, ředitelka odboru VEZ MHMP 00064581 CZ00064581</w:t>
                  </w:r>
                </w:p>
              </w:txbxContent>
            </v:textbox>
            <w10:wrap type="square" side="left" anchorx="margin"/>
          </v:shape>
        </w:pict>
      </w:r>
      <w:r>
        <w:t>se sídlem: zástupce:</w:t>
      </w:r>
    </w:p>
    <w:p w:rsidR="009B68C4" w:rsidRDefault="00722577">
      <w:pPr>
        <w:pStyle w:val="Zkladntext20"/>
        <w:shd w:val="clear" w:color="auto" w:fill="auto"/>
        <w:spacing w:line="371" w:lineRule="exact"/>
        <w:ind w:firstLine="0"/>
      </w:pPr>
      <w:r>
        <w:t>IČ:</w:t>
      </w:r>
    </w:p>
    <w:p w:rsidR="009B68C4" w:rsidRDefault="00722577">
      <w:pPr>
        <w:pStyle w:val="Zkladntext20"/>
        <w:shd w:val="clear" w:color="auto" w:fill="auto"/>
        <w:spacing w:line="371" w:lineRule="exact"/>
        <w:ind w:firstLine="0"/>
      </w:pPr>
      <w:r>
        <w:t>DIČ:</w:t>
      </w:r>
    </w:p>
    <w:p w:rsidR="009B68C4" w:rsidRDefault="00722577">
      <w:pPr>
        <w:pStyle w:val="Zkladntext20"/>
        <w:shd w:val="clear" w:color="auto" w:fill="auto"/>
        <w:spacing w:line="371" w:lineRule="exact"/>
        <w:ind w:firstLine="0"/>
      </w:pPr>
      <w:bookmarkStart w:id="1" w:name="_GoBack"/>
      <w:bookmarkEnd w:id="1"/>
      <w:r>
        <w:t>bankovní spojení: číslo účtu: a</w:t>
      </w:r>
    </w:p>
    <w:p w:rsidR="009B68C4" w:rsidRDefault="00722577">
      <w:pPr>
        <w:pStyle w:val="Zkladntext20"/>
        <w:shd w:val="clear" w:color="auto" w:fill="auto"/>
        <w:spacing w:after="380" w:line="245" w:lineRule="exact"/>
        <w:ind w:firstLine="0"/>
      </w:pPr>
      <w:r>
        <w:t>pověř</w:t>
      </w:r>
      <w:r>
        <w:t>ující zadavatelé, jejichž výčet a identifikační údaje jsou uvedeny v příloze této smlouvy, jejichž jménem jedná centrální zadavatel</w:t>
      </w:r>
    </w:p>
    <w:p w:rsidR="009B68C4" w:rsidRDefault="00722577">
      <w:pPr>
        <w:pStyle w:val="Zkladntext20"/>
        <w:shd w:val="clear" w:color="auto" w:fill="auto"/>
        <w:spacing w:after="498" w:line="220" w:lineRule="exact"/>
        <w:ind w:firstLine="0"/>
      </w:pPr>
      <w:r>
        <w:t>(dále také „ZÁKAZNÍKA) uzavřeli níže uvedeného dne, měsíce a roku tuto</w:t>
      </w:r>
    </w:p>
    <w:p w:rsidR="009B68C4" w:rsidRDefault="00722577">
      <w:pPr>
        <w:pStyle w:val="Zkladntext40"/>
        <w:shd w:val="clear" w:color="auto" w:fill="auto"/>
        <w:spacing w:after="125" w:line="240" w:lineRule="exact"/>
        <w:ind w:right="60"/>
        <w:jc w:val="center"/>
      </w:pPr>
      <w:r>
        <w:rPr>
          <w:rStyle w:val="Zkladntext4Malpsmena"/>
          <w:b/>
          <w:bCs/>
        </w:rPr>
        <w:t>Smlouvu o sdružených službách dodávky elektřiny (odbě</w:t>
      </w:r>
      <w:r>
        <w:rPr>
          <w:rStyle w:val="Zkladntext4Malpsmena"/>
          <w:b/>
          <w:bCs/>
        </w:rPr>
        <w:t xml:space="preserve">ry </w:t>
      </w:r>
      <w:r>
        <w:rPr>
          <w:rStyle w:val="Zkladntext412pt"/>
          <w:b/>
          <w:bCs/>
        </w:rPr>
        <w:t>NN)</w:t>
      </w:r>
    </w:p>
    <w:p w:rsidR="009B68C4" w:rsidRDefault="00722577">
      <w:pPr>
        <w:pStyle w:val="Zkladntext20"/>
        <w:shd w:val="clear" w:color="auto" w:fill="auto"/>
        <w:spacing w:after="113" w:line="220" w:lineRule="exact"/>
        <w:ind w:right="60" w:firstLine="0"/>
        <w:jc w:val="center"/>
      </w:pPr>
      <w:r>
        <w:t xml:space="preserve">(dále </w:t>
      </w:r>
      <w:proofErr w:type="gramStart"/>
      <w:r>
        <w:t>jen ,,Smlouva</w:t>
      </w:r>
      <w:proofErr w:type="gramEnd"/>
      <w:r>
        <w:t>“)</w:t>
      </w:r>
    </w:p>
    <w:p w:rsidR="009B68C4" w:rsidRDefault="00722577">
      <w:pPr>
        <w:pStyle w:val="Zkladntext20"/>
        <w:shd w:val="clear" w:color="auto" w:fill="auto"/>
        <w:spacing w:line="245" w:lineRule="exact"/>
        <w:ind w:firstLine="0"/>
      </w:pPr>
      <w:r>
        <w:t xml:space="preserve">podle zákona č, 458/2000 Sb., energetický zákon (dále </w:t>
      </w:r>
      <w:proofErr w:type="gramStart"/>
      <w:r>
        <w:t>jen ,,Zákon</w:t>
      </w:r>
      <w:proofErr w:type="gramEnd"/>
      <w:r>
        <w:t>“), v platném znění, jeho prováděcích právních předpisů, jak následuje:</w:t>
      </w:r>
      <w:r>
        <w:br w:type="page"/>
      </w:r>
    </w:p>
    <w:p w:rsidR="009B68C4" w:rsidRDefault="0072257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50"/>
        </w:tabs>
        <w:spacing w:after="69" w:line="240" w:lineRule="exact"/>
        <w:ind w:left="3660"/>
        <w:jc w:val="both"/>
      </w:pPr>
      <w:bookmarkStart w:id="2" w:name="bookmark3"/>
      <w:r>
        <w:lastRenderedPageBreak/>
        <w:t>PŘEDMĚT PLNĚNÍ</w:t>
      </w:r>
      <w:bookmarkEnd w:id="2"/>
    </w:p>
    <w:p w:rsidR="009B68C4" w:rsidRDefault="00722577">
      <w:pPr>
        <w:pStyle w:val="Zkladntext20"/>
        <w:shd w:val="clear" w:color="auto" w:fill="auto"/>
        <w:spacing w:after="77" w:line="220" w:lineRule="exact"/>
        <w:ind w:firstLine="0"/>
      </w:pPr>
      <w:r>
        <w:t>Předmětem plnění z této Smlouvy je za níže dohodnutých podmínek:</w:t>
      </w:r>
    </w:p>
    <w:p w:rsidR="009B68C4" w:rsidRDefault="00722577">
      <w:pPr>
        <w:pStyle w:val="Zkladntext20"/>
        <w:numPr>
          <w:ilvl w:val="0"/>
          <w:numId w:val="2"/>
        </w:numPr>
        <w:shd w:val="clear" w:color="auto" w:fill="auto"/>
        <w:tabs>
          <w:tab w:val="left" w:pos="1331"/>
        </w:tabs>
        <w:spacing w:line="256" w:lineRule="exact"/>
        <w:ind w:left="1320" w:hanging="580"/>
        <w:jc w:val="both"/>
      </w:pPr>
      <w:r>
        <w:t>dodávka a</w:t>
      </w:r>
      <w:r>
        <w:t xml:space="preserve"> odběr sjednaného množství elektřiny mezi PRE a ZÁKAZNÍKEM v odběrném místě ZÁKAZNÍKA vymezeném v této Smlouvě (dále jen „Odběrné místo“);</w:t>
      </w:r>
    </w:p>
    <w:p w:rsidR="009B68C4" w:rsidRDefault="00722577">
      <w:pPr>
        <w:pStyle w:val="Zkladntext20"/>
        <w:numPr>
          <w:ilvl w:val="0"/>
          <w:numId w:val="2"/>
        </w:numPr>
        <w:shd w:val="clear" w:color="auto" w:fill="auto"/>
        <w:tabs>
          <w:tab w:val="left" w:pos="1331"/>
        </w:tabs>
        <w:spacing w:after="40" w:line="220" w:lineRule="exact"/>
        <w:ind w:left="1320" w:hanging="580"/>
        <w:jc w:val="both"/>
      </w:pPr>
      <w:r>
        <w:t>zajištění souvisejících služeb v elektroenergetice ze strany PRE pro ZÁKAZNÍKA;</w:t>
      </w:r>
    </w:p>
    <w:p w:rsidR="009B68C4" w:rsidRDefault="00722577">
      <w:pPr>
        <w:pStyle w:val="Zkladntext20"/>
        <w:numPr>
          <w:ilvl w:val="0"/>
          <w:numId w:val="2"/>
        </w:numPr>
        <w:shd w:val="clear" w:color="auto" w:fill="auto"/>
        <w:tabs>
          <w:tab w:val="left" w:pos="1331"/>
        </w:tabs>
        <w:spacing w:line="252" w:lineRule="exact"/>
        <w:ind w:left="1320" w:hanging="580"/>
        <w:jc w:val="both"/>
      </w:pPr>
      <w:r>
        <w:t xml:space="preserve">úhrada smluvní ceny silové elektřiny </w:t>
      </w:r>
      <w:r>
        <w:t>a úhrada regulovaných cen související služby v elektroenergetice ze strany ZÁKAZNÍKA ve prospěch PRE;</w:t>
      </w:r>
    </w:p>
    <w:p w:rsidR="009B68C4" w:rsidRDefault="00722577">
      <w:pPr>
        <w:pStyle w:val="Zkladntext20"/>
        <w:numPr>
          <w:ilvl w:val="0"/>
          <w:numId w:val="2"/>
        </w:numPr>
        <w:shd w:val="clear" w:color="auto" w:fill="auto"/>
        <w:tabs>
          <w:tab w:val="left" w:pos="1331"/>
        </w:tabs>
        <w:spacing w:after="430" w:line="252" w:lineRule="exact"/>
        <w:ind w:left="1320" w:hanging="580"/>
        <w:jc w:val="both"/>
      </w:pPr>
      <w:r>
        <w:t>převzetí závazku ZÁKAZNÍKA odebrat elektřinu z elektrizační soustavy ze strany PRE spolu s odpovědností za odchylku vztahující se k Odběrnému místu.</w:t>
      </w:r>
    </w:p>
    <w:p w:rsidR="009B68C4" w:rsidRDefault="00B8519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46"/>
        </w:tabs>
        <w:spacing w:after="37" w:line="240" w:lineRule="exact"/>
        <w:ind w:left="3900"/>
        <w:jc w:val="both"/>
      </w:pPr>
      <w:bookmarkStart w:id="3" w:name="bookmark4"/>
      <w:r>
        <w:t>ČAS</w:t>
      </w:r>
      <w:r w:rsidR="00722577">
        <w:t xml:space="preserve"> </w:t>
      </w:r>
      <w:r w:rsidR="00722577">
        <w:t>PLNĚNÍ</w:t>
      </w:r>
      <w:bookmarkEnd w:id="3"/>
    </w:p>
    <w:p w:rsidR="009B68C4" w:rsidRDefault="00722577">
      <w:pPr>
        <w:pStyle w:val="Zkladntext20"/>
        <w:numPr>
          <w:ilvl w:val="0"/>
          <w:numId w:val="3"/>
        </w:numPr>
        <w:shd w:val="clear" w:color="auto" w:fill="auto"/>
        <w:tabs>
          <w:tab w:val="left" w:pos="1331"/>
        </w:tabs>
        <w:spacing w:after="374" w:line="256" w:lineRule="exact"/>
        <w:ind w:left="1320" w:hanging="580"/>
        <w:jc w:val="both"/>
      </w:pPr>
      <w:r>
        <w:t xml:space="preserve">S plněním dle této Smlouvy bude za níže dohodnutých podmínek, započato v době od 00:00 hod. Dne </w:t>
      </w:r>
      <w:proofErr w:type="gramStart"/>
      <w:r>
        <w:t>1.1.2018</w:t>
      </w:r>
      <w:proofErr w:type="gramEnd"/>
      <w:r>
        <w:t xml:space="preserve"> a toto plnění bude poskytováno v souladu s touto Smlouvou a příslušnými právními předpisy po dobu účinnosti této Smlouvy.</w:t>
      </w:r>
    </w:p>
    <w:p w:rsidR="009B68C4" w:rsidRDefault="0072257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74"/>
        </w:tabs>
        <w:spacing w:line="313" w:lineRule="exact"/>
        <w:ind w:left="2620"/>
        <w:jc w:val="both"/>
      </w:pPr>
      <w:bookmarkStart w:id="4" w:name="bookmark5"/>
      <w:r>
        <w:t xml:space="preserve">SPECIFIKACE ODBĚRNÉHO </w:t>
      </w:r>
      <w:r>
        <w:t>MÍSTA</w:t>
      </w:r>
      <w:bookmarkEnd w:id="4"/>
    </w:p>
    <w:p w:rsidR="009B68C4" w:rsidRDefault="00722577">
      <w:pPr>
        <w:pStyle w:val="Zkladntext20"/>
        <w:numPr>
          <w:ilvl w:val="0"/>
          <w:numId w:val="4"/>
        </w:numPr>
        <w:shd w:val="clear" w:color="auto" w:fill="auto"/>
        <w:tabs>
          <w:tab w:val="left" w:pos="1331"/>
        </w:tabs>
        <w:spacing w:line="313" w:lineRule="exact"/>
        <w:ind w:left="1320" w:hanging="580"/>
        <w:jc w:val="both"/>
      </w:pPr>
      <w:r>
        <w:t>Specifikace Odběrných míst je uvedena v Příloze, která je nedílnou součástí této Smlouvy.</w:t>
      </w:r>
    </w:p>
    <w:p w:rsidR="009B68C4" w:rsidRDefault="00722577">
      <w:pPr>
        <w:pStyle w:val="Zkladntext20"/>
        <w:numPr>
          <w:ilvl w:val="0"/>
          <w:numId w:val="4"/>
        </w:numPr>
        <w:shd w:val="clear" w:color="auto" w:fill="auto"/>
        <w:tabs>
          <w:tab w:val="left" w:pos="1331"/>
        </w:tabs>
        <w:spacing w:line="313" w:lineRule="exact"/>
        <w:ind w:left="1320" w:hanging="580"/>
        <w:jc w:val="both"/>
      </w:pPr>
      <w:r>
        <w:t>ZÁKAZNÍK prohlašuje, že má příslušná majetkoprávní oprávnění k Odběrnému místu.</w:t>
      </w:r>
    </w:p>
    <w:p w:rsidR="009B68C4" w:rsidRDefault="00722577">
      <w:pPr>
        <w:pStyle w:val="Zkladntext20"/>
        <w:numPr>
          <w:ilvl w:val="0"/>
          <w:numId w:val="4"/>
        </w:numPr>
        <w:shd w:val="clear" w:color="auto" w:fill="auto"/>
        <w:tabs>
          <w:tab w:val="left" w:pos="1331"/>
        </w:tabs>
        <w:spacing w:after="430" w:line="252" w:lineRule="exact"/>
        <w:ind w:left="1320" w:hanging="580"/>
        <w:jc w:val="both"/>
      </w:pPr>
      <w:r>
        <w:t xml:space="preserve">Z důvodu provozních potřeb může ZÁKAZNÍK v průběhu smluvního období počet </w:t>
      </w:r>
      <w:r>
        <w:t>měřících nebo Odběrných míst změnit, a to jak zrušením stávajících, tak zřízením nových Odběrných míst (případně i přepisem odběrných míst z jiného subjektu). PRE i pro tyto případy ZÁKAZNÍKOVI garantuje sjednané ceny, resp. koeficient, a neprodleně po ozn</w:t>
      </w:r>
      <w:r>
        <w:t>ámení ZÁKAZNÍKA o zřízení nového odběrného místa zahájí dodávku elektrické energie za podmínek sjednaných v rámci této Smlouvy.</w:t>
      </w:r>
    </w:p>
    <w:p w:rsidR="009B68C4" w:rsidRDefault="0072257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934"/>
        </w:tabs>
        <w:spacing w:after="70" w:line="240" w:lineRule="exact"/>
        <w:ind w:left="3480"/>
        <w:jc w:val="both"/>
      </w:pPr>
      <w:bookmarkStart w:id="5" w:name="bookmark6"/>
      <w:r>
        <w:t>DODACÍ PODMÍNKY</w:t>
      </w:r>
      <w:bookmarkEnd w:id="5"/>
    </w:p>
    <w:p w:rsidR="009B68C4" w:rsidRDefault="00722577">
      <w:pPr>
        <w:pStyle w:val="Zkladntext20"/>
        <w:numPr>
          <w:ilvl w:val="0"/>
          <w:numId w:val="5"/>
        </w:numPr>
        <w:shd w:val="clear" w:color="auto" w:fill="auto"/>
        <w:tabs>
          <w:tab w:val="left" w:pos="1331"/>
        </w:tabs>
        <w:spacing w:line="256" w:lineRule="exact"/>
        <w:ind w:left="1320" w:hanging="580"/>
        <w:jc w:val="both"/>
      </w:pPr>
      <w:r>
        <w:t xml:space="preserve">PRE se zavazuje dodávat ZÁKAZNÍKOVI sjednané množství elektřiny do Odběrného místa v kvalitě podle příslušných </w:t>
      </w:r>
      <w:r>
        <w:t>právních předpisů. Za sjednané množství dodávek elektřiny považuje skutečně dodané a odebrané množství v Odběrném místě dle údajů z měření.</w:t>
      </w:r>
    </w:p>
    <w:p w:rsidR="009B68C4" w:rsidRDefault="00722577">
      <w:pPr>
        <w:pStyle w:val="Zkladntext20"/>
        <w:numPr>
          <w:ilvl w:val="0"/>
          <w:numId w:val="5"/>
        </w:numPr>
        <w:shd w:val="clear" w:color="auto" w:fill="auto"/>
        <w:tabs>
          <w:tab w:val="left" w:pos="1331"/>
        </w:tabs>
        <w:spacing w:line="256" w:lineRule="exact"/>
        <w:ind w:left="1320" w:hanging="580"/>
        <w:jc w:val="both"/>
      </w:pPr>
      <w:r>
        <w:t>ZÁKAZNÍK se zavazuje elektřinu dodávanou ze strany PRE v Odběrném místě odebírat a za skutečně odebrané množství ele</w:t>
      </w:r>
      <w:r>
        <w:t>ktřiny dle údajů z měření platit cenu ve výši stanovené této Smlouvě. Na ZÁKAZNÍKA se nevztahují sankce za nedodržení množství odběru elektrické energie.</w:t>
      </w:r>
    </w:p>
    <w:p w:rsidR="009B68C4" w:rsidRDefault="00722577">
      <w:pPr>
        <w:pStyle w:val="Zkladntext20"/>
        <w:numPr>
          <w:ilvl w:val="0"/>
          <w:numId w:val="5"/>
        </w:numPr>
        <w:shd w:val="clear" w:color="auto" w:fill="auto"/>
        <w:tabs>
          <w:tab w:val="left" w:pos="1331"/>
        </w:tabs>
        <w:spacing w:line="256" w:lineRule="exact"/>
        <w:ind w:left="1320" w:hanging="580"/>
        <w:jc w:val="both"/>
      </w:pPr>
      <w:r>
        <w:t>PRE přebírá úplnou zodpovědnost za odchylku. Nebude se vyhodnocovat skutečně odebrané množství elektri</w:t>
      </w:r>
      <w:r>
        <w:t>cké energie ve smyslu jakýchkoliv dalších poplatků, nebo sankcí.</w:t>
      </w:r>
    </w:p>
    <w:p w:rsidR="009B68C4" w:rsidRDefault="00722577">
      <w:pPr>
        <w:pStyle w:val="Zkladntext20"/>
        <w:numPr>
          <w:ilvl w:val="0"/>
          <w:numId w:val="5"/>
        </w:numPr>
        <w:shd w:val="clear" w:color="auto" w:fill="auto"/>
        <w:tabs>
          <w:tab w:val="left" w:pos="1331"/>
        </w:tabs>
        <w:spacing w:line="256" w:lineRule="exact"/>
        <w:ind w:left="1320" w:hanging="580"/>
        <w:jc w:val="both"/>
      </w:pPr>
      <w:r>
        <w:t>ZÁKAZNÍK nebude mít po dobu trvání smluvního vztahu upraveného Smlouvou více obchodních partnerů pro dodávky elektřiny do Odběrného místa.</w:t>
      </w:r>
    </w:p>
    <w:p w:rsidR="009B68C4" w:rsidRDefault="00722577">
      <w:pPr>
        <w:pStyle w:val="Zkladntext20"/>
        <w:numPr>
          <w:ilvl w:val="0"/>
          <w:numId w:val="5"/>
        </w:numPr>
        <w:shd w:val="clear" w:color="auto" w:fill="auto"/>
        <w:tabs>
          <w:tab w:val="left" w:pos="1331"/>
        </w:tabs>
        <w:spacing w:line="259" w:lineRule="exact"/>
        <w:ind w:left="1320" w:hanging="580"/>
        <w:jc w:val="both"/>
      </w:pPr>
      <w:r>
        <w:t>Podmínkou zahájení a poskytování dodávek elektřiny p</w:t>
      </w:r>
      <w:r>
        <w:t>odle této Smlouvy je splnění následujících povinností ZÁKAZNÍKA:</w:t>
      </w:r>
    </w:p>
    <w:p w:rsidR="009B68C4" w:rsidRDefault="00722577">
      <w:pPr>
        <w:pStyle w:val="Zkladntext20"/>
        <w:numPr>
          <w:ilvl w:val="0"/>
          <w:numId w:val="6"/>
        </w:numPr>
        <w:shd w:val="clear" w:color="auto" w:fill="auto"/>
        <w:tabs>
          <w:tab w:val="left" w:pos="2184"/>
        </w:tabs>
        <w:spacing w:line="256" w:lineRule="exact"/>
        <w:ind w:left="2180"/>
        <w:jc w:val="both"/>
      </w:pPr>
      <w:r>
        <w:t>ZÁKAZNÍK je povinen zajistit připojení svého Odběrného místa k distribuční soustavě příslušného PDS způsobem a v souladu se Zákonem, prováděcími předpisy a Pravidly provozování distribuční so</w:t>
      </w:r>
      <w:r>
        <w:t>ustavy schválenými Energetickým regulačním úřadem.</w:t>
      </w:r>
    </w:p>
    <w:p w:rsidR="009B68C4" w:rsidRDefault="00722577">
      <w:pPr>
        <w:pStyle w:val="Zkladntext20"/>
        <w:numPr>
          <w:ilvl w:val="0"/>
          <w:numId w:val="6"/>
        </w:numPr>
        <w:shd w:val="clear" w:color="auto" w:fill="auto"/>
        <w:tabs>
          <w:tab w:val="left" w:pos="2184"/>
        </w:tabs>
        <w:spacing w:line="252" w:lineRule="exact"/>
        <w:ind w:left="2180"/>
        <w:jc w:val="both"/>
        <w:sectPr w:rsidR="009B68C4">
          <w:type w:val="continuous"/>
          <w:pgSz w:w="11900" w:h="16840"/>
          <w:pgMar w:top="1637" w:right="845" w:bottom="1248" w:left="1295" w:header="0" w:footer="3" w:gutter="0"/>
          <w:cols w:space="720"/>
          <w:noEndnote/>
          <w:docGrid w:linePitch="360"/>
        </w:sectPr>
      </w:pPr>
      <w:r>
        <w:t xml:space="preserve">ZÁKAZNÍK je povinen ukončit ke dni zahájení dodávky dle této Smlouvy účinnost všech stávajících smluv, které má uzavřeny s územně příslušnými provozovateli distribučních soustav </w:t>
      </w:r>
      <w:r>
        <w:t>a/nebo obchodníky s elektřinou, případně s výrobci, pro dodávky a distribuci elektřiny do Odběrného místa.</w:t>
      </w:r>
    </w:p>
    <w:p w:rsidR="009B68C4" w:rsidRDefault="0072257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148"/>
        </w:tabs>
        <w:spacing w:after="36" w:line="240" w:lineRule="exact"/>
        <w:ind w:left="1680"/>
        <w:jc w:val="both"/>
      </w:pPr>
      <w:bookmarkStart w:id="6" w:name="bookmark7"/>
      <w:r>
        <w:lastRenderedPageBreak/>
        <w:t>PODMÍNKY POSKYTOVÁNÍ SOUVISEJÍCÍCH SLUŽEB</w:t>
      </w:r>
      <w:bookmarkEnd w:id="6"/>
    </w:p>
    <w:p w:rsidR="009B68C4" w:rsidRDefault="00722577">
      <w:pPr>
        <w:pStyle w:val="Zkladntext20"/>
        <w:numPr>
          <w:ilvl w:val="0"/>
          <w:numId w:val="7"/>
        </w:numPr>
        <w:shd w:val="clear" w:color="auto" w:fill="auto"/>
        <w:tabs>
          <w:tab w:val="left" w:pos="1398"/>
        </w:tabs>
        <w:spacing w:line="252" w:lineRule="exact"/>
        <w:ind w:left="1400" w:hanging="580"/>
        <w:jc w:val="both"/>
      </w:pPr>
      <w:r>
        <w:t xml:space="preserve">Související služby v </w:t>
      </w:r>
      <w:proofErr w:type="spellStart"/>
      <w:r>
        <w:t>elektroenergetíce</w:t>
      </w:r>
      <w:proofErr w:type="spellEnd"/>
      <w:r>
        <w:t xml:space="preserve"> jsou zajišťovány na základě a v souladu se Zákonem, prováděcími před</w:t>
      </w:r>
      <w:r>
        <w:t xml:space="preserve">pisy a Pravidly provozování distribuční soustavy (dále </w:t>
      </w:r>
      <w:proofErr w:type="gramStart"/>
      <w:r>
        <w:t>jen ,,PPDS</w:t>
      </w:r>
      <w:proofErr w:type="gramEnd"/>
      <w:r>
        <w:t>“) příslušného PĎS schválenými Energetickým regulačním úřadem (dále jen ,,ERÚ“).</w:t>
      </w:r>
    </w:p>
    <w:p w:rsidR="009B68C4" w:rsidRDefault="00722577">
      <w:pPr>
        <w:pStyle w:val="Zkladntext20"/>
        <w:numPr>
          <w:ilvl w:val="0"/>
          <w:numId w:val="7"/>
        </w:numPr>
        <w:shd w:val="clear" w:color="auto" w:fill="auto"/>
        <w:tabs>
          <w:tab w:val="left" w:pos="1398"/>
        </w:tabs>
        <w:spacing w:line="252" w:lineRule="exact"/>
        <w:ind w:left="1400" w:hanging="580"/>
        <w:jc w:val="both"/>
      </w:pPr>
      <w:r>
        <w:t xml:space="preserve">PRE se zavazuje zajistit ZÁKAZNÍKOVI na vlastní jméno a na vlastní účet související služby v </w:t>
      </w:r>
      <w:proofErr w:type="spellStart"/>
      <w:r>
        <w:t>elektroenergetíce</w:t>
      </w:r>
      <w:proofErr w:type="spellEnd"/>
      <w:r>
        <w:t xml:space="preserve"> pro Odběrné místo ZÁKAZNÍKA uvedené ve Smlouvě. K zajištění dodávky elektřiny ZÁKAZNÍKOVI uzavírá PRE smlouvu o distribuci s příslušným PDS, a to za podmínek stanovených tímto příslušným PDS a v rozsahu a kvalitě uvedené ve Smlouvě. ZÁKAZNÍK uděluje PRE s</w:t>
      </w:r>
      <w:r>
        <w:t xml:space="preserve"> uzavřením takové smlouvy o distribuci elektřiny souhlas a zavazuje se poskytnout PRE při jednání s příslušným PDS potřebnou součinnost. ZÁKAZNÍK se zavazuje řídit podmínkami distribuce příslušného PDS (dále jen „podmínky distribuce^).</w:t>
      </w:r>
    </w:p>
    <w:p w:rsidR="009B68C4" w:rsidRDefault="00722577">
      <w:pPr>
        <w:pStyle w:val="Zkladntext20"/>
        <w:numPr>
          <w:ilvl w:val="0"/>
          <w:numId w:val="7"/>
        </w:numPr>
        <w:shd w:val="clear" w:color="auto" w:fill="auto"/>
        <w:tabs>
          <w:tab w:val="left" w:pos="1398"/>
        </w:tabs>
        <w:spacing w:line="252" w:lineRule="exact"/>
        <w:ind w:left="1400" w:hanging="580"/>
        <w:jc w:val="both"/>
      </w:pPr>
      <w:r>
        <w:t xml:space="preserve">Hodnotu rezervované </w:t>
      </w:r>
      <w:r>
        <w:t xml:space="preserve">kapacity v Odběrném místě sjedná PRE s příslušným PDS ve smlouvě o distribuci ve výši uvedené v této Smlouvě. Rezervovanou kapacitou se u odběrů z napěťové hladiny </w:t>
      </w:r>
      <w:proofErr w:type="spellStart"/>
      <w:r>
        <w:t>nn</w:t>
      </w:r>
      <w:proofErr w:type="spellEnd"/>
      <w:r>
        <w:t xml:space="preserve"> rozumí maximální hodnota proudu, která je omezena velikostí proudové hodnoty a typu okamž</w:t>
      </w:r>
      <w:r>
        <w:t>itého vypínacího proudu instalovaného hlavního jističe před elektroměrem.</w:t>
      </w:r>
    </w:p>
    <w:p w:rsidR="009B68C4" w:rsidRDefault="00722577">
      <w:pPr>
        <w:pStyle w:val="Zkladntext20"/>
        <w:numPr>
          <w:ilvl w:val="0"/>
          <w:numId w:val="7"/>
        </w:numPr>
        <w:shd w:val="clear" w:color="auto" w:fill="auto"/>
        <w:tabs>
          <w:tab w:val="left" w:pos="1398"/>
        </w:tabs>
        <w:spacing w:line="252" w:lineRule="exact"/>
        <w:ind w:left="1400" w:hanging="580"/>
        <w:jc w:val="both"/>
      </w:pPr>
      <w:r>
        <w:t xml:space="preserve">ZÁKAZNÍK se v souladu se Zákonem a příslušným prováděcím předpisem zavazuje zaplatit PRE za zajištění distribuce a souvisejících služeb dodávky elektřiny cenu ve výši podle platného </w:t>
      </w:r>
      <w:r>
        <w:t>cenového rozhodnutí ERÚ. ZÁKAZNÍK se dále v souladu se Zákonem a příslušným prováděcím předpisem zavazuje zaplatit PRE cenu na krytí vícenákladů spojených s podporou elektřiny a cenu za zúčtování operátora trhu, případně další regulované ceny, ve výši podl</w:t>
      </w:r>
      <w:r>
        <w:t>e cenového rozhodnutí ERÚ.</w:t>
      </w:r>
    </w:p>
    <w:p w:rsidR="009B68C4" w:rsidRDefault="00722577">
      <w:pPr>
        <w:pStyle w:val="Zkladntext20"/>
        <w:numPr>
          <w:ilvl w:val="0"/>
          <w:numId w:val="7"/>
        </w:numPr>
        <w:shd w:val="clear" w:color="auto" w:fill="auto"/>
        <w:tabs>
          <w:tab w:val="left" w:pos="1398"/>
        </w:tabs>
        <w:spacing w:after="433" w:line="256" w:lineRule="exact"/>
        <w:ind w:left="1400" w:hanging="580"/>
        <w:jc w:val="both"/>
      </w:pPr>
      <w:r>
        <w:t>V Odběrném místě může ZÁKAZNÍK provozovat vlastní zdroj energie, který je přímo propojen s distribuční soustavou, pouze po dohodě s příslušným PDS na základě písemné dohody a za plnění jím stanovených podmínek.</w:t>
      </w:r>
    </w:p>
    <w:p w:rsidR="009B68C4" w:rsidRDefault="0072257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348"/>
        </w:tabs>
        <w:spacing w:after="37" w:line="240" w:lineRule="exact"/>
        <w:ind w:left="2880"/>
        <w:jc w:val="both"/>
      </w:pPr>
      <w:bookmarkStart w:id="7" w:name="bookmark8"/>
      <w:r>
        <w:t>MĚŘENÍ DODÁVEK ELE</w:t>
      </w:r>
      <w:r>
        <w:t>KTŘINY</w:t>
      </w:r>
      <w:bookmarkEnd w:id="7"/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98"/>
        </w:tabs>
        <w:spacing w:line="256" w:lineRule="exact"/>
        <w:ind w:left="1400" w:hanging="580"/>
        <w:jc w:val="both"/>
      </w:pPr>
      <w:r>
        <w:t>Měření dodávek elektřiny dle Smlouvy a předávání skutečných naměřených hodnot Operátorovi trhu za účelem vyhodnocení odchylek zajišťuje příslušný PDS na základě a v souladu se Zákonem, prováděcími předpisy a PPDS.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98"/>
        </w:tabs>
        <w:spacing w:line="252" w:lineRule="exact"/>
        <w:ind w:left="1400" w:hanging="580"/>
        <w:jc w:val="both"/>
      </w:pPr>
      <w:r>
        <w:t xml:space="preserve">Měření zajišťuje příslušný PDS </w:t>
      </w:r>
      <w:r>
        <w:t>vlastním měřicím zařízením, Příslušný PDS určí způsob měření, typ, umístění měřicího zařízení a převody měřicích transformátorů, a to v závislosti na velikosti a charakteru odběru elektřiny v příslušném odběrném místě.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98"/>
        </w:tabs>
        <w:spacing w:line="256" w:lineRule="exact"/>
        <w:ind w:left="1400" w:hanging="580"/>
        <w:jc w:val="both"/>
      </w:pPr>
      <w:r>
        <w:t>ZÁKAZNÍK je povinen upravit své odběr</w:t>
      </w:r>
      <w:r>
        <w:t>né elektrické zařízení související s měřením odběru elektřiny podle pokynů PRE oznámených ZÁKAZNÍKOVI na základě podmínek distribuce příslušného PDS a/nebo podle přímých pokynů příslušného PDS.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98"/>
        </w:tabs>
        <w:spacing w:line="256" w:lineRule="exact"/>
        <w:ind w:left="1400" w:hanging="580"/>
        <w:jc w:val="both"/>
      </w:pPr>
      <w:r>
        <w:t>Měřicí souprava, měřicí transformátory, spojovací vedení a měř</w:t>
      </w:r>
      <w:r>
        <w:t>icí skříně včetně jejich vybavení jsou součástí odběrného zařízení ZÁKAZNÍKA, který uhradí veškeré náklady na jejich pořízení (kromě měřicí soupravy) a instalaci.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98"/>
        </w:tabs>
        <w:spacing w:line="259" w:lineRule="exact"/>
        <w:ind w:left="1400" w:hanging="580"/>
        <w:jc w:val="both"/>
      </w:pPr>
      <w:r>
        <w:t>ZÁKAZNÍK je povinen závady na měřicích zařízeních, včetně porušení zajištění proti neoprávněn</w:t>
      </w:r>
      <w:r>
        <w:t>é manipulaci, které zjistí, neprodleně oznámit PRE a příslušnému PDS.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98"/>
        </w:tabs>
        <w:spacing w:line="256" w:lineRule="exact"/>
        <w:ind w:left="1400" w:hanging="580"/>
        <w:jc w:val="both"/>
      </w:pPr>
      <w:r>
        <w:t>Použití podružných měřicích, kontrolních, signalizačních a regulačních zařízení napojených na měřicí zařízení příslušného PDS nebo k tomuto příslušející měřicí transformátory je možné je</w:t>
      </w:r>
      <w:r>
        <w:t>n s předchozím písemným souhlasem příslušného PDS. Připojení provádí příslušný PDS na náklad ZÁKAZNÍKA.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98"/>
        </w:tabs>
        <w:spacing w:line="256" w:lineRule="exact"/>
        <w:ind w:left="1400" w:hanging="580"/>
        <w:jc w:val="both"/>
      </w:pPr>
      <w:r>
        <w:t>Má-</w:t>
      </w:r>
      <w:proofErr w:type="spellStart"/>
      <w:r>
        <w:t>Ii</w:t>
      </w:r>
      <w:proofErr w:type="spellEnd"/>
      <w:r>
        <w:t xml:space="preserve"> ZÁKAZNÍK pochybnosti o správnosti údajů měření nebo zjistí-li závadu na měřicím zařízení, má právo nechat je přezkoušet. Příslušný PDS je povinen </w:t>
      </w:r>
      <w:r>
        <w:t>na základě písemné žádosti od jejího doručení měřicí zařízení vyměnit a zajistit ověření správnosti měření u nezávislého autorizovaného metrologického střediska. Je-li na měřicím zařízení zjištěna závada, hradí náklady spojené s jeho přezkoušením a výměnou</w:t>
      </w:r>
      <w:r>
        <w:t xml:space="preserve"> příslušný PDS. Není-li závada zjištěna, hradí tyto náklady ZÁKAZNÍK.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41"/>
        </w:tabs>
        <w:spacing w:after="63" w:line="256" w:lineRule="exact"/>
        <w:ind w:left="1340" w:hanging="600"/>
        <w:jc w:val="both"/>
      </w:pPr>
      <w:r>
        <w:t>Příslušný PDS má právo jednotlivé části měřicího zařízení a odběrného elektrického zařízení, které souvisí s měřením zajistit proti neoprávněné manipulaci. Jakýkoliv zásah do měřicího za</w:t>
      </w:r>
      <w:r>
        <w:t>řízení bez souhlasu příslušného PDS je zakázán.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41"/>
        </w:tabs>
        <w:spacing w:after="60" w:line="252" w:lineRule="exact"/>
        <w:ind w:left="1340" w:hanging="600"/>
        <w:jc w:val="both"/>
      </w:pPr>
      <w:r>
        <w:lastRenderedPageBreak/>
        <w:t>ZÁKAZNÍK se zavazuje umožnit příslušnému PDS přístup k měřicímu zařízení a neměřeným částem odběrného zařízení za účelem provedení kontroly, odečtu, údržby, výměny či odebrání. Způsob přístupu k měřicímu zaří</w:t>
      </w:r>
      <w:r>
        <w:t>zení vyplývá z jeho umístění.</w:t>
      </w:r>
    </w:p>
    <w:p w:rsidR="009B68C4" w:rsidRDefault="00722577">
      <w:pPr>
        <w:pStyle w:val="Zkladntext20"/>
        <w:numPr>
          <w:ilvl w:val="0"/>
          <w:numId w:val="8"/>
        </w:numPr>
        <w:shd w:val="clear" w:color="auto" w:fill="auto"/>
        <w:tabs>
          <w:tab w:val="left" w:pos="1341"/>
        </w:tabs>
        <w:spacing w:after="490" w:line="252" w:lineRule="exact"/>
        <w:ind w:left="1340" w:hanging="600"/>
        <w:jc w:val="both"/>
      </w:pPr>
      <w:r>
        <w:t>Pravidelné odečty měřicího zařízení pro účely vyhodnocení odběru elektřiny provádí příslušný PDS podle svých podmínek distribuce v souladu s příslušným právním předpisem.</w:t>
      </w:r>
    </w:p>
    <w:p w:rsidR="009B68C4" w:rsidRDefault="0072257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766"/>
        </w:tabs>
        <w:spacing w:after="14" w:line="240" w:lineRule="exact"/>
        <w:ind w:left="4280"/>
        <w:jc w:val="both"/>
      </w:pPr>
      <w:bookmarkStart w:id="8" w:name="bookmark9"/>
      <w:r>
        <w:t>CENA</w:t>
      </w:r>
      <w:bookmarkEnd w:id="8"/>
    </w:p>
    <w:p w:rsidR="009B68C4" w:rsidRDefault="00722577">
      <w:pPr>
        <w:pStyle w:val="Zkladntext20"/>
        <w:numPr>
          <w:ilvl w:val="0"/>
          <w:numId w:val="9"/>
        </w:numPr>
        <w:shd w:val="clear" w:color="auto" w:fill="auto"/>
        <w:tabs>
          <w:tab w:val="left" w:pos="1341"/>
        </w:tabs>
        <w:spacing w:after="54" w:line="284" w:lineRule="exact"/>
        <w:ind w:left="1340" w:hanging="600"/>
        <w:jc w:val="both"/>
      </w:pPr>
      <w:r>
        <w:t xml:space="preserve">Centrální zadavatel požaduje plnění dodávky </w:t>
      </w:r>
      <w:r>
        <w:t>způsobem postupného nákupu elektrické energie v období od 1. 1. 2018 do 31. 12. 2020 a bude postupný nákup realizovat jak pro sebe, tak pro všechny pověřující zadavatele.</w:t>
      </w:r>
    </w:p>
    <w:p w:rsidR="009B68C4" w:rsidRDefault="00722577">
      <w:pPr>
        <w:pStyle w:val="Zkladntext20"/>
        <w:shd w:val="clear" w:color="auto" w:fill="auto"/>
        <w:spacing w:after="60" w:line="292" w:lineRule="exact"/>
        <w:ind w:firstLine="0"/>
        <w:jc w:val="both"/>
      </w:pPr>
      <w:r>
        <w:t>Postupný nákup bude realizován na základě příkazů k nákupu jednotlivých velkoobchodní</w:t>
      </w:r>
      <w:r>
        <w:t xml:space="preserve">ch </w:t>
      </w:r>
      <w:r>
        <w:rPr>
          <w:rStyle w:val="Zkladntext2Tun"/>
        </w:rPr>
        <w:t xml:space="preserve">ročních </w:t>
      </w:r>
      <w:r>
        <w:t xml:space="preserve">produktů typu </w:t>
      </w:r>
      <w:proofErr w:type="spellStart"/>
      <w:r>
        <w:t>Baseload</w:t>
      </w:r>
      <w:proofErr w:type="spellEnd"/>
      <w:r>
        <w:t xml:space="preserve"> na Pražské burze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centrál </w:t>
      </w:r>
      <w:proofErr w:type="spellStart"/>
      <w:r>
        <w:t>Europe</w:t>
      </w:r>
      <w:proofErr w:type="spellEnd"/>
      <w:r>
        <w:t xml:space="preserve">, a.s. </w:t>
      </w:r>
      <w:r>
        <w:rPr>
          <w:lang w:val="en-US" w:eastAsia="en-US" w:bidi="en-US"/>
        </w:rPr>
        <w:t>(</w:t>
      </w:r>
      <w:hyperlink r:id="rId11" w:history="1">
        <w:r>
          <w:rPr>
            <w:rStyle w:val="Hypertextovodkaz"/>
            <w:lang w:val="en-US" w:eastAsia="en-US" w:bidi="en-US"/>
          </w:rPr>
          <w:t>www.pxe.cz</w:t>
        </w:r>
      </w:hyperlink>
      <w:r>
        <w:rPr>
          <w:lang w:val="en-US" w:eastAsia="en-US" w:bidi="en-US"/>
        </w:rPr>
        <w:t xml:space="preserve">). </w:t>
      </w:r>
      <w:r>
        <w:t xml:space="preserve">V příkazu Centrální zadavatel určí kolik komodity v % </w:t>
      </w:r>
      <w:r>
        <w:rPr>
          <w:rStyle w:val="Zkladntext2Tun"/>
        </w:rPr>
        <w:t xml:space="preserve">z předpokládaného ročního množství </w:t>
      </w:r>
      <w:r>
        <w:t xml:space="preserve">pro něj má dodavatel nakoupit a v </w:t>
      </w:r>
      <w:r>
        <w:t xml:space="preserve">jakém termínu. </w:t>
      </w:r>
      <w:r>
        <w:rPr>
          <w:rStyle w:val="Zkladntext2Tun"/>
        </w:rPr>
        <w:t xml:space="preserve">Nejmenší množství nákupu je 25 </w:t>
      </w:r>
      <w:r>
        <w:t xml:space="preserve">% </w:t>
      </w:r>
      <w:r>
        <w:rPr>
          <w:rStyle w:val="Zkladntext2Tun"/>
        </w:rPr>
        <w:t xml:space="preserve">z předpokládaného ročního množství - </w:t>
      </w:r>
      <w:r>
        <w:t xml:space="preserve">nákup na každý jednotlivý rok dodávky je tedy možno realizovat maximálně 4 (čtyřmi) nákupy </w:t>
      </w:r>
      <w:r>
        <w:rPr>
          <w:rStyle w:val="Zkladntext2Tun"/>
        </w:rPr>
        <w:t xml:space="preserve">(za celé období dodávky tedy maximálně 12 nákupů). </w:t>
      </w:r>
      <w:r>
        <w:t xml:space="preserve">Postupný nákup bude realizován formou nákupu velkoobchodních produktů před začátkem dodávky daného roku. </w:t>
      </w:r>
      <w:r>
        <w:rPr>
          <w:rStyle w:val="Zkladntext2Tun"/>
        </w:rPr>
        <w:t xml:space="preserve">Centrální zadavatel dá příkaz k nákupu nejpozději do 20. 12. roku před začátkem dodávky daného roku do výše 100 % předpokládaného ročního množství </w:t>
      </w:r>
      <w:r>
        <w:t>obje</w:t>
      </w:r>
      <w:r>
        <w:t>mu elektrické energie, pokud se Centrální zadavatel s dodavatelem nedohodnou jinak. Jednotlivé nákupy budou stvrzeny oboustranně podepsanou konfirmací, jež bude podepsaná centrálním zadavatelem zasílána ve formátu PDF, a to na e-mailovou adresu PRE, případ</w:t>
      </w:r>
      <w:r>
        <w:t>ně prostřednictvím zákaznického portálu PRE, a to v pracovní den nejpozději do 10:00 hod.</w:t>
      </w:r>
    </w:p>
    <w:p w:rsidR="009B68C4" w:rsidRDefault="00722577">
      <w:pPr>
        <w:pStyle w:val="Zkladntext20"/>
        <w:shd w:val="clear" w:color="auto" w:fill="auto"/>
        <w:spacing w:after="57" w:line="292" w:lineRule="exact"/>
        <w:ind w:firstLine="0"/>
        <w:jc w:val="both"/>
      </w:pPr>
      <w:r>
        <w:rPr>
          <w:rStyle w:val="Zkladntext2Tun"/>
        </w:rPr>
        <w:t xml:space="preserve">Cena účtovaná dodavatelem Zadavatelům bude určena pomocí koeficientu, kterým se bude násobit aktuální tržní cena komodity </w:t>
      </w:r>
      <w:r>
        <w:t xml:space="preserve">elektrické energie na burze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c</w:t>
      </w:r>
      <w:r>
        <w:t xml:space="preserve">entrál </w:t>
      </w:r>
      <w:proofErr w:type="spellStart"/>
      <w:r>
        <w:t>Europe</w:t>
      </w:r>
      <w:proofErr w:type="spellEnd"/>
      <w:r>
        <w:t xml:space="preserve">, a.s. </w:t>
      </w:r>
      <w:r>
        <w:rPr>
          <w:lang w:val="en-US" w:eastAsia="en-US" w:bidi="en-US"/>
        </w:rPr>
        <w:t>(</w:t>
      </w:r>
      <w:hyperlink r:id="rId12" w:history="1">
        <w:r>
          <w:rPr>
            <w:rStyle w:val="Hypertextovodkaz"/>
            <w:lang w:val="en-US" w:eastAsia="en-US" w:bidi="en-US"/>
          </w:rPr>
          <w:t>www.pxe.cz</w:t>
        </w:r>
      </w:hyperlink>
      <w:r>
        <w:rPr>
          <w:lang w:val="en-US" w:eastAsia="en-US" w:bidi="en-US"/>
        </w:rPr>
        <w:t xml:space="preserve">) </w:t>
      </w:r>
      <w:r>
        <w:t xml:space="preserve">v den nákupu. Pro nákup se bere hodnota z </w:t>
      </w:r>
      <w:proofErr w:type="spellStart"/>
      <w:r>
        <w:t>Oíficial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List </w:t>
      </w:r>
      <w:r>
        <w:rPr>
          <w:rStyle w:val="Zkladntext21"/>
        </w:rPr>
        <w:t>(</w:t>
      </w:r>
      <w:hyperlink r:id="rId13" w:history="1">
        <w:r>
          <w:rPr>
            <w:rStyle w:val="Hypertextovodkaz"/>
          </w:rPr>
          <w:t xml:space="preserve">https://www.pxe.cz/Kurzovni- </w:t>
        </w:r>
        <w:proofErr w:type="spellStart"/>
        <w:r>
          <w:rPr>
            <w:rStyle w:val="Hypertextovodkaz"/>
          </w:rPr>
          <w:t>Listek</w:t>
        </w:r>
        <w:proofErr w:type="spellEnd"/>
        <w:r>
          <w:rPr>
            <w:rStyle w:val="Hypertextovodkaz"/>
          </w:rPr>
          <w:t>/</w:t>
        </w:r>
        <w:proofErr w:type="spellStart"/>
        <w:r>
          <w:rPr>
            <w:rStyle w:val="Hypertextovodkaz"/>
          </w:rPr>
          <w:t>Oficialni</w:t>
        </w:r>
        <w:proofErr w:type="spellEnd"/>
        <w:r>
          <w:rPr>
            <w:rStyle w:val="Hypertextovodkaz"/>
          </w:rPr>
          <w:t>-KL/</w:t>
        </w:r>
      </w:hyperlink>
      <w:r>
        <w:t xml:space="preserve">) ve sloupci </w:t>
      </w:r>
      <w:proofErr w:type="spellStart"/>
      <w:r>
        <w:t>Pri</w:t>
      </w:r>
      <w:r>
        <w:t>ce</w:t>
      </w:r>
      <w:proofErr w:type="spellEnd"/>
      <w:r>
        <w:t xml:space="preserve"> [EUR] následujícího ročního produktu </w:t>
      </w:r>
      <w:proofErr w:type="spellStart"/>
      <w:r>
        <w:t>Power</w:t>
      </w:r>
      <w:proofErr w:type="spellEnd"/>
      <w:r>
        <w:t xml:space="preserve"> Base v EUR/</w:t>
      </w:r>
      <w:proofErr w:type="spellStart"/>
      <w:r>
        <w:t>MWh</w:t>
      </w:r>
      <w:proofErr w:type="spellEnd"/>
      <w:r>
        <w:t xml:space="preserve"> ve finančním vypořádání (Cal-18, Cal-19 a Cal-20).</w:t>
      </w:r>
    </w:p>
    <w:p w:rsidR="009B68C4" w:rsidRDefault="00722577">
      <w:pPr>
        <w:pStyle w:val="Zkladntext20"/>
        <w:shd w:val="clear" w:color="auto" w:fill="auto"/>
        <w:spacing w:after="180" w:line="295" w:lineRule="exact"/>
        <w:ind w:firstLine="0"/>
        <w:jc w:val="both"/>
      </w:pPr>
      <w:r>
        <w:t>Pro přepočet na českou korunu se bere směnný kurz CZK/EUR České národní banky vyhlášený pro pracovní den předcházející dni nákupu.</w:t>
      </w:r>
    </w:p>
    <w:p w:rsidR="009B68C4" w:rsidRDefault="00722577">
      <w:pPr>
        <w:pStyle w:val="Zkladntext100"/>
        <w:shd w:val="clear" w:color="auto" w:fill="auto"/>
        <w:spacing w:before="0" w:after="129" w:line="220" w:lineRule="exact"/>
        <w:ind w:left="20"/>
      </w:pPr>
      <w:r>
        <w:t>Cena nákupu v</w:t>
      </w:r>
      <w:r>
        <w:t xml:space="preserve"> CZK = cena PXE x koeficient x kurz (CZK/EUR)</w:t>
      </w:r>
    </w:p>
    <w:p w:rsidR="009B68C4" w:rsidRDefault="00722577">
      <w:pPr>
        <w:pStyle w:val="Zkladntext20"/>
        <w:shd w:val="clear" w:color="auto" w:fill="auto"/>
        <w:spacing w:after="54" w:line="292" w:lineRule="exact"/>
        <w:ind w:firstLine="0"/>
        <w:jc w:val="both"/>
      </w:pPr>
      <w:r>
        <w:t xml:space="preserve">Pokud se v průběhu postupného nákupu změní výrazným způsobem podmínky nákupu elektrické energie, tak se pro postupný nákup bere nejbližší možný příbuzný obchodní produkt. V případě ukončení činnosti burzy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centrál </w:t>
      </w:r>
      <w:proofErr w:type="spellStart"/>
      <w:r>
        <w:t>Europe</w:t>
      </w:r>
      <w:proofErr w:type="spellEnd"/>
      <w:r>
        <w:t xml:space="preserve">, a.s. </w:t>
      </w:r>
      <w:r>
        <w:rPr>
          <w:rStyle w:val="Zkladntext21"/>
        </w:rPr>
        <w:t>(</w:t>
      </w:r>
      <w:hyperlink r:id="rId14" w:history="1">
        <w:r>
          <w:rPr>
            <w:rStyle w:val="Hypertextovodkaz"/>
          </w:rPr>
          <w:t>www.pxe.cz</w:t>
        </w:r>
      </w:hyperlink>
      <w:r>
        <w:rPr>
          <w:rStyle w:val="Zkladntext21"/>
        </w:rPr>
        <w:t>)</w:t>
      </w:r>
      <w:r>
        <w:rPr>
          <w:lang w:val="en-US" w:eastAsia="en-US" w:bidi="en-US"/>
        </w:rPr>
        <w:t xml:space="preserve"> </w:t>
      </w:r>
      <w:r>
        <w:t>budou akceptovány velkoobchodní produkty nejblíže příbuzné obchodní platformy, pokud nebude dohodnuto mezi Centrálním zadavatelem a PRE jinak.</w:t>
      </w:r>
    </w:p>
    <w:p w:rsidR="009B68C4" w:rsidRDefault="00722577">
      <w:pPr>
        <w:pStyle w:val="Zkladntext20"/>
        <w:shd w:val="clear" w:color="auto" w:fill="auto"/>
        <w:spacing w:after="66" w:line="299" w:lineRule="exact"/>
        <w:ind w:firstLine="0"/>
        <w:jc w:val="both"/>
      </w:pPr>
      <w:r>
        <w:t>Ceny jednotlivých nákupů, stejně jako výsledná cena k fakturaci, se zaokrouhlí mate</w:t>
      </w:r>
      <w:r>
        <w:t>maticky na 2 desetinná místa.</w:t>
      </w:r>
    </w:p>
    <w:p w:rsidR="009B68C4" w:rsidRDefault="00722577">
      <w:pPr>
        <w:pStyle w:val="Zkladntext20"/>
        <w:shd w:val="clear" w:color="auto" w:fill="auto"/>
        <w:spacing w:line="292" w:lineRule="exact"/>
        <w:ind w:firstLine="0"/>
        <w:jc w:val="both"/>
      </w:pPr>
      <w:r>
        <w:t>Koeficient pro postupný nákup obsahuje veškeré náklady na obstarání a dodávku elektřiny, tj. PRE není oprávněn v obchodní (neregulované) části fakturovat jakékoli další poplatky.</w:t>
      </w:r>
    </w:p>
    <w:p w:rsidR="009B68C4" w:rsidRDefault="00722577">
      <w:pPr>
        <w:pStyle w:val="Zkladntext100"/>
        <w:shd w:val="clear" w:color="auto" w:fill="auto"/>
        <w:spacing w:before="0" w:after="66" w:line="220" w:lineRule="exact"/>
        <w:jc w:val="both"/>
      </w:pPr>
      <w:r>
        <w:rPr>
          <w:rStyle w:val="Zkladntext101"/>
          <w:b/>
          <w:bCs/>
        </w:rPr>
        <w:t>Určení cen k fakturaci;</w:t>
      </w:r>
    </w:p>
    <w:p w:rsidR="009B68C4" w:rsidRDefault="00722577">
      <w:pPr>
        <w:pStyle w:val="Zkladntext20"/>
        <w:shd w:val="clear" w:color="auto" w:fill="auto"/>
        <w:spacing w:line="299" w:lineRule="exact"/>
        <w:ind w:firstLine="0"/>
        <w:jc w:val="both"/>
      </w:pPr>
      <w:r>
        <w:t>Do konce daného kalendá</w:t>
      </w:r>
      <w:r>
        <w:t xml:space="preserve">řního roku předcházejícího roku dodávky bude z realizovaných nákupů proveden </w:t>
      </w:r>
      <w:r>
        <w:rPr>
          <w:rStyle w:val="Zkladntext2Tun"/>
        </w:rPr>
        <w:t xml:space="preserve">vážený průměr </w:t>
      </w:r>
      <w:r>
        <w:t>a stanoví se výsledná cena nákupu pro daný rok dodávky.</w:t>
      </w:r>
    </w:p>
    <w:p w:rsidR="009B68C4" w:rsidRDefault="00722577">
      <w:pPr>
        <w:pStyle w:val="Zkladntext20"/>
        <w:shd w:val="clear" w:color="auto" w:fill="auto"/>
        <w:spacing w:line="299" w:lineRule="exact"/>
        <w:ind w:firstLine="0"/>
        <w:jc w:val="both"/>
      </w:pPr>
      <w:r>
        <w:t>Výsledná cena nákupu se dále vynásobí níže uvedenými koeficienty za účelem určení jednotkových cen pro jednot</w:t>
      </w:r>
      <w:r>
        <w:t>livé distribuční sazby: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113"/>
        <w:gridCol w:w="1984"/>
      </w:tblGrid>
      <w:tr w:rsidR="009B68C4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Zkladntext2Tun0"/>
              </w:rPr>
              <w:lastRenderedPageBreak/>
              <w:t>Distribuční sazba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koeficient VT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koeficient NT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2"/>
              </w:rPr>
              <w:t>COld</w:t>
            </w:r>
            <w:proofErr w:type="spellEnd"/>
            <w:r>
              <w:rPr>
                <w:rStyle w:val="Zkladntext22"/>
              </w:rPr>
              <w:t>, C02d, C03d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1,000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0,000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C25d, C26d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1,140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0,690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C35d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1,015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0,945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C45d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1,080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0,940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C55d, C56d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1,210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0,780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C62d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0,680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0,000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 xml:space="preserve">DO </w:t>
            </w:r>
            <w:proofErr w:type="spellStart"/>
            <w:r>
              <w:rPr>
                <w:rStyle w:val="Zkladntext22"/>
              </w:rPr>
              <w:t>ld</w:t>
            </w:r>
            <w:proofErr w:type="spellEnd"/>
            <w:r>
              <w:rPr>
                <w:rStyle w:val="Zkladntext22"/>
              </w:rPr>
              <w:t>, D02d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1,000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6228" w:hSpace="13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0,000</w:t>
            </w:r>
          </w:p>
        </w:tc>
      </w:tr>
    </w:tbl>
    <w:p w:rsidR="009B68C4" w:rsidRDefault="009B68C4">
      <w:pPr>
        <w:framePr w:w="6228" w:hSpace="1397" w:wrap="notBeside" w:vAnchor="text" w:hAnchor="text" w:xAlign="center" w:y="1"/>
        <w:rPr>
          <w:sz w:val="2"/>
          <w:szCs w:val="2"/>
        </w:rPr>
      </w:pPr>
    </w:p>
    <w:p w:rsidR="009B68C4" w:rsidRDefault="009B68C4">
      <w:pPr>
        <w:rPr>
          <w:sz w:val="2"/>
          <w:szCs w:val="2"/>
        </w:rPr>
      </w:pPr>
    </w:p>
    <w:p w:rsidR="009B68C4" w:rsidRDefault="00722577">
      <w:pPr>
        <w:pStyle w:val="Zkladntext20"/>
        <w:numPr>
          <w:ilvl w:val="0"/>
          <w:numId w:val="9"/>
        </w:numPr>
        <w:shd w:val="clear" w:color="auto" w:fill="auto"/>
        <w:tabs>
          <w:tab w:val="left" w:pos="1362"/>
        </w:tabs>
        <w:spacing w:line="256" w:lineRule="exact"/>
        <w:ind w:left="1360" w:hanging="580"/>
        <w:jc w:val="both"/>
      </w:pPr>
      <w:r>
        <w:t xml:space="preserve">Regulované ceny </w:t>
      </w:r>
      <w:r>
        <w:t>souvisejících služeb v elektroenergetice jsou stanoveny ve výši podle účinného cenového rozhodnutí ERÚ. Distribuční sazba pro Odběrné místo připojené na hladině NN je uvedena v příloze této Smlouvy.</w:t>
      </w:r>
    </w:p>
    <w:p w:rsidR="009B68C4" w:rsidRDefault="00722577">
      <w:pPr>
        <w:pStyle w:val="Zkladntext20"/>
        <w:numPr>
          <w:ilvl w:val="0"/>
          <w:numId w:val="9"/>
        </w:numPr>
        <w:shd w:val="clear" w:color="auto" w:fill="auto"/>
        <w:tabs>
          <w:tab w:val="left" w:pos="1362"/>
        </w:tabs>
        <w:spacing w:after="433" w:line="256" w:lineRule="exact"/>
        <w:ind w:left="1360" w:hanging="580"/>
        <w:jc w:val="both"/>
      </w:pPr>
      <w:r>
        <w:t>Ceny uvedené v tomto 51. neobsahují daň z přidané hodnoty</w:t>
      </w:r>
      <w:r>
        <w:t xml:space="preserve"> (dále jen „DPH”) a daň z elektřiny. K uvedeným cenám budou připočítávány DPH a daň z elektřiny podle zvláštního právního předpisu.</w:t>
      </w:r>
    </w:p>
    <w:p w:rsidR="009B68C4" w:rsidRDefault="00722577">
      <w:pPr>
        <w:pStyle w:val="Nadpis30"/>
        <w:keepNext/>
        <w:keepLines/>
        <w:shd w:val="clear" w:color="auto" w:fill="auto"/>
        <w:spacing w:after="94" w:line="240" w:lineRule="exact"/>
        <w:jc w:val="center"/>
      </w:pPr>
      <w:bookmarkStart w:id="9" w:name="bookmark10"/>
      <w:r>
        <w:t>Vlil. FAKTURACE A PLACENÍ</w:t>
      </w:r>
      <w:bookmarkEnd w:id="9"/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62"/>
        </w:tabs>
        <w:spacing w:line="256" w:lineRule="exact"/>
        <w:ind w:left="1360" w:hanging="580"/>
        <w:jc w:val="both"/>
      </w:pPr>
      <w:r>
        <w:t xml:space="preserve">Dodávky sílové elektřiny a související služby dle této Smlouvy hradí ZAKAZNIK na základě </w:t>
      </w:r>
      <w:r>
        <w:t>vyúčtování vystaveného podle příslušného právního předpisu (dále jen „faktura”) vždy po příslušném fakturačním období.</w:t>
      </w:r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62"/>
        </w:tabs>
        <w:spacing w:line="256" w:lineRule="exact"/>
        <w:ind w:left="1360" w:hanging="580"/>
        <w:jc w:val="both"/>
      </w:pPr>
      <w:r>
        <w:t>Doplatek ceny bude zaplacen na základě faktury, ve kterém budou zaúčtovány řádně zaplacené zálohy. Faktury vystavené ze strany PRE jsou s</w:t>
      </w:r>
      <w:r>
        <w:t xml:space="preserve">platné do </w:t>
      </w:r>
      <w:proofErr w:type="spellStart"/>
      <w:r>
        <w:t>dvacetijedna</w:t>
      </w:r>
      <w:proofErr w:type="spellEnd"/>
      <w:r>
        <w:t xml:space="preserve"> (21) dnů od data vystavení faktury.</w:t>
      </w:r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62"/>
        </w:tabs>
        <w:spacing w:line="256" w:lineRule="exact"/>
        <w:ind w:left="1360" w:hanging="580"/>
        <w:jc w:val="both"/>
      </w:pPr>
      <w:r>
        <w:t>Dnem zaplacení se rozumí den odeslání platby PRE. Připadne-H den odeslání na den pracovního klidu, rozumí se dnem odeslání první následující pracovní den.</w:t>
      </w:r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62"/>
        </w:tabs>
        <w:spacing w:line="252" w:lineRule="exact"/>
        <w:ind w:left="1360" w:hanging="580"/>
        <w:jc w:val="both"/>
      </w:pPr>
      <w:r>
        <w:t>Vzniknou-li chyby nebo omyly při vyúčtován</w:t>
      </w:r>
      <w:r>
        <w:t xml:space="preserve">í elektřiny nesprávným odečtem, použitím nesprávné sazby, početní chybou apod. mají ZÁKAZNÍK a PRE nárok na vyrovnání nesprávně vyúčtovaných částek, V případě chybného vyúčtování dodávky elektřiny uplatní zákazník písemně reklamaci bez zbytečného odkladu. </w:t>
      </w:r>
      <w:r>
        <w:t>PRE reklamaci přezkoumá a výsledek písemně oznámí odběrateli do 15 kalendářních dnů ode dne, kdy reklamaci obdržel. Je-li na základě reklamace vystaven opravný daňový doklad (opravná faktura), považuje se současně za informaci o výsledku reklamace.</w:t>
      </w:r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62"/>
        </w:tabs>
        <w:spacing w:line="256" w:lineRule="exact"/>
        <w:ind w:left="1360" w:hanging="580"/>
        <w:jc w:val="both"/>
      </w:pPr>
      <w:r>
        <w:t>ZÁKAZNÍ</w:t>
      </w:r>
      <w:r>
        <w:t>K poukáže platbu se správným variabilním symbolem na bankovní účet uvedený na faktuře. Všechny platby se provádějí v Kč bezhotovostně z účtů vedených v Kč u peněžních ústavů působících na území České republiky. Všechny platby se provádějí převodním příkaze</w:t>
      </w:r>
      <w:r>
        <w:t xml:space="preserve">m k úhradě z podnětu </w:t>
      </w:r>
      <w:proofErr w:type="gramStart"/>
      <w:r>
        <w:t>plátce .</w:t>
      </w:r>
      <w:proofErr w:type="gramEnd"/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62"/>
        </w:tabs>
        <w:spacing w:line="252" w:lineRule="exact"/>
        <w:ind w:left="1360" w:hanging="580"/>
        <w:jc w:val="both"/>
        <w:sectPr w:rsidR="009B68C4">
          <w:headerReference w:type="even" r:id="rId15"/>
          <w:headerReference w:type="default" r:id="rId16"/>
          <w:headerReference w:type="first" r:id="rId17"/>
          <w:pgSz w:w="11900" w:h="16840"/>
          <w:pgMar w:top="1637" w:right="845" w:bottom="1248" w:left="1295" w:header="0" w:footer="3" w:gutter="0"/>
          <w:cols w:space="720"/>
          <w:noEndnote/>
          <w:titlePg/>
          <w:docGrid w:linePitch="360"/>
        </w:sectPr>
      </w:pPr>
      <w:r>
        <w:t xml:space="preserve">ZÁKAZNÍK je oprávněn požadovat mimořádnou fakturaci vždy k 31. 12. daného roku dodávky. Tato </w:t>
      </w:r>
      <w:r>
        <w:t xml:space="preserve">fakturace bude prováděna na základě </w:t>
      </w:r>
      <w:proofErr w:type="spellStart"/>
      <w:r>
        <w:t>samoodeětů</w:t>
      </w:r>
      <w:proofErr w:type="spellEnd"/>
      <w:r>
        <w:t xml:space="preserve"> zaslaných ZÁKAZNÍKEM nejpozději do 2. pracovního dne následujícího roku. PRE není oprávněn účtovat</w:t>
      </w:r>
    </w:p>
    <w:p w:rsidR="009B68C4" w:rsidRDefault="00722577">
      <w:pPr>
        <w:pStyle w:val="Zkladntext20"/>
        <w:numPr>
          <w:ilvl w:val="0"/>
          <w:numId w:val="3"/>
        </w:numPr>
        <w:shd w:val="clear" w:color="auto" w:fill="auto"/>
        <w:tabs>
          <w:tab w:val="left" w:pos="1341"/>
        </w:tabs>
        <w:spacing w:line="252" w:lineRule="exact"/>
        <w:ind w:left="1340" w:hanging="580"/>
        <w:jc w:val="both"/>
      </w:pPr>
      <w:r>
        <w:lastRenderedPageBreak/>
        <w:t xml:space="preserve">Povinnosti k náhradě se škůdce zprostí, </w:t>
      </w:r>
      <w:proofErr w:type="spellStart"/>
      <w:r>
        <w:t>prokááe-li</w:t>
      </w:r>
      <w:proofErr w:type="spellEnd"/>
      <w:r>
        <w:t>, že mu ve splnění povinnosti ze Smlouvy dočasně nebo trvale</w:t>
      </w:r>
      <w:r>
        <w:t xml:space="preserve"> zabránila mimořádná překážka vzniklá nezávisle na jeho vůli, jako například válka, teroristické akce, blokáda, sabotáž, požár velkého rozsahu, živelná pohroma, rozhodnutí státních orgánů s dopadem na plnění dle této Smlouvy </w:t>
      </w:r>
      <w:proofErr w:type="spellStart"/>
      <w:r>
        <w:t>ěi</w:t>
      </w:r>
      <w:proofErr w:type="spellEnd"/>
      <w:r>
        <w:t xml:space="preserve"> stavy nouze dle Zákona. Přek</w:t>
      </w:r>
      <w:r>
        <w:t>ážka vzniklá ze škůdcových osobních poměrů nebo vzniklá v době, kdy byl škůdce s plněním smluvené povinnosti v prodlení, ho však povinnosti k náhradě nezprostí.</w:t>
      </w:r>
    </w:p>
    <w:p w:rsidR="009B68C4" w:rsidRDefault="00722577">
      <w:pPr>
        <w:pStyle w:val="Zkladntext20"/>
        <w:numPr>
          <w:ilvl w:val="0"/>
          <w:numId w:val="3"/>
        </w:numPr>
        <w:shd w:val="clear" w:color="auto" w:fill="auto"/>
        <w:tabs>
          <w:tab w:val="left" w:pos="1341"/>
        </w:tabs>
        <w:spacing w:after="490" w:line="252" w:lineRule="exact"/>
        <w:ind w:left="1340" w:hanging="580"/>
        <w:jc w:val="both"/>
      </w:pPr>
      <w:r>
        <w:t>O vzniku situace překážky a jejích bližších okolnostech uvědomí smluvní strana neprodleně druho</w:t>
      </w:r>
      <w:r>
        <w:t>u stranu. Stejným způsobem bude druhá smluvní strana informována o pominutí překážky, a pokud bude požádána, předloží důvěryhodný důkaz o existenci této skutečnosti.</w:t>
      </w:r>
    </w:p>
    <w:p w:rsidR="009B68C4" w:rsidRDefault="00722577">
      <w:pPr>
        <w:pStyle w:val="Nadpis30"/>
        <w:keepNext/>
        <w:keepLines/>
        <w:numPr>
          <w:ilvl w:val="0"/>
          <w:numId w:val="11"/>
        </w:numPr>
        <w:shd w:val="clear" w:color="auto" w:fill="auto"/>
        <w:tabs>
          <w:tab w:val="left" w:pos="3930"/>
        </w:tabs>
        <w:spacing w:after="34" w:line="240" w:lineRule="exact"/>
        <w:ind w:left="3380"/>
        <w:jc w:val="both"/>
      </w:pPr>
      <w:bookmarkStart w:id="10" w:name="bookmark11"/>
      <w:r>
        <w:t>UKONČENÍ SMLOUVY</w:t>
      </w:r>
      <w:bookmarkEnd w:id="10"/>
    </w:p>
    <w:p w:rsidR="009B68C4" w:rsidRDefault="00722577">
      <w:pPr>
        <w:pStyle w:val="Zkladntext20"/>
        <w:numPr>
          <w:ilvl w:val="0"/>
          <w:numId w:val="12"/>
        </w:numPr>
        <w:shd w:val="clear" w:color="auto" w:fill="auto"/>
        <w:tabs>
          <w:tab w:val="left" w:pos="1341"/>
        </w:tabs>
        <w:spacing w:line="259" w:lineRule="exact"/>
        <w:ind w:left="1340" w:hanging="580"/>
        <w:jc w:val="both"/>
      </w:pPr>
      <w:r>
        <w:t>Tato Smlouva se uzavírá na dobu určitou do 31.12,2020 bez možnosti automa</w:t>
      </w:r>
      <w:r>
        <w:t>tické prolongace.</w:t>
      </w:r>
    </w:p>
    <w:p w:rsidR="009B68C4" w:rsidRDefault="00722577">
      <w:pPr>
        <w:pStyle w:val="Zkladntext20"/>
        <w:numPr>
          <w:ilvl w:val="0"/>
          <w:numId w:val="12"/>
        </w:numPr>
        <w:shd w:val="clear" w:color="auto" w:fill="auto"/>
        <w:tabs>
          <w:tab w:val="left" w:pos="1341"/>
        </w:tabs>
        <w:spacing w:line="252" w:lineRule="exact"/>
        <w:ind w:left="1340" w:hanging="580"/>
        <w:jc w:val="both"/>
      </w:pPr>
      <w:r>
        <w:t>Smluvní strany jsou oprávněny od této Smlouvy odstoupit v případech stanovených právními předpisy a dále v případech podstatného porušení povinností vyplývajících z této Smlouvy.</w:t>
      </w:r>
    </w:p>
    <w:p w:rsidR="009B68C4" w:rsidRDefault="00722577">
      <w:pPr>
        <w:pStyle w:val="Zkladntext20"/>
        <w:numPr>
          <w:ilvl w:val="0"/>
          <w:numId w:val="12"/>
        </w:numPr>
        <w:shd w:val="clear" w:color="auto" w:fill="auto"/>
        <w:tabs>
          <w:tab w:val="left" w:pos="1341"/>
        </w:tabs>
        <w:spacing w:line="252" w:lineRule="exact"/>
        <w:ind w:left="1340" w:hanging="580"/>
        <w:jc w:val="both"/>
      </w:pPr>
      <w:r>
        <w:t xml:space="preserve">V případech zrušení odběrného místa u ZÁKAZNÍKA, zejména z </w:t>
      </w:r>
      <w:r>
        <w:t xml:space="preserve">důvodu převodu vlastnických práv k odběrnému místu, odstranění odběrného místa, demolice, zničení živelnou pohromou, je ZÁKAZNÍK oprávněn ukončit smluvní vztah s PRE k danému odběrnému místu </w:t>
      </w:r>
      <w:proofErr w:type="spellStart"/>
      <w:r>
        <w:t>nej</w:t>
      </w:r>
      <w:proofErr w:type="spellEnd"/>
      <w:r>
        <w:t xml:space="preserve"> později do 30 dnů ode dne oznámení PRE o zrušení odběrného mí</w:t>
      </w:r>
      <w:r>
        <w:t>sta, a to bez nároku na finanční kompenzaci.</w:t>
      </w:r>
    </w:p>
    <w:p w:rsidR="009B68C4" w:rsidRDefault="00722577">
      <w:pPr>
        <w:pStyle w:val="Zkladntext20"/>
        <w:numPr>
          <w:ilvl w:val="0"/>
          <w:numId w:val="12"/>
        </w:numPr>
        <w:shd w:val="clear" w:color="auto" w:fill="auto"/>
        <w:tabs>
          <w:tab w:val="left" w:pos="1341"/>
        </w:tabs>
        <w:spacing w:after="474" w:line="220" w:lineRule="exact"/>
        <w:ind w:left="1340" w:hanging="580"/>
        <w:jc w:val="both"/>
      </w:pPr>
      <w:r>
        <w:t>Smlouva může být ukončena dohodou smluvních stran.</w:t>
      </w:r>
    </w:p>
    <w:p w:rsidR="009B68C4" w:rsidRDefault="00722577">
      <w:pPr>
        <w:pStyle w:val="Nadpis30"/>
        <w:keepNext/>
        <w:keepLines/>
        <w:numPr>
          <w:ilvl w:val="0"/>
          <w:numId w:val="11"/>
        </w:numPr>
        <w:shd w:val="clear" w:color="auto" w:fill="auto"/>
        <w:spacing w:after="36" w:line="240" w:lineRule="exact"/>
        <w:ind w:left="3800"/>
      </w:pPr>
      <w:bookmarkStart w:id="11" w:name="bookmark12"/>
      <w:r>
        <w:t>DORUČOVÁNÍ</w:t>
      </w:r>
      <w:bookmarkEnd w:id="11"/>
    </w:p>
    <w:p w:rsidR="009B68C4" w:rsidRDefault="00722577">
      <w:pPr>
        <w:pStyle w:val="Zkladntext20"/>
        <w:numPr>
          <w:ilvl w:val="0"/>
          <w:numId w:val="13"/>
        </w:numPr>
        <w:shd w:val="clear" w:color="auto" w:fill="auto"/>
        <w:tabs>
          <w:tab w:val="left" w:pos="1341"/>
        </w:tabs>
        <w:spacing w:line="252" w:lineRule="exact"/>
        <w:ind w:left="1340" w:hanging="580"/>
        <w:jc w:val="both"/>
      </w:pPr>
      <w:r>
        <w:t>Veškeré informace a oznámení dle Smlouvy musí mít písemnou podobu, není-li sjednáno jinak ve Smlouvě. Pro písemný styk lze použít způsob odeslání dop</w:t>
      </w:r>
      <w:r>
        <w:t>isu, osobní předání písemnosti, faxovou zprávu, elektronickou zprávu se zpětným potvrzením doručení nebo zprávu SMS na kontaktní číslo mobilního telefonu. Kontaktní adresy, telefony či faxová čísla a e-mailové adresy jsou uvedeny ve Smlouvě.</w:t>
      </w:r>
    </w:p>
    <w:p w:rsidR="009B68C4" w:rsidRDefault="00722577">
      <w:pPr>
        <w:pStyle w:val="Zkladntext20"/>
        <w:numPr>
          <w:ilvl w:val="0"/>
          <w:numId w:val="13"/>
        </w:numPr>
        <w:shd w:val="clear" w:color="auto" w:fill="auto"/>
        <w:tabs>
          <w:tab w:val="left" w:pos="1341"/>
        </w:tabs>
        <w:spacing w:line="252" w:lineRule="exact"/>
        <w:ind w:left="1340" w:hanging="580"/>
        <w:jc w:val="both"/>
      </w:pPr>
      <w:r>
        <w:t>Pokud se smluv</w:t>
      </w:r>
      <w:r>
        <w:t xml:space="preserve">ní strany nedohodnou jinak, musí být písemnosti týkající se vzniku, změn a zániku smluvního vztahu podle Smlouvy doručeny držitelem poštovní licence dopisem na adresu druhé strany, která je odesílateli známa podle Smlouvy (kontaktní adresa). Pokud není ve </w:t>
      </w:r>
      <w:r>
        <w:t>Smlouvě uvedena kontaktní adresa, doručují se tyto písemnosti na adresu sídla/bydliště uvedené ve Smlouvě. Při zachování stejných zásad je možné i osobní doručení písemností s písemným potvrzením převzetí.</w:t>
      </w:r>
    </w:p>
    <w:p w:rsidR="009B68C4" w:rsidRDefault="00722577">
      <w:pPr>
        <w:pStyle w:val="Zkladntext20"/>
        <w:numPr>
          <w:ilvl w:val="0"/>
          <w:numId w:val="13"/>
        </w:numPr>
        <w:shd w:val="clear" w:color="auto" w:fill="auto"/>
        <w:tabs>
          <w:tab w:val="left" w:pos="1341"/>
        </w:tabs>
        <w:spacing w:line="256" w:lineRule="exact"/>
        <w:ind w:left="1340" w:hanging="580"/>
        <w:jc w:val="both"/>
      </w:pPr>
      <w:r>
        <w:t>Povinnost odesílatele doručit písemnost adresátovi</w:t>
      </w:r>
      <w:r>
        <w:t xml:space="preserve"> je splněna, jakmile adresát písemnost převezme nebo jakmile byla držitelem poštovní licence vrácena odesílateli jako nedoručitelná a adresát svým jednáním nebo opomenutím doručení zmařil (např. neoznámení změny kontaktní adresy druhé smluvní straně). Účin</w:t>
      </w:r>
      <w:r>
        <w:t>ky doručení nastanou i tehdy, jestliže adresát přijetí písemnosti odmítne.</w:t>
      </w:r>
    </w:p>
    <w:p w:rsidR="009B68C4" w:rsidRDefault="00722577">
      <w:pPr>
        <w:pStyle w:val="Zkladntext20"/>
        <w:numPr>
          <w:ilvl w:val="0"/>
          <w:numId w:val="13"/>
        </w:numPr>
        <w:shd w:val="clear" w:color="auto" w:fill="auto"/>
        <w:tabs>
          <w:tab w:val="left" w:pos="1341"/>
        </w:tabs>
        <w:spacing w:after="495" w:line="259" w:lineRule="exact"/>
        <w:ind w:left="1340" w:hanging="580"/>
        <w:jc w:val="both"/>
      </w:pPr>
      <w:r>
        <w:t>Kontaktní údaje ZÁKAZNÍKA k jednotlivým odběrným místům jsou v Příloze č. 1 této Smlouvy.</w:t>
      </w:r>
    </w:p>
    <w:p w:rsidR="009B68C4" w:rsidRDefault="00722577">
      <w:pPr>
        <w:pStyle w:val="Nadpis30"/>
        <w:keepNext/>
        <w:keepLines/>
        <w:numPr>
          <w:ilvl w:val="0"/>
          <w:numId w:val="11"/>
        </w:numPr>
        <w:shd w:val="clear" w:color="auto" w:fill="auto"/>
        <w:tabs>
          <w:tab w:val="left" w:pos="3894"/>
        </w:tabs>
        <w:spacing w:after="75" w:line="240" w:lineRule="exact"/>
        <w:ind w:left="3380"/>
        <w:jc w:val="both"/>
      </w:pPr>
      <w:bookmarkStart w:id="12" w:name="bookmark13"/>
      <w:r>
        <w:t>ZVLÁŠTNÍ UJEDNÁNÍ</w:t>
      </w:r>
      <w:bookmarkEnd w:id="12"/>
    </w:p>
    <w:p w:rsidR="009B68C4" w:rsidRDefault="00722577">
      <w:pPr>
        <w:pStyle w:val="Zkladntext20"/>
        <w:numPr>
          <w:ilvl w:val="0"/>
          <w:numId w:val="14"/>
        </w:numPr>
        <w:shd w:val="clear" w:color="auto" w:fill="auto"/>
        <w:tabs>
          <w:tab w:val="left" w:pos="1341"/>
        </w:tabs>
        <w:spacing w:line="252" w:lineRule="exact"/>
        <w:ind w:left="1340" w:hanging="580"/>
        <w:jc w:val="both"/>
      </w:pPr>
      <w:r>
        <w:t xml:space="preserve">ZÁKAZNÍK je oprávněn kdykoli v průběhu smluvního období požádat PRE o </w:t>
      </w:r>
      <w:r>
        <w:t>zahájení dodávek elektřiny do odběrných míst subjektů, které nebyly součástí veřejné zakázky, ale pro něž je centrální zadavatel zřizovatelem či majoritním vlastníkem a v průběhu smluvního období přistoupili ke smlouvě o centralizovaném zadávání formou dod</w:t>
      </w:r>
      <w:r>
        <w:t>atku. PRE i pro tyto případy zadavateli garantuje sjednané ceny, resp. koeficient, a bez zbytečného odkladu po podání žádosti odběratele zahájí dodávku elektrické energie do předmětných odběrných míst</w:t>
      </w:r>
      <w:r>
        <w:br w:type="page"/>
      </w:r>
    </w:p>
    <w:p w:rsidR="009B68C4" w:rsidRDefault="00722577">
      <w:pPr>
        <w:pStyle w:val="Zkladntext20"/>
        <w:shd w:val="clear" w:color="auto" w:fill="auto"/>
        <w:spacing w:after="63" w:line="256" w:lineRule="exact"/>
        <w:ind w:left="1340" w:firstLine="0"/>
        <w:jc w:val="both"/>
      </w:pPr>
      <w:r>
        <w:lastRenderedPageBreak/>
        <w:t>ZÁKAZNÍKOVI jakýkoli poplatek za takto provedenou fakt</w:t>
      </w:r>
      <w:r>
        <w:t>uraci. V případě, že ZÁKAZNÍK nezašle ve stanovené lhůtě samoodečet, není PRE povinen mimořádnou fakturu vystavit.</w:t>
      </w:r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37"/>
        </w:tabs>
        <w:spacing w:after="86" w:line="252" w:lineRule="exact"/>
        <w:ind w:left="1340" w:hanging="580"/>
        <w:jc w:val="both"/>
      </w:pPr>
      <w:r>
        <w:t xml:space="preserve">V případě, že budou ZÁKAZNÍCI u některých odběrných míst (specifikováno v Příloze č. 1 této ZD) vyžadovat </w:t>
      </w:r>
      <w:proofErr w:type="spellStart"/>
      <w:r>
        <w:t>měsíění</w:t>
      </w:r>
      <w:proofErr w:type="spellEnd"/>
      <w:r>
        <w:t xml:space="preserve"> </w:t>
      </w:r>
      <w:proofErr w:type="spellStart"/>
      <w:r>
        <w:t>ěi</w:t>
      </w:r>
      <w:proofErr w:type="spellEnd"/>
      <w:r>
        <w:t xml:space="preserve"> kvartální fakturaci pro </w:t>
      </w:r>
      <w:r>
        <w:t xml:space="preserve">odběrná místa s měřením typu C, zavazují se, že budou pravidelně PRE zasílat </w:t>
      </w:r>
      <w:proofErr w:type="spellStart"/>
      <w:r>
        <w:t>samoodecty</w:t>
      </w:r>
      <w:proofErr w:type="spellEnd"/>
      <w:r>
        <w:t xml:space="preserve">. PRE je pak povinen nejpozději do 15 dní od obdržení samoodečtu vystavit fakturu za dané období. V případě, že ZÁKAZNÍK nezašle ve stanovené lhůtě samoodečet k </w:t>
      </w:r>
      <w:proofErr w:type="spellStart"/>
      <w:r>
        <w:t>měsíění</w:t>
      </w:r>
      <w:proofErr w:type="spellEnd"/>
      <w:r>
        <w:t xml:space="preserve"> </w:t>
      </w:r>
      <w:proofErr w:type="spellStart"/>
      <w:r>
        <w:t>ěi</w:t>
      </w:r>
      <w:proofErr w:type="spellEnd"/>
      <w:r>
        <w:t xml:space="preserve"> kvartální fakturaci, PRE vystaví faktum na základě odhadu spotřeby.</w:t>
      </w:r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37"/>
        </w:tabs>
        <w:spacing w:after="14" w:line="220" w:lineRule="exact"/>
        <w:ind w:left="1340" w:hanging="580"/>
        <w:jc w:val="both"/>
      </w:pPr>
      <w:r>
        <w:t>Adresa pro zasílání faktur ZÁKAZNÍKOVI je v příloze této smlouvy.</w:t>
      </w:r>
    </w:p>
    <w:p w:rsidR="009B68C4" w:rsidRDefault="00722577">
      <w:pPr>
        <w:pStyle w:val="Zkladntext20"/>
        <w:numPr>
          <w:ilvl w:val="0"/>
          <w:numId w:val="10"/>
        </w:numPr>
        <w:shd w:val="clear" w:color="auto" w:fill="auto"/>
        <w:tabs>
          <w:tab w:val="left" w:pos="1337"/>
        </w:tabs>
        <w:spacing w:after="433" w:line="256" w:lineRule="exact"/>
        <w:ind w:left="1340" w:hanging="580"/>
        <w:jc w:val="both"/>
      </w:pPr>
      <w:r>
        <w:t xml:space="preserve">ZÁKAZNÍK se zavazuje na úhradu odebrané, ale dosud nevyfakturované elektřiny, platit ve prospěch PRE zálohy. Frekvence </w:t>
      </w:r>
      <w:r>
        <w:t>úhrady zálohových plateb i zúčtovací období u jednotlivých Odběrných míst jsou uvedeny v Příloze c. 1 smlouvy. Výše zálohové platby bude stanovena na 80 % předpokládané platby za dané období,</w:t>
      </w:r>
    </w:p>
    <w:p w:rsidR="009B68C4" w:rsidRDefault="00722577">
      <w:pPr>
        <w:pStyle w:val="Nadpis30"/>
        <w:keepNext/>
        <w:keepLines/>
        <w:numPr>
          <w:ilvl w:val="0"/>
          <w:numId w:val="15"/>
        </w:numPr>
        <w:shd w:val="clear" w:color="auto" w:fill="auto"/>
        <w:tabs>
          <w:tab w:val="left" w:pos="3154"/>
        </w:tabs>
        <w:spacing w:line="240" w:lineRule="exact"/>
        <w:ind w:left="2700"/>
        <w:jc w:val="both"/>
      </w:pPr>
      <w:bookmarkStart w:id="13" w:name="bookmark14"/>
      <w:r>
        <w:t>REGULACE ODBĚRU ELEKTŘINY</w:t>
      </w:r>
      <w:bookmarkEnd w:id="13"/>
    </w:p>
    <w:p w:rsidR="009B68C4" w:rsidRDefault="00722577">
      <w:pPr>
        <w:pStyle w:val="Zkladntext20"/>
        <w:numPr>
          <w:ilvl w:val="0"/>
          <w:numId w:val="16"/>
        </w:numPr>
        <w:shd w:val="clear" w:color="auto" w:fill="auto"/>
        <w:tabs>
          <w:tab w:val="left" w:pos="1337"/>
        </w:tabs>
        <w:spacing w:after="60" w:line="252" w:lineRule="exact"/>
        <w:ind w:left="1340" w:hanging="580"/>
        <w:jc w:val="both"/>
      </w:pPr>
      <w:r>
        <w:t xml:space="preserve">Pro řešení důsledků živelných </w:t>
      </w:r>
      <w:r>
        <w:t>událostí, opatření státních orgánů za nouzového stavu, stavu ohrožení státu nebo válečného stavu, havárií nebo kumulace poruch na zařízeních pro výrobu, přenos a distribuci komodity, smogové situace, teroristického činu, nevyrovnané bilance elektrizační so</w:t>
      </w:r>
      <w:r>
        <w:t>ustavy nebo její části a dalších vymezených událostí, je provozovatel přenosové soustavy nebo příslušný PDS v souladu se Zákonem oprávněn vyhlašovat v hromadných sdělovacích prostředcích stav nouze.</w:t>
      </w:r>
    </w:p>
    <w:p w:rsidR="009B68C4" w:rsidRDefault="00722577">
      <w:pPr>
        <w:pStyle w:val="Zkladntext20"/>
        <w:numPr>
          <w:ilvl w:val="0"/>
          <w:numId w:val="16"/>
        </w:numPr>
        <w:shd w:val="clear" w:color="auto" w:fill="auto"/>
        <w:tabs>
          <w:tab w:val="left" w:pos="1337"/>
        </w:tabs>
        <w:spacing w:after="430" w:line="252" w:lineRule="exact"/>
        <w:ind w:left="1340" w:hanging="580"/>
        <w:jc w:val="both"/>
      </w:pPr>
      <w:r>
        <w:t>Pro omezení spotřeby elektřiny při předcházení stavu nouz</w:t>
      </w:r>
      <w:r>
        <w:t>e a při stavu nouze se ZÁKAZNÍK zařazuje do regulačních stupňů. Regulační stupeň ZÁKAZNÍKA je uveden ve Smlouvě nebo ve smlouvě o distribuci. ZÁKAZNÍK je povinen řídit se pokyny PRE a/nebo příslušného PDS či provozovatele přenosové soustavy k regulaci odbě</w:t>
      </w:r>
      <w:r>
        <w:t>ru elektřiny a strpět jejich oprávnění k provedení omezení nebo přerušení dodávek elektřiny v případech stavu nouze a předcházení stavu nouze.</w:t>
      </w:r>
    </w:p>
    <w:p w:rsidR="009B68C4" w:rsidRDefault="00722577">
      <w:pPr>
        <w:pStyle w:val="Nadpis30"/>
        <w:keepNext/>
        <w:keepLines/>
        <w:numPr>
          <w:ilvl w:val="0"/>
          <w:numId w:val="15"/>
        </w:numPr>
        <w:shd w:val="clear" w:color="auto" w:fill="auto"/>
        <w:tabs>
          <w:tab w:val="left" w:pos="3975"/>
        </w:tabs>
        <w:spacing w:after="127" w:line="240" w:lineRule="exact"/>
        <w:ind w:left="3500"/>
        <w:jc w:val="both"/>
      </w:pPr>
      <w:bookmarkStart w:id="14" w:name="bookmark15"/>
      <w:r>
        <w:t>KONTAKTNÍ MÍSTO</w:t>
      </w:r>
      <w:bookmarkEnd w:id="14"/>
    </w:p>
    <w:p w:rsidR="009B68C4" w:rsidRDefault="00722577">
      <w:pPr>
        <w:pStyle w:val="Zkladntext40"/>
        <w:shd w:val="clear" w:color="auto" w:fill="auto"/>
        <w:spacing w:after="0" w:line="200" w:lineRule="exact"/>
        <w:ind w:left="380"/>
      </w:pPr>
      <w:r>
        <w:t>Tabulka - Specifikace kontaktního místa projednání s dodavatelem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7"/>
        <w:gridCol w:w="6120"/>
      </w:tblGrid>
      <w:tr w:rsidR="009B68C4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8C4" w:rsidRDefault="00722577">
            <w:pPr>
              <w:pStyle w:val="Zkladntext20"/>
              <w:framePr w:w="90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Pražská energetika, a. s</w:t>
            </w:r>
            <w:r>
              <w:rPr>
                <w:rStyle w:val="Zkladntext2Tun0"/>
              </w:rPr>
              <w:t>.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90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Číslo telefonu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90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267 053 487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90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Číslo faxu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90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267 054 177</w:t>
            </w:r>
          </w:p>
        </w:tc>
      </w:tr>
      <w:tr w:rsidR="009B68C4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90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8C4" w:rsidRDefault="00722577">
            <w:pPr>
              <w:pStyle w:val="Zkladntext20"/>
              <w:framePr w:w="90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hyperlink r:id="rId18" w:history="1">
              <w:r>
                <w:rPr>
                  <w:rStyle w:val="Hypertextovodkaz"/>
                  <w:lang w:val="en-US" w:eastAsia="en-US" w:bidi="en-US"/>
                </w:rPr>
                <w:t>b2bnn@pre.cz</w:t>
              </w:r>
            </w:hyperlink>
          </w:p>
        </w:tc>
      </w:tr>
    </w:tbl>
    <w:p w:rsidR="009B68C4" w:rsidRDefault="009B68C4">
      <w:pPr>
        <w:framePr w:w="9007" w:wrap="notBeside" w:vAnchor="text" w:hAnchor="text" w:xAlign="center" w:y="1"/>
        <w:rPr>
          <w:sz w:val="2"/>
          <w:szCs w:val="2"/>
        </w:rPr>
      </w:pPr>
    </w:p>
    <w:p w:rsidR="009B68C4" w:rsidRDefault="009B68C4">
      <w:pPr>
        <w:rPr>
          <w:sz w:val="2"/>
          <w:szCs w:val="2"/>
        </w:rPr>
      </w:pPr>
    </w:p>
    <w:p w:rsidR="009B68C4" w:rsidRDefault="00722577">
      <w:pPr>
        <w:pStyle w:val="Nadpis30"/>
        <w:keepNext/>
        <w:keepLines/>
        <w:numPr>
          <w:ilvl w:val="0"/>
          <w:numId w:val="15"/>
        </w:numPr>
        <w:shd w:val="clear" w:color="auto" w:fill="auto"/>
        <w:tabs>
          <w:tab w:val="left" w:pos="1808"/>
        </w:tabs>
        <w:spacing w:before="458" w:line="240" w:lineRule="exact"/>
        <w:ind w:left="1340"/>
        <w:jc w:val="both"/>
      </w:pPr>
      <w:bookmarkStart w:id="15" w:name="bookmark16"/>
      <w:r>
        <w:t>PŘERUŠENÍ A OMEZENÍ DODÁVEK</w:t>
      </w:r>
      <w:bookmarkEnd w:id="15"/>
    </w:p>
    <w:p w:rsidR="009B68C4" w:rsidRDefault="00722577">
      <w:pPr>
        <w:pStyle w:val="Zkladntext20"/>
        <w:shd w:val="clear" w:color="auto" w:fill="auto"/>
        <w:spacing w:after="57" w:line="256" w:lineRule="exact"/>
        <w:ind w:firstLine="0"/>
        <w:jc w:val="both"/>
      </w:pPr>
      <w:r>
        <w:pict>
          <v:shape id="_x0000_s1047" type="#_x0000_t202" style="position:absolute;left:0;text-align:left;margin-left:37.35pt;margin-top:-.5pt;width:11.5pt;height:43.75pt;z-index:-251657216;mso-wrap-distance-left:5pt;mso-wrap-distance-top:13pt;mso-wrap-distance-right:18.35pt;mso-wrap-distance-bottom:72.5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20"/>
                    <w:shd w:val="clear" w:color="auto" w:fill="auto"/>
                    <w:spacing w:after="334" w:line="220" w:lineRule="exact"/>
                    <w:ind w:firstLine="0"/>
                  </w:pPr>
                  <w:r>
                    <w:rPr>
                      <w:rStyle w:val="Zkladntext2Exact"/>
                    </w:rPr>
                    <w:t>a)</w:t>
                  </w:r>
                </w:p>
                <w:p w:rsidR="009B68C4" w:rsidRDefault="00722577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b)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8" type="#_x0000_t202" style="position:absolute;left:0;text-align:left;margin-left:37.35pt;margin-top:94.15pt;width:10.8pt;height:13.9pt;z-index:-251656192;mso-wrap-distance-left:5pt;mso-wrap-distance-top:107.65pt;mso-wrap-distance-right:19.1pt;mso-wrap-distance-bottom:7.7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a)</w:t>
                  </w:r>
                </w:p>
              </w:txbxContent>
            </v:textbox>
            <w10:wrap type="square" side="right" anchorx="margin"/>
          </v:shape>
        </w:pict>
      </w:r>
      <w:r>
        <w:t xml:space="preserve">PRE má právo přerušit nebo ukončit dodávku elektřiny v Odběrném místě dle této Smlouvy v případech </w:t>
      </w:r>
      <w:r>
        <w:t>stanovených Zákonem, zejména při neoprávněném odběru.</w:t>
      </w:r>
    </w:p>
    <w:p w:rsidR="009B68C4" w:rsidRDefault="00722577">
      <w:pPr>
        <w:pStyle w:val="Zkladntext20"/>
        <w:shd w:val="clear" w:color="auto" w:fill="auto"/>
        <w:spacing w:after="435" w:line="259" w:lineRule="exact"/>
        <w:ind w:firstLine="0"/>
        <w:jc w:val="both"/>
      </w:pPr>
      <w:r>
        <w:t>Neoprávněný odběr je definován příslušnými ustanoveními Zákona. V případě neoprávněného odběru je ZÁKAZNÍK povinen uhradit PRE vzniklou škodu.</w:t>
      </w:r>
    </w:p>
    <w:p w:rsidR="009B68C4" w:rsidRDefault="00722577">
      <w:pPr>
        <w:pStyle w:val="Nadpis30"/>
        <w:keepNext/>
        <w:keepLines/>
        <w:numPr>
          <w:ilvl w:val="0"/>
          <w:numId w:val="15"/>
        </w:numPr>
        <w:shd w:val="clear" w:color="auto" w:fill="auto"/>
        <w:tabs>
          <w:tab w:val="left" w:pos="2736"/>
        </w:tabs>
        <w:spacing w:line="240" w:lineRule="exact"/>
        <w:ind w:left="2240"/>
        <w:jc w:val="both"/>
      </w:pPr>
      <w:bookmarkStart w:id="16" w:name="bookmark17"/>
      <w:r>
        <w:t>NÁHRADA ŠKODY</w:t>
      </w:r>
      <w:bookmarkEnd w:id="16"/>
    </w:p>
    <w:p w:rsidR="009B68C4" w:rsidRDefault="00722577">
      <w:pPr>
        <w:pStyle w:val="Zkladntext20"/>
        <w:shd w:val="clear" w:color="auto" w:fill="auto"/>
        <w:spacing w:line="259" w:lineRule="exact"/>
        <w:ind w:firstLine="0"/>
        <w:jc w:val="both"/>
      </w:pPr>
      <w:r>
        <w:t>Každá smluvní strana odpovídá za škodu způsob</w:t>
      </w:r>
      <w:r>
        <w:t>enou druhé smluvní straně porušením povinnosti vyplývající ze Smlouvy.</w:t>
      </w:r>
      <w:r>
        <w:br w:type="page"/>
      </w:r>
    </w:p>
    <w:p w:rsidR="009B68C4" w:rsidRDefault="00722577">
      <w:pPr>
        <w:pStyle w:val="Zkladntext20"/>
        <w:shd w:val="clear" w:color="auto" w:fill="auto"/>
        <w:spacing w:line="252" w:lineRule="exact"/>
        <w:ind w:left="1320" w:firstLine="0"/>
        <w:jc w:val="both"/>
      </w:pPr>
      <w:r>
        <w:lastRenderedPageBreak/>
        <w:t>za podmínek sjednaných v rámci této veřejné zakázky. ZÁKAZNÍK si v souladu s § 100 odst. 2 ZZVZ vyhrazuje v případe předčasného ukončení smlouvy o sdružených službách dodávky elektřiny</w:t>
      </w:r>
      <w:r>
        <w:t xml:space="preserve"> změnu v osobě dodavatele v průběhu realizace plnění a jeho nahrazení účastníkem zadávacího řízení, který se dle výsledku hodnocení umístil druhý v pořadí, a to za cenových podmínek (koeficient pro postupný nákup) obsažených v nabídce tohoto druhého účastn</w:t>
      </w:r>
      <w:r>
        <w:t>íka zadávacího řízení v pořadí a v souladu se závazným návrhem smlouvy na plnění veřejné zakázky uzavřeným s dodavatelem, který má být nahrazen, přičemž ZÁKAZNÍK je v takovém případě oprávněn závazný návrh smlouvy upravit vyjma cenových podmínek následujíc</w:t>
      </w:r>
      <w:r>
        <w:t>ím způsobem:</w:t>
      </w:r>
    </w:p>
    <w:p w:rsidR="009B68C4" w:rsidRDefault="00722577">
      <w:pPr>
        <w:pStyle w:val="Zkladntext20"/>
        <w:numPr>
          <w:ilvl w:val="0"/>
          <w:numId w:val="17"/>
        </w:numPr>
        <w:shd w:val="clear" w:color="auto" w:fill="auto"/>
        <w:tabs>
          <w:tab w:val="left" w:pos="1645"/>
        </w:tabs>
        <w:spacing w:after="43" w:line="220" w:lineRule="exact"/>
        <w:ind w:left="1440" w:firstLine="0"/>
        <w:jc w:val="both"/>
      </w:pPr>
      <w:r>
        <w:t>upravit rozsah plnění tak, aby odpovídal nedokončené části veřejné zakázky;</w:t>
      </w:r>
    </w:p>
    <w:p w:rsidR="009B68C4" w:rsidRDefault="00722577">
      <w:pPr>
        <w:pStyle w:val="Zkladntext20"/>
        <w:numPr>
          <w:ilvl w:val="0"/>
          <w:numId w:val="17"/>
        </w:numPr>
        <w:shd w:val="clear" w:color="auto" w:fill="auto"/>
        <w:tabs>
          <w:tab w:val="left" w:pos="1645"/>
        </w:tabs>
        <w:spacing w:line="252" w:lineRule="exact"/>
        <w:ind w:left="1440" w:firstLine="0"/>
        <w:jc w:val="both"/>
      </w:pPr>
      <w:r>
        <w:t xml:space="preserve">upravit harmonogram a případná další smluvní ustanovení, která v důsledku předčasného ukončení původní smlouvy nejsou aktuální tak, aby v maximální možné míře </w:t>
      </w:r>
      <w:r>
        <w:t>odpovídaly původní smlouvě;</w:t>
      </w:r>
    </w:p>
    <w:p w:rsidR="009B68C4" w:rsidRDefault="00722577">
      <w:pPr>
        <w:pStyle w:val="Zkladntext20"/>
        <w:numPr>
          <w:ilvl w:val="0"/>
          <w:numId w:val="17"/>
        </w:numPr>
        <w:shd w:val="clear" w:color="auto" w:fill="auto"/>
        <w:tabs>
          <w:tab w:val="left" w:pos="1633"/>
        </w:tabs>
        <w:spacing w:line="259" w:lineRule="exact"/>
        <w:ind w:left="1320" w:firstLine="120"/>
      </w:pPr>
      <w:r>
        <w:t>doplnit smlouvu o ustanovení týkající se předání a převzetí plnění od stávajícího dodavatele, je-li to nezbytné.</w:t>
      </w:r>
    </w:p>
    <w:p w:rsidR="009B68C4" w:rsidRDefault="00722577">
      <w:pPr>
        <w:pStyle w:val="Zkladntext20"/>
        <w:shd w:val="clear" w:color="auto" w:fill="auto"/>
        <w:spacing w:line="252" w:lineRule="exact"/>
        <w:ind w:left="1320" w:firstLine="0"/>
        <w:jc w:val="both"/>
      </w:pPr>
      <w:r>
        <w:t>Pokud účastník zadávacího řízení, který se dle výsledku hodnocení umístil druhý v pořadí, odmítne poskytovat plnění</w:t>
      </w:r>
      <w:r>
        <w:t xml:space="preserve"> namísto původně vybraného dodavatele za podmínek uvedených v předchozím odstavci, je ZÁKZAN1K oprávněn obrátit se za týchž podmínek na účastníka zadávacího řízení, který se umístil jako třetí v pořadí.</w:t>
      </w:r>
    </w:p>
    <w:p w:rsidR="009B68C4" w:rsidRDefault="00722577">
      <w:pPr>
        <w:pStyle w:val="Zkladntext20"/>
        <w:shd w:val="clear" w:color="auto" w:fill="auto"/>
        <w:spacing w:line="252" w:lineRule="exact"/>
        <w:ind w:left="1320" w:firstLine="0"/>
      </w:pPr>
      <w:r>
        <w:t xml:space="preserve">Smluvní strany této smlouvy výslovně souhlasí s tím, </w:t>
      </w:r>
      <w:r>
        <w:t>aby tato smlouva byla uvedena v Centrální evidenci smluv (CES) vedené hlavním městem Prahou, která je veřejně přístupná a která obsahuje údaje o jejích účastnících, předmětu, číselné označení této smlouvy, datum jejího podpisu a její text.</w:t>
      </w:r>
    </w:p>
    <w:p w:rsidR="009B68C4" w:rsidRDefault="00722577">
      <w:pPr>
        <w:pStyle w:val="Zkladntext20"/>
        <w:shd w:val="clear" w:color="auto" w:fill="auto"/>
        <w:spacing w:line="256" w:lineRule="exact"/>
        <w:ind w:left="1320" w:firstLine="0"/>
      </w:pPr>
      <w:r>
        <w:t>Smluvní strany p</w:t>
      </w:r>
      <w:r>
        <w:t>rohlašují, že skutečnosti uvedené v této Smlouvě nepovažují za obchodní tajemství ve smyslu § 504 občanského zákoníku a udělují svolení k jejich užití a zveřejnění bez stanovení jakýchkoliv dalších podmínek.</w:t>
      </w:r>
    </w:p>
    <w:p w:rsidR="009B68C4" w:rsidRDefault="00722577">
      <w:pPr>
        <w:pStyle w:val="Zkladntext20"/>
        <w:shd w:val="clear" w:color="auto" w:fill="auto"/>
        <w:spacing w:line="252" w:lineRule="exact"/>
        <w:ind w:left="1320" w:firstLine="0"/>
      </w:pPr>
      <w:r>
        <w:t>Smluvní strany této smlouvy výslovně sjednávají,</w:t>
      </w:r>
      <w:r>
        <w:t xml:space="preserve"> že uveřejnění této Smlouvy v registru smluv dle zákona č. 340/2015 </w:t>
      </w:r>
      <w:proofErr w:type="spellStart"/>
      <w:r>
        <w:t>Sb</w:t>
      </w:r>
      <w:proofErr w:type="spellEnd"/>
      <w:r>
        <w:t>,, o zvláštních podmínkách účinnosti některých smluv, uveřejňování těchto smluv a o registru smluv (zákon o registru smluv) zajistí hl. m. Praha.</w:t>
      </w:r>
    </w:p>
    <w:p w:rsidR="009B68C4" w:rsidRDefault="00722577">
      <w:pPr>
        <w:pStyle w:val="Zkladntext20"/>
        <w:shd w:val="clear" w:color="auto" w:fill="auto"/>
        <w:spacing w:line="256" w:lineRule="exact"/>
        <w:ind w:left="1320" w:firstLine="0"/>
        <w:jc w:val="both"/>
      </w:pPr>
      <w:r>
        <w:t>PRE prohlašuje, že bude zachovávat mlčen</w:t>
      </w:r>
      <w:r>
        <w:t>livost o všech skutečnostech, o nichž se dozvěděl v souvislosti s touto smlouvou.</w:t>
      </w:r>
    </w:p>
    <w:p w:rsidR="009B68C4" w:rsidRDefault="00722577">
      <w:pPr>
        <w:pStyle w:val="Zkladntext20"/>
        <w:shd w:val="clear" w:color="auto" w:fill="auto"/>
        <w:spacing w:line="252" w:lineRule="exact"/>
        <w:ind w:left="1320" w:firstLine="0"/>
      </w:pPr>
      <w:r>
        <w:t xml:space="preserve">PRE bere na vědomí, že ZÁKAZNÍK je povinen na dotaz třetí osoby poskytovat informace v souladu se zákonem č. 106/1999 Sb., o svobodném přístupu k informacím, ve znění </w:t>
      </w:r>
      <w:r>
        <w:t>pozdějších předpisů, a souhlasí s tím, aby veškeré informace obsažené v této smlouvě byly v souladu s citovaným zákonem poskytnuty třetím osobám, pokud o ně požádají.</w:t>
      </w:r>
    </w:p>
    <w:p w:rsidR="009B68C4" w:rsidRDefault="00722577">
      <w:pPr>
        <w:pStyle w:val="Zkladntext20"/>
        <w:shd w:val="clear" w:color="auto" w:fill="auto"/>
        <w:spacing w:line="256" w:lineRule="exact"/>
        <w:ind w:left="1320" w:firstLine="0"/>
      </w:pPr>
      <w:r>
        <w:t>PRE je podle § 2 písm. e) zákona č. 320/2001 Sb., o finanční kontrole ve veřejné správě a</w:t>
      </w:r>
      <w:r>
        <w:t xml:space="preserve"> o změně některých zákonů (zákon o finanční kontrole), ve znění pozdějších předpisů, osobou povinnou spolupůsobit při výkonu finanční kontroly prováděné v souvislosti s úhradou zboží nebo služeb z veřejných výdajů včetně prostředků poskytnutých z Evropské </w:t>
      </w:r>
      <w:r>
        <w:t>unie. Toto spolupůsobení je povinen zajistit i u svých případných subdodavatelů,</w:t>
      </w:r>
    </w:p>
    <w:p w:rsidR="009B68C4" w:rsidRDefault="00722577">
      <w:pPr>
        <w:pStyle w:val="Zkladntext20"/>
        <w:shd w:val="clear" w:color="auto" w:fill="auto"/>
        <w:spacing w:line="259" w:lineRule="exact"/>
        <w:ind w:left="1320" w:firstLine="0"/>
      </w:pPr>
      <w:r>
        <w:t>PRE není oprávněn postoupit jakékoliv své pohledávky z této smlouvy na třetí osobu bez předchozího písemného souhlasu ZÁKAZNÍKA, a to ani částečně.</w:t>
      </w:r>
    </w:p>
    <w:p w:rsidR="009B68C4" w:rsidRDefault="00722577">
      <w:pPr>
        <w:pStyle w:val="Zkladntext20"/>
        <w:shd w:val="clear" w:color="auto" w:fill="auto"/>
        <w:spacing w:line="256" w:lineRule="exact"/>
        <w:ind w:left="1320" w:right="1360" w:firstLine="0"/>
      </w:pPr>
      <w:r>
        <w:t xml:space="preserve">Pro případné spory smluvní </w:t>
      </w:r>
      <w:r>
        <w:t>strany sjednávají místní příslušnost obecného soudu ZÁKAZNÍKA.</w:t>
      </w:r>
    </w:p>
    <w:p w:rsidR="009B68C4" w:rsidRDefault="00722577">
      <w:pPr>
        <w:pStyle w:val="Zkladntext20"/>
        <w:shd w:val="clear" w:color="auto" w:fill="auto"/>
        <w:spacing w:line="259" w:lineRule="exact"/>
        <w:ind w:left="1320" w:firstLine="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čtyřech stejnopisech, z nichž tři obdrží ZÁKAZNÍK a jeden PRE.</w:t>
      </w:r>
    </w:p>
    <w:p w:rsidR="009B68C4" w:rsidRDefault="00722577">
      <w:pPr>
        <w:pStyle w:val="Zkladntext20"/>
        <w:shd w:val="clear" w:color="auto" w:fill="auto"/>
        <w:spacing w:line="256" w:lineRule="exact"/>
        <w:ind w:left="1320" w:firstLine="0"/>
      </w:pPr>
      <w:r>
        <w:t>Tato Smlouva může být měněna nebo zrušena pouze písemně, a to v případě změn smlouvy číslovanými doda</w:t>
      </w:r>
      <w:r>
        <w:t>tky, které musí být podepsány oběma smluvními stranami.</w:t>
      </w:r>
    </w:p>
    <w:p w:rsidR="009B68C4" w:rsidRDefault="00722577">
      <w:pPr>
        <w:pStyle w:val="Zkladntext20"/>
        <w:shd w:val="clear" w:color="auto" w:fill="auto"/>
        <w:spacing w:line="256" w:lineRule="exact"/>
        <w:ind w:left="1320" w:firstLine="0"/>
      </w:pPr>
      <w:r>
        <w:t>Tato Smlouva nabývá platnosti dnem její akceptace oběma smluvními stranami a účinnosti dnem jejího uveřejnění v registru smluv dle zákona č. 340/2015 Sb., o zvláštních podmínkách</w:t>
      </w:r>
      <w:r>
        <w:br w:type="page"/>
      </w:r>
      <w:r>
        <w:lastRenderedPageBreak/>
        <w:t>účinnosti některých s</w:t>
      </w:r>
      <w:r>
        <w:t>mluv, uveřejňování těchto smluv a o registru smluv (zákon o registru smluv).</w:t>
      </w:r>
    </w:p>
    <w:p w:rsidR="009B68C4" w:rsidRDefault="00722577">
      <w:pPr>
        <w:pStyle w:val="Zkladntext20"/>
        <w:shd w:val="clear" w:color="auto" w:fill="auto"/>
        <w:spacing w:after="471" w:line="220" w:lineRule="exact"/>
        <w:ind w:left="1320" w:hanging="580"/>
        <w:jc w:val="both"/>
      </w:pPr>
      <w:r>
        <w:t>m) Zúčtovací faktura je splatná do 21 kalendářních dnů ode dne vystavení.</w:t>
      </w:r>
    </w:p>
    <w:p w:rsidR="009B68C4" w:rsidRDefault="00722577">
      <w:pPr>
        <w:pStyle w:val="Nadpis30"/>
        <w:keepNext/>
        <w:keepLines/>
        <w:numPr>
          <w:ilvl w:val="0"/>
          <w:numId w:val="11"/>
        </w:numPr>
        <w:shd w:val="clear" w:color="auto" w:fill="auto"/>
        <w:spacing w:after="30" w:line="240" w:lineRule="exact"/>
        <w:ind w:left="3040"/>
      </w:pPr>
      <w:bookmarkStart w:id="17" w:name="bookmark18"/>
      <w:r>
        <w:t>ZÁVĚREČNÁ USTANOVENÍ</w:t>
      </w:r>
      <w:bookmarkEnd w:id="17"/>
    </w:p>
    <w:p w:rsidR="009B68C4" w:rsidRDefault="00722577">
      <w:pPr>
        <w:pStyle w:val="Zkladntext20"/>
        <w:numPr>
          <w:ilvl w:val="0"/>
          <w:numId w:val="18"/>
        </w:numPr>
        <w:shd w:val="clear" w:color="auto" w:fill="auto"/>
        <w:tabs>
          <w:tab w:val="left" w:pos="1322"/>
        </w:tabs>
        <w:spacing w:line="256" w:lineRule="exact"/>
        <w:ind w:left="1320" w:hanging="580"/>
        <w:jc w:val="both"/>
      </w:pPr>
      <w:r>
        <w:t xml:space="preserve">Ve věcech výslovně neupravených touto Smlouvou se právní vztahy mezi PRE a </w:t>
      </w:r>
      <w:r>
        <w:t>ZÁKAZNÍKEM řídí zák. č.458/2000 Sb., energetický zákon, jeho prováděcími předpisy a příslušnými ustanoveními zák. č. 89/2012Sb., občanský zákoník.</w:t>
      </w:r>
    </w:p>
    <w:p w:rsidR="009B68C4" w:rsidRDefault="00722577">
      <w:pPr>
        <w:pStyle w:val="Zkladntext20"/>
        <w:numPr>
          <w:ilvl w:val="0"/>
          <w:numId w:val="18"/>
        </w:numPr>
        <w:shd w:val="clear" w:color="auto" w:fill="auto"/>
        <w:tabs>
          <w:tab w:val="left" w:pos="1322"/>
        </w:tabs>
        <w:spacing w:line="256" w:lineRule="exact"/>
        <w:ind w:left="1320" w:hanging="580"/>
        <w:jc w:val="both"/>
      </w:pPr>
      <w:r>
        <w:t>V případě, že je tato Smlouva uzavřena pro více Odběrných míst, platí jednotlivá ujednání této Smlouvy, pokud</w:t>
      </w:r>
      <w:r>
        <w:t xml:space="preserve"> není stanoveno jinak, zvlášť pro každé Odběrné místo.</w:t>
      </w:r>
    </w:p>
    <w:p w:rsidR="009B68C4" w:rsidRDefault="00722577">
      <w:pPr>
        <w:pStyle w:val="Zkladntext20"/>
        <w:numPr>
          <w:ilvl w:val="0"/>
          <w:numId w:val="18"/>
        </w:numPr>
        <w:shd w:val="clear" w:color="auto" w:fill="auto"/>
        <w:tabs>
          <w:tab w:val="left" w:pos="1322"/>
        </w:tabs>
        <w:spacing w:line="256" w:lineRule="exact"/>
        <w:ind w:left="1320" w:hanging="580"/>
        <w:jc w:val="both"/>
      </w:pPr>
      <w:r>
        <w:t>Pokud by se jakékoli ujednání této Smlouvy stalo neplatným nebo neúčinným pro rozpory s obecně závaznými právními předpisy, nemá to vliv na platnost a účinnost ostatních ujednání této Smlouvy a zbývají</w:t>
      </w:r>
      <w:r>
        <w:t>cí obsah Smlouvy a bude nahrazen příslušnými ustanoveními platných právních předpisů.</w:t>
      </w:r>
    </w:p>
    <w:p w:rsidR="009B68C4" w:rsidRDefault="00722577">
      <w:pPr>
        <w:pStyle w:val="Zkladntext20"/>
        <w:numPr>
          <w:ilvl w:val="0"/>
          <w:numId w:val="18"/>
        </w:numPr>
        <w:shd w:val="clear" w:color="auto" w:fill="auto"/>
        <w:tabs>
          <w:tab w:val="left" w:pos="1322"/>
        </w:tabs>
        <w:spacing w:line="256" w:lineRule="exact"/>
        <w:ind w:left="1320" w:hanging="580"/>
        <w:jc w:val="both"/>
      </w:pPr>
      <w:r>
        <w:t>Pro účely této Smlouvy jsou používány odborné pojmy a terminologie v souladu se Zákonem a jeho prováděcími a souvisejícími předpisy.</w:t>
      </w:r>
    </w:p>
    <w:p w:rsidR="009B68C4" w:rsidRDefault="00722577">
      <w:pPr>
        <w:pStyle w:val="Zkladntext20"/>
        <w:numPr>
          <w:ilvl w:val="0"/>
          <w:numId w:val="18"/>
        </w:numPr>
        <w:shd w:val="clear" w:color="auto" w:fill="auto"/>
        <w:tabs>
          <w:tab w:val="left" w:pos="1322"/>
        </w:tabs>
        <w:spacing w:line="259" w:lineRule="exact"/>
        <w:ind w:left="1320" w:hanging="580"/>
        <w:jc w:val="both"/>
      </w:pPr>
      <w:r>
        <w:t>PRE se zavazuje udržovat veškerá oprá</w:t>
      </w:r>
      <w:r>
        <w:t>vnění nezbytná pro plnění předmětu Smlouvy po celou dobu plnění veřejné zakázky.</w:t>
      </w:r>
    </w:p>
    <w:p w:rsidR="009B68C4" w:rsidRDefault="00722577">
      <w:pPr>
        <w:pStyle w:val="Zkladntext20"/>
        <w:numPr>
          <w:ilvl w:val="0"/>
          <w:numId w:val="18"/>
        </w:numPr>
        <w:shd w:val="clear" w:color="auto" w:fill="auto"/>
        <w:tabs>
          <w:tab w:val="left" w:pos="1322"/>
        </w:tabs>
        <w:spacing w:line="252" w:lineRule="exact"/>
        <w:ind w:left="1320" w:hanging="580"/>
        <w:jc w:val="both"/>
      </w:pPr>
      <w:r>
        <w:t>V souladu s §43 odst. 1 zákona č. 131/2000 Sb., o hlavním městě Praze, ve znění pozdějších předpisů, tímto hlavní město Praha potvrzuje, že uzavření této smlouvy schválila Rad</w:t>
      </w:r>
      <w:r>
        <w:t>a hlavního města Prahy usnesením č. 3038 ze dne 5. prosince 2017.</w:t>
      </w:r>
    </w:p>
    <w:p w:rsidR="009B68C4" w:rsidRDefault="00722577">
      <w:pPr>
        <w:pStyle w:val="Zkladntext20"/>
        <w:numPr>
          <w:ilvl w:val="0"/>
          <w:numId w:val="18"/>
        </w:numPr>
        <w:shd w:val="clear" w:color="auto" w:fill="auto"/>
        <w:tabs>
          <w:tab w:val="left" w:pos="1322"/>
        </w:tabs>
        <w:spacing w:line="317" w:lineRule="exact"/>
        <w:ind w:left="1320" w:hanging="580"/>
        <w:jc w:val="both"/>
      </w:pPr>
      <w:r>
        <w:t>Nedílnou součástí této Smlouvy jsou její přílohy, které specifikují obsah Smlouvy, a to:</w:t>
      </w:r>
    </w:p>
    <w:p w:rsidR="009B68C4" w:rsidRDefault="00722577">
      <w:pPr>
        <w:pStyle w:val="Zkladntext20"/>
        <w:shd w:val="clear" w:color="auto" w:fill="auto"/>
        <w:spacing w:line="317" w:lineRule="exact"/>
        <w:ind w:left="1320" w:firstLine="0"/>
      </w:pPr>
      <w:r>
        <w:t>Příloha č. 1 - Specifikace odběrných míst</w:t>
      </w:r>
    </w:p>
    <w:p w:rsidR="009B68C4" w:rsidRDefault="00722577">
      <w:pPr>
        <w:pStyle w:val="Zkladntext20"/>
        <w:shd w:val="clear" w:color="auto" w:fill="auto"/>
        <w:spacing w:after="611" w:line="317" w:lineRule="exact"/>
        <w:ind w:left="1320" w:firstLine="0"/>
      </w:pPr>
      <w:r>
        <w:t>Příloha č. 2 - Pověřující zadavatelé</w:t>
      </w:r>
    </w:p>
    <w:p w:rsidR="009B68C4" w:rsidRDefault="00722577">
      <w:pPr>
        <w:pStyle w:val="Zkladntext20"/>
        <w:shd w:val="clear" w:color="auto" w:fill="auto"/>
        <w:tabs>
          <w:tab w:val="left" w:pos="5256"/>
        </w:tabs>
        <w:spacing w:line="378" w:lineRule="exact"/>
        <w:ind w:firstLine="0"/>
        <w:jc w:val="both"/>
      </w:pPr>
      <w:r>
        <w:t>V Praze dne</w:t>
      </w:r>
      <w:r>
        <w:tab/>
        <w:t xml:space="preserve">V Praze </w:t>
      </w:r>
      <w:r>
        <w:t>dne</w:t>
      </w:r>
    </w:p>
    <w:p w:rsidR="009B68C4" w:rsidRDefault="00722577">
      <w:pPr>
        <w:pStyle w:val="Zkladntext20"/>
        <w:shd w:val="clear" w:color="auto" w:fill="auto"/>
        <w:tabs>
          <w:tab w:val="left" w:pos="5256"/>
        </w:tabs>
        <w:spacing w:line="378" w:lineRule="exact"/>
        <w:ind w:firstLine="0"/>
        <w:jc w:val="both"/>
      </w:pPr>
      <w:r>
        <w:pict>
          <v:shape id="_x0000_s1049" type="#_x0000_t75" style="position:absolute;left:0;text-align:left;margin-left:-3.7pt;margin-top:25.2pt;width:38.4pt;height:23.5pt;z-index:-251655168;mso-wrap-distance-left:5pt;mso-wrap-distance-right:73.6pt;mso-wrap-distance-bottom:7.55pt;mso-position-horizontal-relative:margin" wrapcoords="0 0 21600 0 21600 21600 0 21600 0 0">
            <v:imagedata r:id="rId19" o:title="image8"/>
            <w10:wrap type="topAndBottom" anchorx="margin"/>
          </v:shape>
        </w:pict>
      </w:r>
      <w:r>
        <w:pict>
          <v:shape id="_x0000_s1050" type="#_x0000_t75" style="position:absolute;left:0;text-align:left;margin-left:-4.75pt;margin-top:56.15pt;width:82.1pt;height:19.2pt;z-index:-251654144;mso-wrap-distance-left:5pt;mso-wrap-distance-right:5pt;mso-position-horizontal-relative:margin" wrapcoords="0 0 21600 0 21600 21600 0 21600 0 0">
            <v:imagedata r:id="rId20" o:title="image9"/>
            <w10:wrap type="topAndBottom" anchorx="margin"/>
          </v:shape>
        </w:pict>
      </w:r>
      <w:r>
        <w:pict>
          <v:shape id="_x0000_s1051" type="#_x0000_t202" style="position:absolute;left:0;text-align:left;margin-left:108.25pt;margin-top:20.55pt;width:112.3pt;height:93.75pt;z-index:-251653120;mso-wrap-distance-left:5pt;mso-wrap-distance-right:59.2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11"/>
                    <w:shd w:val="clear" w:color="auto" w:fill="auto"/>
                  </w:pPr>
                  <w:r>
                    <w:t>Digitálně podepsal Ing. Zdeněk Smetana</w:t>
                  </w:r>
                </w:p>
                <w:p w:rsidR="009B68C4" w:rsidRDefault="00722577">
                  <w:pPr>
                    <w:pStyle w:val="Zkladntext11"/>
                    <w:shd w:val="clear" w:color="auto" w:fill="auto"/>
                  </w:pPr>
                  <w:r>
                    <w:t xml:space="preserve">DN: c=CZ, </w:t>
                  </w:r>
                  <w:proofErr w:type="spellStart"/>
                  <w:r>
                    <w:t>cn</w:t>
                  </w:r>
                  <w:proofErr w:type="spellEnd"/>
                  <w:r>
                    <w:t>=</w:t>
                  </w:r>
                  <w:proofErr w:type="spellStart"/>
                  <w:r>
                    <w:t>lng</w:t>
                  </w:r>
                  <w:proofErr w:type="spellEnd"/>
                  <w:r>
                    <w:t xml:space="preserve">. Zdeněk Smetana, o=Pražská energetika, a.s., </w:t>
                  </w:r>
                  <w:proofErr w:type="spellStart"/>
                  <w:r>
                    <w:t>givenName</w:t>
                  </w:r>
                  <w:proofErr w:type="spellEnd"/>
                  <w:r>
                    <w:t xml:space="preserve">=Zdeněk, </w:t>
                  </w:r>
                  <w:proofErr w:type="spellStart"/>
                  <w:r>
                    <w:t>sn</w:t>
                  </w:r>
                  <w:proofErr w:type="spellEnd"/>
                  <w:r>
                    <w:t xml:space="preserve">=Smetana, </w:t>
                  </w:r>
                  <w:proofErr w:type="spellStart"/>
                  <w:r>
                    <w:t>serialNumber</w:t>
                  </w:r>
                  <w:proofErr w:type="spellEnd"/>
                  <w:r>
                    <w:t>=ICA -10220471</w:t>
                  </w:r>
                </w:p>
                <w:p w:rsidR="009B68C4" w:rsidRDefault="00722577">
                  <w:pPr>
                    <w:pStyle w:val="Zkladntext11"/>
                    <w:shd w:val="clear" w:color="auto" w:fill="auto"/>
                  </w:pPr>
                  <w:r>
                    <w:t xml:space="preserve">Datum: 2017.12.13 16:38:38 </w:t>
                  </w:r>
                  <w:r>
                    <w:rPr>
                      <w:rStyle w:val="Zkladntext1145ptExact"/>
                    </w:rPr>
                    <w:t>+</w:t>
                  </w:r>
                  <w:r>
                    <w:t>01</w:t>
                  </w:r>
                  <w:r>
                    <w:rPr>
                      <w:rStyle w:val="Zkladntext1145ptExact"/>
                    </w:rPr>
                    <w:t>'</w:t>
                  </w:r>
                  <w:r>
                    <w:t>00</w:t>
                  </w:r>
                  <w:r>
                    <w:rPr>
                      <w:rStyle w:val="Zkladntext1145ptExact"/>
                    </w:rPr>
                    <w:t>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left:0;text-align:left;margin-left:279.8pt;margin-top:50.6pt;width:69.3pt;height:39.25pt;z-index:-251652096;mso-wrap-distance-left:5pt;mso-wrap-distance-right:5pt;mso-wrap-distance-bottom:22.65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18" w:name="bookmark2"/>
                  <w:r>
                    <w:t>Mgr. Marta Dufková</w:t>
                  </w:r>
                  <w:bookmarkEnd w:id="18"/>
                </w:p>
              </w:txbxContent>
            </v:textbox>
            <w10:wrap type="topAndBottom" anchorx="margin"/>
          </v:shape>
        </w:pict>
      </w:r>
      <w:r>
        <w:pict>
          <v:shape id="_x0000_s1053" type="#_x0000_t202" style="position:absolute;left:0;text-align:left;margin-left:-4.4pt;margin-top:63pt;width:208.8pt;height:25.75pt;z-index:-251651072;mso-wrap-distance-left:5pt;mso-wrap-distance-right:5pt;mso-position-horizontal-relative:margin" wrapcoords="11674 0 21579 0 21579 9215 21600 10025 21600 21600 0 21600 0 10025 11674 9215 11674 0" filled="f" stroked="f">
            <v:textbox style="mso-fit-shape-to-text:t" inset="0,0,0,0">
              <w:txbxContent>
                <w:p w:rsidR="009B68C4" w:rsidRDefault="00722577">
                  <w:pPr>
                    <w:pStyle w:val="Titulekobrzku"/>
                    <w:shd w:val="clear" w:color="auto" w:fill="auto"/>
                  </w:pPr>
                  <w:r>
                    <w:t xml:space="preserve">a.s., </w:t>
                  </w:r>
                  <w:proofErr w:type="spellStart"/>
                  <w:r>
                    <w:t>givenName</w:t>
                  </w:r>
                  <w:proofErr w:type="spellEnd"/>
                  <w:r>
                    <w:t xml:space="preserve">=Zdeněk, </w:t>
                  </w:r>
                  <w:proofErr w:type="spellStart"/>
                  <w:r>
                    <w:t>sn</w:t>
                  </w:r>
                  <w:proofErr w:type="spellEnd"/>
                  <w:r>
                    <w:t xml:space="preserve">=Smetana, </w:t>
                  </w:r>
                  <w:proofErr w:type="spellStart"/>
                  <w:r>
                    <w:t>serialNumben</w:t>
                  </w:r>
                  <w:proofErr w:type="spellEnd"/>
                </w:p>
                <w:p w:rsidR="009B68C4" w:rsidRDefault="0072257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"D:\\media\\image10.png"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209.25pt;height:26.25pt">
                        <v:imagedata r:id="rId21" r:href="rId22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5" type="#_x0000_t202" style="position:absolute;left:0;text-align:left;margin-left:350pt;margin-top:49.65pt;width:67.85pt;height:42.1pt;z-index:-251650048;mso-wrap-distance-left:5pt;mso-wrap-distance-right:67.3pt;mso-wrap-distance-bottom:20.75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11"/>
                    <w:shd w:val="clear" w:color="auto" w:fill="auto"/>
                    <w:spacing w:line="194" w:lineRule="exact"/>
                  </w:pPr>
                  <w:r>
                    <w:t>Digitálně podepsal Mgr. Marta Dufková Datum: 2017.12.13 15:24:47 +01'00'</w:t>
                  </w:r>
                </w:p>
              </w:txbxContent>
            </v:textbox>
            <w10:wrap type="topAndBottom" anchorx="margin"/>
          </v:shape>
        </w:pict>
      </w:r>
      <w:r>
        <w:t>Pražská energetika, a. s.</w:t>
      </w:r>
      <w:r>
        <w:tab/>
        <w:t>Hlavní město Praha</w:t>
      </w:r>
    </w:p>
    <w:p w:rsidR="009B68C4" w:rsidRDefault="00722577">
      <w:pPr>
        <w:pStyle w:val="Zkladntext20"/>
        <w:shd w:val="clear" w:color="auto" w:fill="auto"/>
        <w:spacing w:line="256" w:lineRule="exact"/>
        <w:ind w:firstLine="0"/>
        <w:jc w:val="center"/>
      </w:pPr>
      <w:r>
        <w:pict>
          <v:shape id="_x0000_s1056" type="#_x0000_t202" style="position:absolute;left:0;text-align:left;margin-left:286.65pt;margin-top:-2.45pt;width:134.3pt;height:28.4pt;z-index:-251649024;mso-wrap-distance-left:79.55pt;mso-wrap-distance-right:5pt;mso-position-horizontal-relative:margin" filled="f" stroked="f">
            <v:textbox style="mso-fit-shape-to-text:t" inset="0,0,0,0">
              <w:txbxContent>
                <w:p w:rsidR="009B68C4" w:rsidRDefault="00722577">
                  <w:pPr>
                    <w:pStyle w:val="Zkladntext20"/>
                    <w:shd w:val="clear" w:color="auto" w:fill="auto"/>
                    <w:spacing w:line="256" w:lineRule="exact"/>
                    <w:ind w:firstLine="0"/>
                    <w:jc w:val="center"/>
                  </w:pPr>
                  <w:r>
                    <w:rPr>
                      <w:rStyle w:val="Zkladntext2Exact"/>
                    </w:rPr>
                    <w:t xml:space="preserve">Mgr. </w:t>
                  </w:r>
                  <w:r>
                    <w:rPr>
                      <w:rStyle w:val="Zkladntext2Exact"/>
                    </w:rPr>
                    <w:t>Marta Dufková,</w:t>
                  </w:r>
                  <w:r>
                    <w:rPr>
                      <w:rStyle w:val="Zkladntext2Exact"/>
                    </w:rPr>
                    <w:br/>
                    <w:t>ředitelka odboru VEZ MHMP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7" type="#_x0000_t75" style="position:absolute;left:0;text-align:left;margin-left:5.3pt;margin-top:65.35pt;width:166.1pt;height:53.3pt;z-index:-251648000;mso-wrap-distance-left:5pt;mso-wrap-distance-right:5pt;mso-position-horizontal-relative:margin" wrapcoords="0 0 21600 0 21600 21600 0 21600 0 0">
            <v:imagedata r:id="rId23" o:title="image11"/>
            <w10:wrap type="topAndBottom" anchorx="margin"/>
          </v:shape>
        </w:pict>
      </w:r>
      <w:r>
        <w:t>Ing. Zdeněk Smetana, vedoucí sekce Prodej</w:t>
      </w:r>
      <w:r>
        <w:br/>
        <w:t>(na základě plné moci)</w:t>
      </w:r>
    </w:p>
    <w:p w:rsidR="009B68C4" w:rsidRDefault="00722577">
      <w:pPr>
        <w:pStyle w:val="Zkladntext20"/>
        <w:shd w:val="clear" w:color="auto" w:fill="auto"/>
        <w:spacing w:line="220" w:lineRule="exact"/>
        <w:ind w:firstLine="0"/>
      </w:pPr>
      <w:r>
        <w:t>Certifikováno dle ČSN EN ISO 9001 a ČSN EN ISO 14001</w:t>
      </w:r>
    </w:p>
    <w:sectPr w:rsidR="009B68C4">
      <w:headerReference w:type="even" r:id="rId24"/>
      <w:headerReference w:type="default" r:id="rId25"/>
      <w:headerReference w:type="first" r:id="rId26"/>
      <w:pgSz w:w="11900" w:h="16840"/>
      <w:pgMar w:top="1637" w:right="845" w:bottom="1248" w:left="12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577" w:rsidRDefault="00722577">
      <w:r>
        <w:separator/>
      </w:r>
    </w:p>
  </w:endnote>
  <w:endnote w:type="continuationSeparator" w:id="0">
    <w:p w:rsidR="00722577" w:rsidRDefault="0072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577" w:rsidRDefault="00722577"/>
  </w:footnote>
  <w:footnote w:type="continuationSeparator" w:id="0">
    <w:p w:rsidR="00722577" w:rsidRDefault="0072257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6.35pt;margin-top:48.6pt;width:149.75pt;height:12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000645 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8.65pt;margin-top:48.95pt;width:149.6pt;height:12.0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00064581/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8.65pt;margin-top:48.95pt;width:149.6pt;height:12.0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00064581/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8.65pt;margin-top:48.95pt;width:149.6pt;height:12.0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00064581/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6.35pt;margin-top:48.6pt;width:149.75pt;height:12.8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000645 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8.65pt;margin-top:48.95pt;width:149.6pt;height:12.0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00064581/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8.65pt;margin-top:48.95pt;width:149.6pt;height:12.0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00064581/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C4" w:rsidRDefault="007225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6.35pt;margin-top:48.6pt;width:149.75pt;height:12.8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8C4" w:rsidRDefault="007225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PRE: 0</w:t>
                </w:r>
                <w:r>
                  <w:rPr>
                    <w:rStyle w:val="ZhlavneboZpat1"/>
                  </w:rPr>
                  <w:t>00645 81/</w:t>
                </w:r>
                <w:proofErr w:type="spellStart"/>
                <w:r>
                  <w:rPr>
                    <w:rStyle w:val="ZhlavneboZpat1"/>
                  </w:rPr>
                  <w:t>nn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532"/>
    <w:multiLevelType w:val="multilevel"/>
    <w:tmpl w:val="9B9E96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F574D"/>
    <w:multiLevelType w:val="multilevel"/>
    <w:tmpl w:val="F28C96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F2F6F"/>
    <w:multiLevelType w:val="multilevel"/>
    <w:tmpl w:val="BEC4E6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C55E4"/>
    <w:multiLevelType w:val="multilevel"/>
    <w:tmpl w:val="B91879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B7B7B"/>
    <w:multiLevelType w:val="multilevel"/>
    <w:tmpl w:val="CB16B5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95206C"/>
    <w:multiLevelType w:val="multilevel"/>
    <w:tmpl w:val="F948DD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0D5D62"/>
    <w:multiLevelType w:val="multilevel"/>
    <w:tmpl w:val="9FBEA3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9134F8"/>
    <w:multiLevelType w:val="multilevel"/>
    <w:tmpl w:val="8232278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7A7F4C"/>
    <w:multiLevelType w:val="multilevel"/>
    <w:tmpl w:val="C6342AC4"/>
    <w:lvl w:ilvl="0">
      <w:start w:val="1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F10F83"/>
    <w:multiLevelType w:val="multilevel"/>
    <w:tmpl w:val="B2EA71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191F04"/>
    <w:multiLevelType w:val="multilevel"/>
    <w:tmpl w:val="0C7654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DB6E1C"/>
    <w:multiLevelType w:val="multilevel"/>
    <w:tmpl w:val="E6282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3041AF"/>
    <w:multiLevelType w:val="multilevel"/>
    <w:tmpl w:val="1D70CD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E82357"/>
    <w:multiLevelType w:val="multilevel"/>
    <w:tmpl w:val="F51839E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0A6FA9"/>
    <w:multiLevelType w:val="multilevel"/>
    <w:tmpl w:val="E23259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EC2DB7"/>
    <w:multiLevelType w:val="multilevel"/>
    <w:tmpl w:val="2146D1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9B3E92"/>
    <w:multiLevelType w:val="multilevel"/>
    <w:tmpl w:val="41720B40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2A347B"/>
    <w:multiLevelType w:val="multilevel"/>
    <w:tmpl w:val="103C2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3"/>
  </w:num>
  <w:num w:numId="5">
    <w:abstractNumId w:val="4"/>
  </w:num>
  <w:num w:numId="6">
    <w:abstractNumId w:val="11"/>
  </w:num>
  <w:num w:numId="7">
    <w:abstractNumId w:val="14"/>
  </w:num>
  <w:num w:numId="8">
    <w:abstractNumId w:val="12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  <w:num w:numId="13">
    <w:abstractNumId w:val="9"/>
  </w:num>
  <w:num w:numId="14">
    <w:abstractNumId w:val="5"/>
  </w:num>
  <w:num w:numId="15">
    <w:abstractNumId w:val="16"/>
  </w:num>
  <w:num w:numId="16">
    <w:abstractNumId w:val="10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B68C4"/>
    <w:rsid w:val="00050C25"/>
    <w:rsid w:val="00722577"/>
    <w:rsid w:val="009B68C4"/>
    <w:rsid w:val="00B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96A498E"/>
  <w15:docId w15:val="{7153F9ED-5EC6-48CB-ADC0-0C8998FD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15ptMalpsmena">
    <w:name w:val="Základní text (4) + 11;5 pt;Malá písmena"/>
    <w:basedOn w:val="Zkladntext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Verdana4ptKurzvaExact">
    <w:name w:val="Základní text (5) + Verdana;4 pt;Kurzíva Exact"/>
    <w:basedOn w:val="Zkladntext5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6Arial45ptNekurzvaExact">
    <w:name w:val="Základní text (6) + Arial;4;5 pt;Ne kurzíva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45ptExact">
    <w:name w:val="Základní text (11) + 4;5 pt Exact"/>
    <w:basedOn w:val="Zkladn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8Arial">
    <w:name w:val="Základní text (8) + Arial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2pt">
    <w:name w:val="Základní text (4) + 12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outlineLvl w:val="2"/>
    </w:pPr>
    <w:rPr>
      <w:rFonts w:ascii="Arial" w:eastAsia="Arial" w:hAnsi="Arial" w:cs="Arial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19" w:lineRule="exact"/>
      <w:jc w:val="center"/>
    </w:pPr>
    <w:rPr>
      <w:rFonts w:ascii="Calibri" w:eastAsia="Calibri" w:hAnsi="Calibri" w:cs="Calibri"/>
      <w:i/>
      <w:iCs/>
      <w:spacing w:val="-10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9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38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02" w:lineRule="exact"/>
    </w:pPr>
    <w:rPr>
      <w:rFonts w:ascii="Arial" w:eastAsia="Arial" w:hAnsi="Arial" w:cs="Arial"/>
      <w:sz w:val="15"/>
      <w:szCs w:val="15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64" w:lineRule="exact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9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TargetMode="External"/><Relationship Id="rId13" Type="http://schemas.openxmlformats.org/officeDocument/2006/relationships/hyperlink" Target="https://www.pxe.cz/Kurzovni-Listek/Oficialni-KL/" TargetMode="External"/><Relationship Id="rId18" Type="http://schemas.openxmlformats.org/officeDocument/2006/relationships/hyperlink" Target="mailto:b2bnn@pre.cz" TargetMode="Externa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://www.pxe.cz" TargetMode="Externa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xe.cz" TargetMode="Externa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pxe.cz" TargetMode="External"/><Relationship Id="rId22" Type="http://schemas.openxmlformats.org/officeDocument/2006/relationships/image" Target="media/image10.p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9DCD8E72</Template>
  <TotalTime>5</TotalTime>
  <Pages>10</Pages>
  <Words>3665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Svačina</cp:lastModifiedBy>
  <cp:revision>3</cp:revision>
  <dcterms:created xsi:type="dcterms:W3CDTF">2018-03-05T14:46:00Z</dcterms:created>
  <dcterms:modified xsi:type="dcterms:W3CDTF">2018-03-05T14:51:00Z</dcterms:modified>
</cp:coreProperties>
</file>