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60"/>
        <w:gridCol w:w="80"/>
        <w:gridCol w:w="220"/>
        <w:gridCol w:w="1980"/>
        <w:gridCol w:w="700"/>
        <w:gridCol w:w="320"/>
        <w:gridCol w:w="420"/>
        <w:gridCol w:w="60"/>
        <w:gridCol w:w="280"/>
        <w:gridCol w:w="420"/>
        <w:gridCol w:w="1100"/>
        <w:gridCol w:w="600"/>
        <w:gridCol w:w="300"/>
        <w:gridCol w:w="2200"/>
      </w:tblGrid>
      <w:tr w:rsidR="47483646">
        <w:tblPrEx>
          <w:tblCellMar>
            <w:top w:w="0" w:type="dxa"/>
            <w:bottom w:w="0" w:type="dxa"/>
          </w:tblCellMar>
        </w:tblPrEx>
        <w:trPr>
          <w:gridAfter w:val="14"/>
          <w:wAfter w:w="8740" w:type="dxa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</w:tr>
      <w:tr w:rsidR="47483645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nadpisSmlouvy"/>
            </w:pPr>
            <w:r>
              <w:t>DODATEK č. 1</w:t>
            </w:r>
          </w:p>
        </w:tc>
      </w:tr>
      <w:tr w:rsidR="47483643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podnadpisDodatku"/>
            </w:pPr>
            <w:r>
              <w:t>(dále také jen „dodatek“)</w:t>
            </w:r>
          </w:p>
        </w:tc>
      </w:tr>
      <w:tr w:rsidR="47483641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nadpisSmlouvy"/>
            </w:pPr>
            <w:r>
              <w:t xml:space="preserve">k pojistné smlouvě č. </w:t>
            </w:r>
          </w:p>
          <w:p w:rsidR="00F845D8" w:rsidRDefault="00366E6E">
            <w:pPr>
              <w:pStyle w:val="nadpisSmlouvy"/>
            </w:pPr>
            <w:r>
              <w:t>8067476019</w:t>
            </w:r>
          </w:p>
        </w:tc>
      </w:tr>
      <w:tr w:rsidR="4748363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podnadpisDodatku"/>
            </w:pPr>
            <w:r>
              <w:t>(dále také jen „pojistná smlouva“)</w:t>
            </w:r>
          </w:p>
        </w:tc>
      </w:tr>
      <w:tr w:rsidR="47483635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smluvniStrany"/>
            </w:pPr>
            <w:r>
              <w:t>Smluvní strany:</w:t>
            </w:r>
          </w:p>
        </w:tc>
      </w:tr>
      <w:tr w:rsidR="47483632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0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Identifikace"/>
            </w:pPr>
            <w:r>
              <w:t>se sídlem Masarykovo náměstí 1458, Zelené Předměstí</w:t>
            </w:r>
          </w:p>
          <w:p w:rsidR="00F845D8" w:rsidRDefault="00366E6E">
            <w:pPr>
              <w:pStyle w:val="textIdentifikace"/>
            </w:pPr>
            <w:r>
              <w:t>53002 Pardubice, Česká republika</w:t>
            </w:r>
          </w:p>
          <w:p w:rsidR="00F845D8" w:rsidRDefault="00366E6E">
            <w:pPr>
              <w:pStyle w:val="textIdentifikace"/>
            </w:pPr>
            <w:r>
              <w:t>IČO: 45534306, DIČ: CZ699000761</w:t>
            </w:r>
          </w:p>
          <w:p w:rsidR="00F845D8" w:rsidRDefault="00366E6E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24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Identifikace"/>
            </w:pPr>
            <w:r>
              <w:t>(dále jen pojistitel)</w:t>
            </w:r>
          </w:p>
        </w:tc>
      </w:tr>
      <w:tr w:rsidR="47483622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Identifikace"/>
            </w:pPr>
            <w:r>
              <w:t>tel.: 466 100 777   fax: 467 007 444   </w:t>
            </w:r>
            <w:hyperlink r:id="rId6" w:tgtFrame="_self" w:history="1">
              <w:r>
                <w:t>www.c</w:t>
              </w:r>
              <w:r>
                <w:t>sobpoj.cz</w:t>
              </w:r>
            </w:hyperlink>
          </w:p>
        </w:tc>
      </w:tr>
      <w:tr w:rsidR="4748361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IdentifikaceRadekPred"/>
            </w:pPr>
            <w:r>
              <w:t>pojistitele zastupuje: Ing. Zuzana Klimplová</w:t>
            </w:r>
          </w:p>
        </w:tc>
      </w:tr>
      <w:tr w:rsidR="47483616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</w:tr>
      <w:tr w:rsidR="47483614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D8" w:rsidRDefault="00366E6E">
            <w:pPr>
              <w:pStyle w:val="smluvniStrany"/>
            </w:pPr>
            <w:r>
              <w:t>a</w:t>
            </w:r>
          </w:p>
        </w:tc>
      </w:tr>
      <w:tr w:rsidR="47483611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845D8" w:rsidRDefault="00366E6E">
            <w:pPr>
              <w:pStyle w:val="jmenoPojistnikaUvod"/>
            </w:pPr>
            <w:r>
              <w:t>Město Kaplice</w:t>
            </w:r>
          </w:p>
        </w:tc>
      </w:tr>
      <w:tr w:rsidR="47483609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Identifikace"/>
            </w:pPr>
            <w:r>
              <w:t>se sídlem / místem podnikání Náměstí 70</w:t>
            </w:r>
          </w:p>
          <w:p w:rsidR="00F845D8" w:rsidRDefault="00366E6E">
            <w:pPr>
              <w:pStyle w:val="textIdentifikace"/>
            </w:pPr>
            <w:r>
              <w:t>38241, Kaplice</w:t>
            </w:r>
          </w:p>
        </w:tc>
      </w:tr>
      <w:tr w:rsidR="47483605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IdentifikaceRadekPred"/>
            </w:pPr>
            <w:r>
              <w:t>IČO: 00245941</w:t>
            </w:r>
          </w:p>
        </w:tc>
      </w:tr>
      <w:tr w:rsidR="47483603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Identifikace"/>
            </w:pPr>
            <w:r>
              <w:t>Výpis ze ŽR</w:t>
            </w:r>
          </w:p>
        </w:tc>
      </w:tr>
      <w:tr w:rsidR="47483601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Identifikace"/>
            </w:pPr>
            <w:r>
              <w:t>(dále jen „pojistník“)</w:t>
            </w:r>
          </w:p>
        </w:tc>
      </w:tr>
      <w:tr w:rsidR="4748359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IdentifikaceRadekPred"/>
            </w:pPr>
            <w:r>
              <w:t>se dohodly, že výše uvedená pojistná smlouva se mění a doplňuje takto:</w:t>
            </w:r>
          </w:p>
        </w:tc>
      </w:tr>
      <w:tr w:rsidR="47483595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nadpisHlavnihoClanku"/>
              <w:keepNext/>
              <w:keepLines/>
            </w:pPr>
            <w:r>
              <w:t>Článek I.</w:t>
            </w:r>
          </w:p>
        </w:tc>
      </w:tr>
      <w:tr w:rsidR="47483593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845D8" w:rsidRDefault="00366E6E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91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845D8" w:rsidRDefault="00366E6E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40" w:type="dxa"/>
            <w:gridSpan w:val="14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845D8" w:rsidRDefault="00366E6E">
            <w:pPr>
              <w:pStyle w:val="nadpisTypOj"/>
              <w:keepNext/>
              <w:keepLines/>
              <w:jc w:val="left"/>
            </w:pPr>
            <w:r>
              <w:t xml:space="preserve">Živelní pojištění </w:t>
            </w:r>
            <w:r>
              <w:rPr>
                <w:sz w:val="20"/>
              </w:rPr>
              <w:t>sjednané článkem II. pojistné smlouvy se ode dne nabytí účinnosti tohoto</w:t>
            </w:r>
            <w:r>
              <w:rPr>
                <w:sz w:val="20"/>
              </w:rPr>
              <w:t xml:space="preserve"> dodatku mění následovně:</w:t>
            </w:r>
          </w:p>
        </w:tc>
      </w:tr>
      <w:tr w:rsidR="4748358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F845D8" w:rsidRDefault="00F845D8">
            <w:pPr>
              <w:pStyle w:val="EMPTYCELLSTYLE"/>
              <w:keepNext/>
            </w:pPr>
          </w:p>
        </w:tc>
        <w:tc>
          <w:tcPr>
            <w:tcW w:w="8740" w:type="dxa"/>
            <w:gridSpan w:val="14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:rsidR="00F845D8" w:rsidRDefault="00F845D8">
            <w:pPr>
              <w:pStyle w:val="EMPTYCELLSTYLE"/>
              <w:keepNext/>
            </w:pPr>
          </w:p>
        </w:tc>
      </w:tr>
      <w:tr w:rsidR="47483586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nadpisCyklu"/>
            </w:pPr>
            <w:r>
              <w:t>ZMĚNY</w:t>
            </w:r>
          </w:p>
        </w:tc>
      </w:tr>
      <w:tr w:rsidR="47483584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B91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ode dne nabytí účinnosti tohoto dodatku SE MĚNÍ obsah právního vztahu pojištění ve vztahu k následujícím dosavadním hodnotám pojistného zájmu (následujícím dosavadním předmětům pojištění)</w:t>
            </w:r>
            <w:r>
              <w:rPr>
                <w:sz w:val="20"/>
              </w:rPr>
              <w:t>. Pojistitel a pojistník výslovně a v zájmu předejití jakýmkoliv budo</w:t>
            </w:r>
            <w:r>
              <w:rPr>
                <w:sz w:val="20"/>
              </w:rPr>
              <w:t>ucím právním sporům o výklad pojistné smlouvy a tohoto dodatku uvádějí pro přehlednost níže vždy celý obsah právního vztahu pojištění vztahující se k jednotlivé hodnotě pojistného zájmu (k jednotlivému předmětu pojištění), a to i v těch jeho částech či díl</w:t>
            </w:r>
            <w:r>
              <w:rPr>
                <w:sz w:val="20"/>
              </w:rPr>
              <w:t>čích parametrech, které tímto dodatkem změněny nebyly:</w:t>
            </w:r>
          </w:p>
        </w:tc>
      </w:tr>
      <w:tr w:rsidR="47483579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B91"/>
            </w:pPr>
            <w:r>
              <w:lastRenderedPageBreak/>
              <w:t>V souladu s článkem I. pojistné smlouvy se toto pojištění řídí také Všeobecnými pojistnými podmínkami - zvláštní část Živelní pojištění VPP Z 2014 (dále jen "VPP Z 2014"</w:t>
            </w:r>
            <w:r>
              <w:t>), které jsou nedílnou součástí a přílohou této pojistné smlouvy.</w:t>
            </w:r>
          </w:p>
        </w:tc>
      </w:tr>
      <w:tr w:rsidR="47483577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845D8" w:rsidRDefault="00366E6E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474835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845D8" w:rsidRDefault="00366E6E">
            <w:pPr>
              <w:pStyle w:val="tableTD0"/>
              <w:keepNext/>
              <w:keepLines/>
            </w:pPr>
            <w:r>
              <w:t>předmět pojištění:</w:t>
            </w:r>
          </w:p>
          <w:p w:rsidR="00F845D8" w:rsidRDefault="00366E6E">
            <w:pPr>
              <w:pStyle w:val="tableTD0"/>
              <w:keepNext/>
              <w:keepLines/>
            </w:pPr>
            <w:r>
              <w:rPr>
                <w:b/>
              </w:rPr>
              <w:t>3. Soubor staveb  vyjma věcí  uvedených v čl. III odst. 2. a 3. VPP</w:t>
            </w:r>
          </w:p>
        </w:tc>
        <w:tc>
          <w:tcPr>
            <w:tcW w:w="49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845D8" w:rsidRDefault="00366E6E">
            <w:pPr>
              <w:pStyle w:val="tableTD0"/>
              <w:keepNext/>
              <w:keepLines/>
            </w:pPr>
            <w:r>
              <w:t>specifikace předmětu pojištění:</w:t>
            </w:r>
          </w:p>
          <w:p w:rsidR="00F845D8" w:rsidRDefault="00366E6E">
            <w:pPr>
              <w:pStyle w:val="tableTD0"/>
              <w:keepNext/>
              <w:keepLines/>
            </w:pPr>
            <w:r>
              <w:rPr>
                <w:b/>
              </w:rPr>
              <w:t>město Kaplice - dle seznamu v příloze (RPZ 3)</w:t>
            </w:r>
          </w:p>
        </w:tc>
      </w:tr>
      <w:tr w:rsidR="47483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845D8" w:rsidRDefault="00366E6E">
            <w:pPr>
              <w:pStyle w:val="tableTD0"/>
              <w:keepNext/>
              <w:keepLines/>
            </w:pPr>
            <w:r>
              <w:t>místo pojištění:</w:t>
            </w:r>
          </w:p>
        </w:tc>
        <w:tc>
          <w:tcPr>
            <w:tcW w:w="2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845D8" w:rsidRDefault="00366E6E">
            <w:pPr>
              <w:pStyle w:val="tableTD0"/>
              <w:keepNext/>
              <w:keepLines/>
            </w:pPr>
            <w:r>
              <w:t>vlastnictví předmětu pojištění:</w:t>
            </w:r>
          </w:p>
          <w:p w:rsidR="00F845D8" w:rsidRDefault="00366E6E">
            <w:pPr>
              <w:pStyle w:val="tableTD0"/>
              <w:keepNext/>
              <w:keepLines/>
            </w:pPr>
            <w:r>
              <w:t>vlastní</w:t>
            </w:r>
          </w:p>
        </w:tc>
        <w:tc>
          <w:tcPr>
            <w:tcW w:w="3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845D8" w:rsidRDefault="00366E6E">
            <w:pPr>
              <w:pStyle w:val="tableTD0"/>
              <w:keepNext/>
              <w:keepLines/>
            </w:pPr>
            <w:r>
              <w:t>pojistná hodnota:</w:t>
            </w:r>
          </w:p>
          <w:p w:rsidR="00F845D8" w:rsidRDefault="00366E6E">
            <w:pPr>
              <w:pStyle w:val="tableTD0"/>
              <w:keepNext/>
              <w:keepLines/>
            </w:pPr>
            <w:r>
              <w:t>nová cena</w:t>
            </w:r>
          </w:p>
        </w:tc>
      </w:tr>
      <w:tr w:rsidR="474835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845D8" w:rsidRDefault="00366E6E">
            <w:pPr>
              <w:pStyle w:val="tableTHbold0"/>
              <w:keepNext/>
              <w:keepLines/>
            </w:pPr>
            <w:r>
              <w:t>Pojištění se sjednává pro případ negativního působení pojistných nebezpečí: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845D8" w:rsidRDefault="00366E6E">
            <w:pPr>
              <w:pStyle w:val="tableTHbold0"/>
              <w:keepNext/>
              <w:keepLines/>
            </w:pPr>
            <w:r>
              <w:t>horní hranice pojistného plnění (Kč):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845D8" w:rsidRDefault="00366E6E">
            <w:pPr>
              <w:pStyle w:val="tableTHbold0"/>
              <w:keepNext/>
              <w:keepLines/>
            </w:pPr>
            <w:r>
              <w:t>způsob pojištění: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845D8" w:rsidRDefault="00366E6E">
            <w:pPr>
              <w:pStyle w:val="tableTHbold0"/>
              <w:keepNext/>
              <w:keepLines/>
            </w:pPr>
            <w:r>
              <w:t>spoluúčast:</w:t>
            </w:r>
          </w:p>
        </w:tc>
      </w:tr>
      <w:tr w:rsidR="474835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845D8" w:rsidRDefault="00366E6E">
            <w:pPr>
              <w:pStyle w:val="tableTD0"/>
              <w:keepNext/>
              <w:keepLines/>
            </w:pPr>
            <w:r>
              <w:t>FLEXA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right"/>
            </w:pPr>
            <w:r>
              <w:t>67 000 000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F845D8">
            <w:pPr>
              <w:pStyle w:val="tableTD0"/>
              <w:keepNext/>
              <w:keepLines/>
              <w:jc w:val="center"/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right"/>
            </w:pPr>
            <w:r>
              <w:t>5 000 Kč</w:t>
            </w:r>
          </w:p>
        </w:tc>
      </w:tr>
      <w:tr w:rsidR="474835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845D8" w:rsidRDefault="00366E6E">
            <w:pPr>
              <w:pStyle w:val="tableTD0"/>
              <w:keepNext/>
              <w:keepLines/>
            </w:pPr>
            <w:r>
              <w:t>Doplňková živelní nebezpečí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right"/>
            </w:pPr>
            <w:r>
              <w:t>10 000 000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center"/>
            </w:pPr>
            <w:r>
              <w:t>1R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right"/>
            </w:pPr>
            <w:r>
              <w:t>1 000 Kč</w:t>
            </w:r>
          </w:p>
        </w:tc>
      </w:tr>
      <w:tr w:rsidR="474835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845D8" w:rsidRDefault="00366E6E">
            <w:pPr>
              <w:pStyle w:val="tableTD0"/>
              <w:keepNext/>
              <w:keepLines/>
            </w:pPr>
            <w:r>
              <w:t>Povodeň nebo záplava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right"/>
            </w:pPr>
            <w:r>
              <w:t>5 000 000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center"/>
            </w:pPr>
            <w:r>
              <w:t>1R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right"/>
            </w:pPr>
            <w:r>
              <w:t>5 000 Kč</w:t>
            </w:r>
          </w:p>
        </w:tc>
      </w:tr>
      <w:tr w:rsidR="47483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845D8" w:rsidRDefault="00366E6E">
            <w:pPr>
              <w:pStyle w:val="tableTD0"/>
              <w:keepNext/>
              <w:keepLines/>
            </w:pPr>
            <w:r>
              <w:t>Vodovodní škoda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right"/>
            </w:pPr>
            <w:r>
              <w:t>10 000 000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center"/>
            </w:pPr>
            <w:r>
              <w:t>1R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right"/>
            </w:pPr>
            <w:r>
              <w:t>1 000 Kč</w:t>
            </w:r>
          </w:p>
        </w:tc>
      </w:tr>
      <w:tr w:rsidR="474835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845D8" w:rsidRDefault="00366E6E">
            <w:pPr>
              <w:pStyle w:val="tableTD0"/>
              <w:keepNext/>
              <w:keepLines/>
            </w:pPr>
            <w:r>
              <w:t>Zkrat nebo přepětí</w:t>
            </w:r>
          </w:p>
        </w:tc>
        <w:tc>
          <w:tcPr>
            <w:tcW w:w="2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right"/>
            </w:pPr>
            <w:r>
              <w:t>100 000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center"/>
            </w:pPr>
            <w:r>
              <w:t>1R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right"/>
            </w:pPr>
            <w:r>
              <w:t>1 000 Kč</w:t>
            </w:r>
          </w:p>
        </w:tc>
      </w:tr>
      <w:tr w:rsidR="47483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beznyText"/>
              <w:keepNext/>
              <w:keepLines/>
              <w:jc w:val="both"/>
            </w:pPr>
            <w:r>
              <w:rPr>
                <w:i/>
                <w:vertAlign w:val="superscript"/>
              </w:rPr>
              <w:t>1</w:t>
            </w:r>
            <w:r>
              <w:rPr>
                <w:i/>
              </w:rPr>
              <w:t xml:space="preserve">Zkratkou „1R“ se pro účely této pojistné smlouvy rozumí pojištění prvního rizika a v tomto případě je horní hranice pojistného plnění stanovena limitem pojistného plnění; je-li pole výše uvedené tabulky ve sloupci „Způsob pojištění“ prázdné, rozumí se tím </w:t>
            </w:r>
            <w:r>
              <w:rPr>
                <w:i/>
              </w:rPr>
              <w:t>pro účely této pojistné smlouvy, že pojištění není sjednáno ve výše uvedeném speciálním právním režimu a horní hranice pojistného plnění je určena pojistnou částkou.</w:t>
            </w:r>
          </w:p>
        </w:tc>
      </w:tr>
      <w:tr w:rsidR="47483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beznyText"/>
            </w:pPr>
          </w:p>
        </w:tc>
      </w:tr>
      <w:tr w:rsidR="4748352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845D8" w:rsidRDefault="00366E6E">
            <w:pPr>
              <w:pStyle w:val="textVykladPojmu"/>
              <w:keepNext/>
              <w:keepLines/>
            </w:pPr>
            <w:r>
              <w:t>VÝKLAD POJMŮ</w:t>
            </w:r>
          </w:p>
        </w:tc>
      </w:tr>
      <w:tr w:rsidR="47483526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B91"/>
            </w:pPr>
            <w:r>
              <w:t xml:space="preserve">Pojmem </w:t>
            </w:r>
            <w:r>
              <w:rPr>
                <w:b/>
              </w:rPr>
              <w:t>FLEXA</w:t>
            </w:r>
            <w:r>
              <w:t xml:space="preserve"> se pro účely této pojistné smlouvy rozumí živelní pojištění sjednané pro případ poškození nebo zničení předmětu pojištění způsobené pojistným nebezpečím dle čl. II odst. 1. VPP Z 2014.</w:t>
            </w:r>
          </w:p>
        </w:tc>
      </w:tr>
      <w:tr w:rsidR="47483522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B91"/>
            </w:pPr>
            <w:r>
              <w:t>Pojmem</w:t>
            </w:r>
            <w:r>
              <w:rPr>
                <w:b/>
              </w:rPr>
              <w:t xml:space="preserve"> Doplňková živelní nebezpečí</w:t>
            </w:r>
            <w:r>
              <w:t xml:space="preserve"> se pro účely této pojistné smlouvy</w:t>
            </w:r>
            <w:r>
              <w:t xml:space="preserve"> rozumí živelní pojištění sjednané pro případ poškození nebo zničení předmětu pojištění způsobené pojistným nebezpečím dle čl. II odst. 2. VPP Z 2014.</w:t>
            </w:r>
          </w:p>
        </w:tc>
      </w:tr>
      <w:tr w:rsidR="4748351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nadpisHlavnihoClanku"/>
              <w:keepNext/>
              <w:keepLines/>
            </w:pPr>
            <w:r>
              <w:t>Článek II.</w:t>
            </w:r>
          </w:p>
        </w:tc>
      </w:tr>
      <w:tr w:rsidR="47483516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845D8" w:rsidRDefault="00366E6E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3514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smallBold"/>
            </w:pPr>
            <w:r>
              <w:t>Výše pojistného za jednotlivá pojištění činí:</w:t>
            </w:r>
          </w:p>
        </w:tc>
      </w:tr>
      <w:tr w:rsidR="474835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845D8" w:rsidRDefault="00F845D8">
            <w:pPr>
              <w:pStyle w:val="tableTHbold0"/>
              <w:keepNext/>
              <w:keepLines/>
            </w:pPr>
          </w:p>
        </w:tc>
        <w:tc>
          <w:tcPr>
            <w:tcW w:w="3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Hbold0"/>
              <w:keepNext/>
              <w:keepLines/>
            </w:pPr>
            <w:r>
              <w:t>Pojištění</w:t>
            </w:r>
          </w:p>
        </w:tc>
        <w:tc>
          <w:tcPr>
            <w:tcW w:w="2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Hbold0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Hbold0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35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</w:pPr>
            <w:r>
              <w:t>Živelní pojištění</w:t>
            </w:r>
          </w:p>
        </w:tc>
        <w:tc>
          <w:tcPr>
            <w:tcW w:w="2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right"/>
            </w:pPr>
            <w:r>
              <w:t>1 121 Kč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right"/>
            </w:pPr>
            <w:r>
              <w:t>263 488 Kč</w:t>
            </w:r>
          </w:p>
        </w:tc>
      </w:tr>
      <w:tr w:rsidR="474835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2.</w:t>
            </w:r>
          </w:p>
        </w:tc>
        <w:tc>
          <w:tcPr>
            <w:tcW w:w="3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</w:pPr>
            <w:r>
              <w:t>Pojištění odcizení</w:t>
            </w:r>
          </w:p>
        </w:tc>
        <w:tc>
          <w:tcPr>
            <w:tcW w:w="2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right"/>
            </w:pPr>
            <w:r>
              <w:t>0 Kč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right"/>
            </w:pPr>
            <w:r>
              <w:t>10 436 Kč</w:t>
            </w:r>
          </w:p>
        </w:tc>
      </w:tr>
      <w:tr w:rsidR="474834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3.</w:t>
            </w:r>
          </w:p>
        </w:tc>
        <w:tc>
          <w:tcPr>
            <w:tcW w:w="3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</w:pPr>
            <w:r>
              <w:t>Pojištění elektronických zařízení</w:t>
            </w:r>
          </w:p>
        </w:tc>
        <w:tc>
          <w:tcPr>
            <w:tcW w:w="2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right"/>
            </w:pPr>
            <w:r>
              <w:t>0 Kč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right"/>
            </w:pPr>
            <w:r>
              <w:t>10 159 Kč</w:t>
            </w:r>
          </w:p>
        </w:tc>
      </w:tr>
      <w:tr w:rsidR="474834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  <w:keepNext/>
            </w:pPr>
          </w:p>
        </w:tc>
        <w:tc>
          <w:tcPr>
            <w:tcW w:w="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  <w:keepNext/>
            </w:pPr>
          </w:p>
        </w:tc>
        <w:tc>
          <w:tcPr>
            <w:tcW w:w="3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1 121 Kč</w:t>
            </w:r>
          </w:p>
        </w:tc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284 084 Kč</w:t>
            </w:r>
          </w:p>
        </w:tc>
      </w:tr>
      <w:tr w:rsidR="474834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zarovnaniSNasledujicim0"/>
              <w:keepNext/>
              <w:keepLines/>
            </w:pPr>
          </w:p>
        </w:tc>
      </w:tr>
      <w:tr w:rsidR="47483486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B9VolnyRadekPred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</w:t>
            </w:r>
            <w:r>
              <w:t xml:space="preserve">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347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B9VolnyRadekPred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3474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B9VolnyRadekPred"/>
            </w:pPr>
            <w:r>
              <w:rPr>
                <w:b/>
                <w:u w:val="single"/>
              </w:rPr>
              <w:t>Roč</w:t>
            </w:r>
            <w:r>
              <w:rPr>
                <w:b/>
                <w:u w:val="single"/>
              </w:rPr>
              <w:t>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3470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</w:tr>
      <w:tr w:rsidR="4748346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nadpisPojistneSplatkovyKalendar"/>
            </w:pPr>
            <w:r>
              <w:lastRenderedPageBreak/>
              <w:t>Splátkový kalendář</w:t>
            </w:r>
          </w:p>
        </w:tc>
      </w:tr>
      <w:tr w:rsidR="47483466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1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>se do 01.03.2019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474834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ind w:left="40"/>
            </w:pPr>
            <w:r>
              <w:t>01.03.2018</w:t>
            </w:r>
          </w:p>
        </w:tc>
        <w:tc>
          <w:tcPr>
            <w:tcW w:w="4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ind w:right="40"/>
              <w:jc w:val="right"/>
            </w:pPr>
            <w:r>
              <w:t>71 020 Kč</w:t>
            </w:r>
          </w:p>
        </w:tc>
      </w:tr>
      <w:tr w:rsidR="474834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ind w:left="40"/>
            </w:pPr>
            <w:r>
              <w:t>01.06.2018</w:t>
            </w:r>
          </w:p>
        </w:tc>
        <w:tc>
          <w:tcPr>
            <w:tcW w:w="4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ind w:right="40"/>
              <w:jc w:val="right"/>
            </w:pPr>
            <w:r>
              <w:t>71 021 Kč</w:t>
            </w:r>
          </w:p>
        </w:tc>
      </w:tr>
      <w:tr w:rsidR="474834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ind w:left="40"/>
            </w:pPr>
            <w:r>
              <w:t>01.09.2018</w:t>
            </w:r>
          </w:p>
        </w:tc>
        <w:tc>
          <w:tcPr>
            <w:tcW w:w="4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ind w:right="40"/>
              <w:jc w:val="right"/>
            </w:pPr>
            <w:r>
              <w:t>71 021 Kč</w:t>
            </w:r>
          </w:p>
        </w:tc>
      </w:tr>
      <w:tr w:rsidR="474834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ind w:left="40"/>
            </w:pPr>
            <w:r>
              <w:t>01.12.2018</w:t>
            </w:r>
          </w:p>
        </w:tc>
        <w:tc>
          <w:tcPr>
            <w:tcW w:w="4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ind w:right="40"/>
              <w:jc w:val="right"/>
            </w:pPr>
            <w:r>
              <w:t>71 021 Kč</w:t>
            </w:r>
          </w:p>
        </w:tc>
      </w:tr>
      <w:tr w:rsidR="474834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beznyText"/>
            </w:pPr>
          </w:p>
        </w:tc>
      </w:tr>
      <w:tr w:rsidR="47483443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3441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180135112/0300</w:t>
            </w:r>
            <w:r>
              <w:t xml:space="preserve"> u Československé obchodní banky, a. s.,</w:t>
            </w:r>
          </w:p>
        </w:tc>
      </w:tr>
      <w:tr w:rsidR="47483437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beznyText"/>
            </w:pPr>
            <w:r>
              <w:t>konstantní symbol 3558,</w:t>
            </w:r>
          </w:p>
        </w:tc>
      </w:tr>
      <w:tr w:rsidR="47483435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8067476019</w:t>
            </w:r>
            <w:r>
              <w:t>.</w:t>
            </w:r>
          </w:p>
        </w:tc>
      </w:tr>
      <w:tr w:rsidR="47483431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342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VolnyRadekPred"/>
            </w:pPr>
            <w:r>
              <w:t>Pojistitel a pojistník sjednávají délku pojistného období ve všech pojištěních sjednaných tímto dodatkem pojistné smlouvy následovně:</w:t>
            </w:r>
          </w:p>
        </w:tc>
      </w:tr>
      <w:tr w:rsidR="47483426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1"/>
              <w:ind w:left="300" w:hanging="300"/>
            </w:pPr>
            <w:r>
              <w:t>a)</w:t>
            </w:r>
            <w:r>
              <w:tab/>
              <w:t>první pojistné období ve všech pojištěních sjednaných tímto dodatkem pojistné smlouvy se sjednává v délce ode dne počátku všech pojištění sjednaných tímto dodatkem pojistné smlouvy do nejbližšího následujícího dne konce pojistného období všech pojištění</w:t>
            </w:r>
            <w:r>
              <w:t xml:space="preserve"> sjednaných samotnou pojistnou smlouvou, nebo je-li pojištění sjednáno na dobu kratší, tak se první pojistné období sjednává v délce rovné pojistné době;</w:t>
            </w:r>
          </w:p>
        </w:tc>
      </w:tr>
      <w:tr w:rsidR="47483424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1"/>
              <w:ind w:left="300" w:hanging="300"/>
            </w:pPr>
            <w:r>
              <w:t>b)</w:t>
            </w:r>
            <w:r>
              <w:tab/>
              <w:t>druhé a každé další pojistné období ve všech pojištěních sjednaných tímto dodatkem pojistné smlouvy se sjednává v délce shodné s délkou pojistných období ve všech pojištěních sjednaných samotnou pojistnou smlouvou.</w:t>
            </w:r>
          </w:p>
        </w:tc>
      </w:tr>
      <w:tr w:rsidR="47483421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VolnyRadekPred"/>
            </w:pPr>
            <w:r>
              <w:t>Výše pojistného za další pojistné obd</w:t>
            </w:r>
            <w:r>
              <w:t>obí se řídí splátkovým kalendářem zaslaným pojistníkovi na začátku dalšího pojistného období.</w:t>
            </w:r>
          </w:p>
        </w:tc>
      </w:tr>
      <w:tr w:rsidR="4748341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nadpisHlavnihoClanku"/>
              <w:keepNext/>
              <w:keepLines/>
            </w:pPr>
            <w:r>
              <w:t>Článek III.</w:t>
            </w:r>
          </w:p>
        </w:tc>
      </w:tr>
      <w:tr w:rsidR="47483416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845D8" w:rsidRDefault="00366E6E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47483413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B91"/>
            </w:pPr>
            <w:r>
              <w:t xml:space="preserve">Tento dodatek nabývá platnosti dnem jeho podpisu oběma smluvními stranami a účinnosti dnem </w:t>
            </w:r>
            <w:r>
              <w:rPr>
                <w:b/>
              </w:rPr>
              <w:t>01.03.2018</w:t>
            </w:r>
          </w:p>
        </w:tc>
      </w:tr>
      <w:tr w:rsidR="47483410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B91"/>
            </w:pPr>
            <w:r>
              <w:t>Ostatní ustanovení pojistné smlouvy, než ustanovení výslovně zmíněná v tomto dodatku, se tímto dodatkem nijak nemění.</w:t>
            </w:r>
          </w:p>
        </w:tc>
      </w:tr>
      <w:tr w:rsidR="4748340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B91"/>
            </w:pPr>
            <w:r>
              <w:t>Správce pojistné smlouvy: Ing. Zuzana Klimplová, telefon: 467007460, email: zuzana.klimplova@csobpoj.cz</w:t>
            </w:r>
          </w:p>
        </w:tc>
      </w:tr>
      <w:tr w:rsidR="47483406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B91"/>
            </w:pPr>
            <w:r>
              <w:t>Počet stran dodatku pojistné sml</w:t>
            </w:r>
            <w:r>
              <w:t>ouvy bez příloh:</w:t>
            </w:r>
          </w:p>
        </w:tc>
        <w:tc>
          <w:tcPr>
            <w:tcW w:w="46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</w:tr>
      <w:tr w:rsidR="47483404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beznyText1"/>
            </w:pPr>
            <w:r>
              <w:t>Přílohy:</w:t>
            </w:r>
          </w:p>
        </w:tc>
      </w:tr>
      <w:tr w:rsidR="47483402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6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1"/>
            </w:pPr>
            <w:r>
              <w:t>1)</w:t>
            </w:r>
          </w:p>
        </w:tc>
        <w:tc>
          <w:tcPr>
            <w:tcW w:w="83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1"/>
            </w:pPr>
            <w:r>
              <w:t>Seznam míst pojištění</w:t>
            </w:r>
          </w:p>
        </w:tc>
      </w:tr>
      <w:tr w:rsidR="47483399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B9VolnyRadekPred"/>
              <w:keepNext/>
              <w:keepLines/>
            </w:pPr>
            <w:r>
              <w:t>Tento dodatek pojistné smlouvy je vyhotoven ve 3 stejnopisech shodné právní síly, přičemž jedno vyhotovení obdrží pojistník a zbývající dvě pojistitel.</w:t>
            </w:r>
          </w:p>
        </w:tc>
      </w:tr>
      <w:tr w:rsidR="47483397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  <w:keepNext/>
              <w:keepLines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</w:t>
            </w:r>
            <w:r>
              <w:t>em souhlasí. Na důkaz toho připojují vlastnoruční podpisy svých oprávněných zástupců.</w:t>
            </w:r>
          </w:p>
        </w:tc>
      </w:tr>
      <w:tr w:rsidR="474833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podpisovePoleSpacer"/>
              <w:keepNext/>
              <w:keepLines/>
            </w:pPr>
          </w:p>
        </w:tc>
      </w:tr>
      <w:tr w:rsidR="474833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 w:rsidP="005041C3">
            <w:pPr>
              <w:pStyle w:val="beznyText"/>
              <w:keepNext/>
              <w:keepLines/>
            </w:pPr>
            <w:r>
              <w:t xml:space="preserve">V </w:t>
            </w:r>
            <w:r w:rsidR="005041C3">
              <w:t>Kaplici  dne 28.2.2018</w:t>
            </w:r>
            <w:r>
              <w:t xml:space="preserve"> </w:t>
            </w:r>
          </w:p>
        </w:tc>
        <w:tc>
          <w:tcPr>
            <w:tcW w:w="4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beznyText"/>
              <w:keepNext/>
              <w:keepLines/>
              <w:jc w:val="center"/>
            </w:pPr>
            <w:r>
              <w:t xml:space="preserve"> </w:t>
            </w:r>
            <w:r>
              <w:t>............................................................</w:t>
            </w:r>
          </w:p>
          <w:p w:rsidR="00F845D8" w:rsidRDefault="00366E6E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33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podpisovePoleSpacer"/>
              <w:keepNext/>
              <w:keepLines/>
            </w:pPr>
            <w:bookmarkStart w:id="0" w:name="_GoBack"/>
            <w:bookmarkEnd w:id="0"/>
          </w:p>
        </w:tc>
      </w:tr>
      <w:tr w:rsidR="474833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 w:rsidP="005041C3">
            <w:pPr>
              <w:pStyle w:val="beznyText"/>
              <w:keepNext/>
              <w:keepLines/>
            </w:pPr>
            <w:r>
              <w:t xml:space="preserve">V ............................. dne </w:t>
            </w:r>
            <w:r w:rsidR="005041C3">
              <w:t>27.2.2018</w:t>
            </w:r>
          </w:p>
        </w:tc>
        <w:tc>
          <w:tcPr>
            <w:tcW w:w="4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beznyText"/>
              <w:keepNext/>
              <w:keepLines/>
              <w:jc w:val="center"/>
            </w:pPr>
            <w:r>
              <w:t>.</w:t>
            </w:r>
            <w:r>
              <w:t>...........................................................</w:t>
            </w:r>
          </w:p>
          <w:p w:rsidR="00F845D8" w:rsidRDefault="00366E6E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beznyText"/>
            </w:pPr>
          </w:p>
        </w:tc>
      </w:tr>
      <w:tr w:rsidR="47483382">
        <w:tblPrEx>
          <w:tblCellMar>
            <w:top w:w="0" w:type="dxa"/>
            <w:bottom w:w="0" w:type="dxa"/>
          </w:tblCellMar>
        </w:tblPrEx>
        <w:trPr>
          <w:gridAfter w:val="14"/>
          <w:wAfter w:w="8740" w:type="dxa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</w:tr>
    </w:tbl>
    <w:p w:rsidR="00F845D8" w:rsidRDefault="00F845D8">
      <w:pPr>
        <w:pStyle w:val="beznyText"/>
        <w:sectPr w:rsidR="00F845D8">
          <w:headerReference w:type="default" r:id="rId7"/>
          <w:footerReference w:type="default" r:id="rId8"/>
          <w:headerReference w:type="first" r:id="rId9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  <w:bookmarkStart w:id="1" w:name="B2BBOOKMARK1"/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0"/>
        <w:gridCol w:w="1140"/>
        <w:gridCol w:w="3760"/>
      </w:tblGrid>
      <w:tr w:rsidR="47483379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nadpisSplatkovyKalendar"/>
            </w:pPr>
            <w:r>
              <w:lastRenderedPageBreak/>
              <w:t>Splátkový kalendář k dodatku č. 1 pojistné smlouvy</w:t>
            </w:r>
          </w:p>
        </w:tc>
      </w:tr>
      <w:tr w:rsidR="47483377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nadpisSplatkovyKalendar"/>
            </w:pPr>
            <w:r>
              <w:t>č. 8067476019</w:t>
            </w:r>
          </w:p>
        </w:tc>
      </w:tr>
      <w:tr w:rsidR="47483375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beznyText"/>
            </w:pPr>
          </w:p>
        </w:tc>
      </w:tr>
      <w:tr w:rsidR="47483374">
        <w:tblPrEx>
          <w:tblCellMar>
            <w:top w:w="0" w:type="dxa"/>
            <w:bottom w:w="0" w:type="dxa"/>
          </w:tblCellMar>
        </w:tblPrEx>
        <w:trPr>
          <w:gridAfter w:val="2"/>
          <w:wAfter w:w="4900" w:type="dxa"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</w:tr>
      <w:tr w:rsidR="47483373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B91"/>
              <w:ind w:firstLine="400"/>
            </w:pPr>
            <w:r>
              <w:t xml:space="preserve">Tento splátkový kalendář upravuje splátky pojistného za změnu pojištění dle výše uvedeného dodatku pojistné smlouvy na pojistné období nebo na pojistnou dobu </w:t>
            </w:r>
            <w:r>
              <w:rPr>
                <w:b/>
              </w:rPr>
              <w:t>od 01.03.2018</w:t>
            </w:r>
            <w:r>
              <w:t xml:space="preserve"> 00:00 hodin </w:t>
            </w:r>
            <w:r>
              <w:rPr>
                <w:b/>
              </w:rPr>
              <w:t>do 01.03.2019</w:t>
            </w:r>
            <w:r>
              <w:t xml:space="preserve"> 00:00 hodin.</w:t>
            </w:r>
          </w:p>
        </w:tc>
      </w:tr>
      <w:tr w:rsidR="47483367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B91"/>
            </w:pPr>
            <w:r>
              <w:t>Pojistník je povinen platit pojistné v násle</w:t>
            </w:r>
            <w:r>
              <w:t>dujících termínech a splátkách:</w:t>
            </w:r>
          </w:p>
        </w:tc>
      </w:tr>
      <w:tr w:rsidR="47483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F845D8" w:rsidRDefault="00366E6E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3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ind w:left="40"/>
            </w:pPr>
            <w:r>
              <w:t>01.03.2018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ind w:right="40"/>
              <w:jc w:val="right"/>
            </w:pPr>
            <w:r>
              <w:t>71 020 Kč</w:t>
            </w:r>
          </w:p>
        </w:tc>
      </w:tr>
      <w:tr w:rsidR="47483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ind w:left="40"/>
            </w:pPr>
            <w:r>
              <w:t>01.06.2018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ind w:right="40"/>
              <w:jc w:val="right"/>
            </w:pPr>
            <w:r>
              <w:t>71 021 Kč</w:t>
            </w:r>
          </w:p>
        </w:tc>
      </w:tr>
      <w:tr w:rsidR="474833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ind w:left="40"/>
            </w:pPr>
            <w:r>
              <w:t>01.09.2018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ind w:right="40"/>
              <w:jc w:val="right"/>
            </w:pPr>
            <w:r>
              <w:t>71 021 Kč</w:t>
            </w:r>
          </w:p>
        </w:tc>
      </w:tr>
      <w:tr w:rsidR="474833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ind w:left="40"/>
            </w:pPr>
            <w:r>
              <w:t>01.12.2018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5D8" w:rsidRDefault="00366E6E">
            <w:pPr>
              <w:pStyle w:val="tableTD0"/>
              <w:keepNext/>
              <w:keepLines/>
              <w:ind w:right="40"/>
              <w:jc w:val="right"/>
            </w:pPr>
            <w:r>
              <w:t>71 021 Kč</w:t>
            </w:r>
          </w:p>
        </w:tc>
      </w:tr>
      <w:tr w:rsidR="47483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beznyText"/>
            </w:pPr>
          </w:p>
        </w:tc>
      </w:tr>
      <w:tr w:rsidR="47483348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3346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beznyText"/>
            </w:pPr>
            <w:r>
              <w:t xml:space="preserve">číslo </w:t>
            </w:r>
            <w:r>
              <w:rPr>
                <w:b/>
              </w:rPr>
              <w:t>180135112/0300</w:t>
            </w:r>
            <w:r>
              <w:t xml:space="preserve"> u Československé obchodní banky, a. s.,</w:t>
            </w:r>
          </w:p>
        </w:tc>
      </w:tr>
      <w:tr w:rsidR="47483342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beznyText"/>
            </w:pPr>
            <w:r>
              <w:t>konstantní symbol 3558,</w:t>
            </w:r>
          </w:p>
        </w:tc>
      </w:tr>
      <w:tr w:rsidR="47483340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8067476019</w:t>
            </w:r>
            <w:r>
              <w:t>.</w:t>
            </w:r>
          </w:p>
        </w:tc>
      </w:tr>
      <w:tr w:rsidR="47483336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3334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volnyRadekSpacer"/>
            </w:pPr>
          </w:p>
        </w:tc>
      </w:tr>
      <w:tr w:rsidR="47483332">
        <w:tblPrEx>
          <w:tblCellMar>
            <w:top w:w="0" w:type="dxa"/>
            <w:bottom w:w="0" w:type="dxa"/>
          </w:tblCellMar>
        </w:tblPrEx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1"/>
            </w:pPr>
            <w:r>
              <w:t>V ............................. dne ....</w:t>
            </w:r>
            <w:r>
              <w:t>.....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1"/>
              <w:jc w:val="center"/>
            </w:pPr>
            <w:r>
              <w:t>............................................................</w:t>
            </w:r>
          </w:p>
          <w:p w:rsidR="00F845D8" w:rsidRDefault="00366E6E">
            <w:pPr>
              <w:pStyle w:val="textNormal1"/>
              <w:jc w:val="center"/>
            </w:pPr>
            <w:r>
              <w:t>razítko a podpis pojistitele</w:t>
            </w:r>
          </w:p>
        </w:tc>
      </w:tr>
      <w:tr w:rsidR="47483327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hlavickaPaticka0"/>
            </w:pPr>
          </w:p>
        </w:tc>
      </w:tr>
    </w:tbl>
    <w:p w:rsidR="00F845D8" w:rsidRDefault="00F845D8">
      <w:pPr>
        <w:pStyle w:val="beznyText"/>
        <w:sectPr w:rsidR="00F845D8">
          <w:headerReference w:type="default" r:id="rId10"/>
          <w:footerReference w:type="default" r:id="rId11"/>
          <w:pgSz w:w="11900" w:h="16840"/>
          <w:pgMar w:top="700" w:right="1400" w:bottom="700" w:left="1400" w:header="700" w:footer="700" w:gutter="0"/>
          <w:pgNumType w:start="1"/>
          <w:cols w:space="708"/>
          <w:docGrid w:linePitch="360"/>
        </w:sectPr>
      </w:pPr>
      <w:bookmarkStart w:id="2" w:name="B2BBOOKMARK2"/>
      <w:bookmarkEnd w:id="2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200"/>
        <w:gridCol w:w="200"/>
        <w:gridCol w:w="3140"/>
        <w:gridCol w:w="1340"/>
        <w:gridCol w:w="160"/>
        <w:gridCol w:w="200"/>
        <w:gridCol w:w="200"/>
        <w:gridCol w:w="200"/>
        <w:gridCol w:w="200"/>
        <w:gridCol w:w="220"/>
        <w:gridCol w:w="740"/>
        <w:gridCol w:w="2040"/>
        <w:gridCol w:w="1640"/>
        <w:gridCol w:w="40"/>
        <w:gridCol w:w="700"/>
      </w:tblGrid>
      <w:tr w:rsidR="47483324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3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beznyText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35200" cy="711200"/>
                  <wp:effectExtent l="0" t="0" r="0" b="0"/>
                  <wp:wrapSquare wrapText="bothSides">
                    <wp:effectExtent l="0" t="0" r="0" b="0"/>
                  </wp:wrapSquare>
                  <wp:docPr id="21474833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483323" name="Picture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6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2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7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6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beznyText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774700" cy="774700"/>
                  <wp:effectExtent l="0" t="0" r="0" b="0"/>
                  <wp:wrapSquare wrapText="bothSides">
                    <wp:effectExtent l="0" t="0" r="0" b="0"/>
                  </wp:wrapSquare>
                  <wp:docPr id="21474833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483322" name="Picture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321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606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1"/>
            </w:pPr>
            <w:r>
              <w:t>ČSOB Pojišťovna, a. s., člen holdingu ČSOB</w:t>
            </w:r>
          </w:p>
          <w:p w:rsidR="00F845D8" w:rsidRDefault="00366E6E">
            <w:pPr>
              <w:pStyle w:val="textNormal1"/>
            </w:pPr>
            <w:r>
              <w:t>se sídlem Masarykovo náměstí 1458, Zelené Předměstí</w:t>
            </w:r>
          </w:p>
          <w:p w:rsidR="00F845D8" w:rsidRDefault="00366E6E">
            <w:pPr>
              <w:pStyle w:val="textNormal1"/>
            </w:pPr>
            <w:r>
              <w:t>53002 Pardubice, Česká republika</w:t>
            </w:r>
          </w:p>
          <w:p w:rsidR="00F845D8" w:rsidRDefault="00366E6E">
            <w:pPr>
              <w:pStyle w:val="textNormal1"/>
            </w:pPr>
            <w:r>
              <w:t>IČO: 45534306, DIČ: CZ699000761</w:t>
            </w:r>
          </w:p>
          <w:p w:rsidR="00F845D8" w:rsidRDefault="00366E6E">
            <w:pPr>
              <w:pStyle w:val="textNormal1"/>
            </w:pPr>
            <w:r>
              <w:t>zapsaná v obchodním rejstříku u Krajského soudu Hradec Králové, oddíl B, vložka 567</w:t>
            </w:r>
          </w:p>
          <w:p w:rsidR="00F845D8" w:rsidRDefault="00366E6E">
            <w:pPr>
              <w:pStyle w:val="textNormal1"/>
            </w:pPr>
            <w:r>
              <w:t>(dále jen „pojistitel“)</w:t>
            </w:r>
          </w:p>
        </w:tc>
        <w:tc>
          <w:tcPr>
            <w:tcW w:w="7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6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314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60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6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313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60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3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1"/>
              <w:jc w:val="both"/>
            </w:pPr>
            <w:r>
              <w:rPr>
                <w:b/>
                <w:sz w:val="24"/>
              </w:rPr>
              <w:t>Sdělení informací pojistitelem zájemci o pojištění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311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60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6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310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60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9"/>
            </w:pPr>
            <w:r>
              <w:t>Tel.: 466 100 777, fax: 467 007 444, www.csobpoj.cz</w:t>
            </w:r>
          </w:p>
        </w:tc>
        <w:tc>
          <w:tcPr>
            <w:tcW w:w="7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6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307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3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beznyText"/>
            </w:pPr>
            <w:r>
              <w:rPr>
                <w:b/>
                <w:i/>
              </w:rPr>
              <w:t>Hlavní předmět podnikání pojistitele:</w:t>
            </w:r>
          </w:p>
        </w:tc>
        <w:tc>
          <w:tcPr>
            <w:tcW w:w="69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beznyText"/>
            </w:pPr>
            <w:r>
              <w:t>Pojišťovací činnost dle zákona č. 277/2009 Sb., o pojišťovnictví, ve znění pozdějších předpisů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304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3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beznyText"/>
              <w:spacing w:after="80"/>
            </w:pPr>
            <w:r>
              <w:rPr>
                <w:b/>
                <w:i/>
              </w:rPr>
              <w:t>Název a sídlo orgánu dohledu:</w:t>
            </w:r>
          </w:p>
        </w:tc>
        <w:tc>
          <w:tcPr>
            <w:tcW w:w="69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beznyText"/>
              <w:spacing w:after="80"/>
            </w:pPr>
            <w:r>
              <w:t>Česká národní banka, se sídlem na adrese Na Příkopě 28, 115 03 Praha 1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301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48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beznyText"/>
            </w:pPr>
            <w:r>
              <w:rPr>
                <w:b/>
                <w:i/>
              </w:rPr>
              <w:t>Pojišťovací zprostředkovatel (dále také “PZ“)  jednající jménem pojistitele na základě smlouvy o zprostředkování pojištění:</w:t>
            </w: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4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99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31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3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6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2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7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6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98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31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3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6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46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beznyText"/>
              <w:spacing w:after="180"/>
              <w:jc w:val="center"/>
            </w:pPr>
            <w:r>
              <w:rPr>
                <w:sz w:val="16"/>
              </w:rPr>
              <w:t>Název/jméno a příjmení PZ a kontaktní údaje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96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3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1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1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95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05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9"/>
              <w:jc w:val="center"/>
            </w:pPr>
            <w:r>
              <w:rPr>
                <w:b/>
                <w:i/>
                <w:sz w:val="20"/>
              </w:rPr>
              <w:t>Informace o obsahu pojištění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93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05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Pojistitel sjednává pojištění majetku, odpovědnosti a jiných rizik podnikatelů a organizací, které může zahrnovat: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91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4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Živelní pojištění</w:t>
            </w: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5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odpovědnosti fyzických a právnických osob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86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4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majetku na všechna rizika „ALL RISKS“</w:t>
            </w: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50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odpovědnosti za újmu způsobenou v souvislosti s poskytováním odborných služeb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81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4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živelního přerušení provozu</w:t>
            </w: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5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78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4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odcizení</w:t>
            </w: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50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určená pro silničního nákladního dopravce nebo zasílatele, které může zahrnovat: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73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4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strojů</w:t>
            </w: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5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70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48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elektronických zařízení, které může zahrnovat:</w:t>
            </w: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-</w:t>
            </w:r>
          </w:p>
        </w:tc>
        <w:tc>
          <w:tcPr>
            <w:tcW w:w="48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odpovědnosti silničního nákladního dopravce za újmu na přepravované zásilce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65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-</w:t>
            </w:r>
          </w:p>
        </w:tc>
        <w:tc>
          <w:tcPr>
            <w:tcW w:w="4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věcí</w:t>
            </w: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48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62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4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-</w:t>
            </w:r>
          </w:p>
        </w:tc>
        <w:tc>
          <w:tcPr>
            <w:tcW w:w="48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odpovědnosti zasílatele za újmu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59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-</w:t>
            </w:r>
          </w:p>
        </w:tc>
        <w:tc>
          <w:tcPr>
            <w:tcW w:w="4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finančních ztrát</w:t>
            </w: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48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56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4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-</w:t>
            </w:r>
          </w:p>
        </w:tc>
        <w:tc>
          <w:tcPr>
            <w:tcW w:w="48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finančních ztrát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53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48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strojního přerušení provozu</w:t>
            </w: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48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50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48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50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odpovědnosti za škodu způsobenou při výkonu povolání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47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48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Stavebně-montážní pojištění na všechna rizika, které může zahrnovat:</w:t>
            </w: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5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44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48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5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43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48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50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vozidel, které může zahrnovat: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40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48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5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39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-</w:t>
            </w:r>
          </w:p>
        </w:tc>
        <w:tc>
          <w:tcPr>
            <w:tcW w:w="4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věcí</w:t>
            </w: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5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36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4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-</w:t>
            </w:r>
          </w:p>
        </w:tc>
        <w:tc>
          <w:tcPr>
            <w:tcW w:w="48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vozidel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33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-</w:t>
            </w:r>
          </w:p>
        </w:tc>
        <w:tc>
          <w:tcPr>
            <w:tcW w:w="4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odpovědnosti</w:t>
            </w: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48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30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4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-</w:t>
            </w:r>
          </w:p>
        </w:tc>
        <w:tc>
          <w:tcPr>
            <w:tcW w:w="48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nákladů na půjčovné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27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-</w:t>
            </w:r>
          </w:p>
        </w:tc>
        <w:tc>
          <w:tcPr>
            <w:tcW w:w="4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ztráty očekávaného zisku</w:t>
            </w: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48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24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4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-</w:t>
            </w:r>
          </w:p>
        </w:tc>
        <w:tc>
          <w:tcPr>
            <w:tcW w:w="48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okenních skel vozidla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21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48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přepravovaného nákladu, které může zahrnovat:</w:t>
            </w: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48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18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48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-</w:t>
            </w:r>
          </w:p>
        </w:tc>
        <w:tc>
          <w:tcPr>
            <w:tcW w:w="48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zavazadel a přepravovaných věcí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15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-</w:t>
            </w:r>
          </w:p>
        </w:tc>
        <w:tc>
          <w:tcPr>
            <w:tcW w:w="4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věcí movitých</w:t>
            </w: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48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12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4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50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přepravovaných osob, které může zahrnovat: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09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-</w:t>
            </w:r>
          </w:p>
        </w:tc>
        <w:tc>
          <w:tcPr>
            <w:tcW w:w="46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cenností a věcí zvláštní hodnoty</w:t>
            </w: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50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06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46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-</w:t>
            </w:r>
          </w:p>
        </w:tc>
        <w:tc>
          <w:tcPr>
            <w:tcW w:w="48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pro případ trvalých následků úrazu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03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9"/>
            </w:pPr>
            <w:r>
              <w:t>•</w:t>
            </w:r>
          </w:p>
        </w:tc>
        <w:tc>
          <w:tcPr>
            <w:tcW w:w="484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zásilek</w:t>
            </w: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48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200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484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-</w:t>
            </w:r>
          </w:p>
        </w:tc>
        <w:tc>
          <w:tcPr>
            <w:tcW w:w="484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Pojištění pro případ smrti způsobené úrazem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97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31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3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6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484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96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31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34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6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-</w:t>
            </w:r>
          </w:p>
        </w:tc>
        <w:tc>
          <w:tcPr>
            <w:tcW w:w="48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B91"/>
            </w:pPr>
            <w:r>
              <w:t>Pojištění pro případ léčení úrazu – denní odškodné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93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05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Jednotlivá pojištění nabízejí pojistnou ochranu pro případ: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91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1"/>
            </w:pPr>
            <w:r>
              <w:t>•</w:t>
            </w:r>
          </w:p>
        </w:tc>
        <w:tc>
          <w:tcPr>
            <w:tcW w:w="103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 xml:space="preserve">poškození, zničení nebo pohřešování hmotných movitých věcí či staveb, zejména v rozsahu vyjmenovaných pojistných nebezpečí, některá pojištění však nabízejí pojistnou ochranu i pro případ jakékoli škodné události, která není vyloučena pojistnými podmínkami </w:t>
            </w:r>
            <w:r>
              <w:t>či pojistnou smlouvou,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88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103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87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1"/>
            </w:pPr>
            <w:r>
              <w:t>•</w:t>
            </w:r>
          </w:p>
        </w:tc>
        <w:tc>
          <w:tcPr>
            <w:tcW w:w="10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finančních ztrát způsobených přerušením nebo omezením provozu z důvodu věcné škody ve smyslu předchozí odrážky,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84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1"/>
            </w:pPr>
            <w:r>
              <w:t>•</w:t>
            </w:r>
          </w:p>
        </w:tc>
        <w:tc>
          <w:tcPr>
            <w:tcW w:w="10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odpovědnosti za újmu,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81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1"/>
            </w:pPr>
            <w:r>
              <w:t>•</w:t>
            </w:r>
          </w:p>
        </w:tc>
        <w:tc>
          <w:tcPr>
            <w:tcW w:w="10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9"/>
              <w:jc w:val="both"/>
            </w:pPr>
            <w:r>
              <w:t>trvalých následků úrazu, smrti způsobené úrazem či pro případ léčení úrazu v pojištění přepravovaných osob.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78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05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9"/>
            </w:pPr>
            <w:r>
              <w:rPr>
                <w:b/>
                <w:i/>
              </w:rPr>
              <w:t>USTANOVENÍ POJISTNÝCH PODMÍNEK A SMLUVNÍCH DOLOŽEK, O NICHŽ MOHOU EXISTOVAT POCHYBNOSTI, ZDA JE POJISTNÍK MŮŽE ROZUMNĚ OČEKÁVAT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76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05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B91"/>
            </w:pPr>
            <w:r>
              <w:t>Všechna pojištění mají definovány výluky z pojištění, tedy situace, za kterých z pojištění nevzniká oprávněné osobě právo na pojistné plnění. Výluky jsou obsaženy v pojistných podmínkách v článku nazvaném Výluky z pojištění. Společné výluky pro všechna poj</w:t>
            </w:r>
            <w:r>
              <w:t>ištění jsou obsaženy ve Všeobecných pojistných podmínkách – obecná část VPP OC 2014 (dále jen „VPP OC 2014“), ostatní potom v pojistných podmínkách, kterými se jednotlivá pojištění řídí.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74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05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B91"/>
            </w:pPr>
            <w:r>
              <w:t>Pojistná nebezpečí povodeň nebo záplava se sjednávají s čekací dob</w:t>
            </w:r>
            <w:r>
              <w:t>ou definovanou ve VPP OC 2014 v délce 10 dnů. Za pojistné události způsobené povodní nebo záplavou a vzniklé v čekací době, není pojistitel povinen poskytnout pojistné plnění.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72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05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B91"/>
            </w:pPr>
            <w:r>
              <w:t>Vznik nároku na pojistné plnění ze škodných událostí způsobených odcizením je</w:t>
            </w:r>
            <w:r>
              <w:t xml:space="preserve"> v jednotlivých pojištěních podmíněn splněním alespoň minimální úrovně zabezpečení předmětů pojištění. Od kvality zabezpečovacích opatření se odvíjí maximální výše pojistného plnění, na které vzniká oprávněné osobě nárok. Většina pojištění definuje minimál</w:t>
            </w:r>
            <w:r>
              <w:t xml:space="preserve">ní požadavky na zabezpečení pro </w:t>
            </w:r>
            <w:r>
              <w:lastRenderedPageBreak/>
              <w:t>případ odcizení v Doplňkových pojistných podmínkách - Pravidla zabezpečení proti odcizení DPP PZK 2014 nebo v Doplňkových pojistných podmínkách - Pravidla zabezpečení přepravovaného nákladu DPP PZN 2014.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69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05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9"/>
              <w:jc w:val="center"/>
            </w:pPr>
            <w:r>
              <w:rPr>
                <w:b/>
                <w:i/>
                <w:sz w:val="20"/>
              </w:rPr>
              <w:t>Všeobecné informa</w:t>
            </w:r>
            <w:r>
              <w:rPr>
                <w:b/>
                <w:i/>
                <w:sz w:val="20"/>
              </w:rPr>
              <w:t>ce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67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05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B91"/>
            </w:pPr>
            <w:r>
              <w:rPr>
                <w:b/>
                <w:i/>
              </w:rPr>
              <w:t>Pojistné a poplatky:</w:t>
            </w:r>
            <w:r>
              <w:t xml:space="preserve"> pojistné je sjednáno jako běžné s pojistným obdobím v délce 1 rok nebo jednorázové, v závislosti na zvolené variantě pojištění. Výše pojistného je individuální a odvíjí se zejména od požadovaného rozsahu pojištění a doby trvání p</w:t>
            </w:r>
            <w:r>
              <w:t>ojištění, je uvedena v nabídce pojištění a následně v pojistné smlouvě. Pojistitel neúčtuje jiné poplatky.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64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05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B91"/>
            </w:pPr>
            <w:r>
              <w:rPr>
                <w:b/>
                <w:i/>
              </w:rPr>
              <w:t>Platba pojistného:</w:t>
            </w:r>
            <w:r>
              <w:t xml:space="preserve"> pojistné je možné platit na obchodních místech pojistitele, převodem na účet pojistitele nebo prostřednictvím poštovní poukázky. Nestanoví-li pojistná smlouva jinak, je běžné pojistné splatné prvního dne pojistného období a jednorázové pojistné dnem počát</w:t>
            </w:r>
            <w:r>
              <w:t>ku pojištění. V pojistné smlouvě může být sjednáno placení pojistného ve splátkách, se stanovením výše a splatnosti splátek. Pojistitel nevyžaduje zálohy na pojistné.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61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05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B91"/>
            </w:pPr>
            <w:r>
              <w:rPr>
                <w:b/>
                <w:i/>
              </w:rPr>
              <w:t>Informace o daňových předpisech:</w:t>
            </w:r>
            <w:r>
              <w:t xml:space="preserve"> daňové aspekty pojištění jsou upraveny obecně závazný</w:t>
            </w:r>
            <w:r>
              <w:t>mi právními předpisy České republiky, zejména zákonem č. 586/1992 Sb., o daních z příjmů, ve znění pozdějších předpisů.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58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05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B91"/>
            </w:pPr>
            <w:r>
              <w:rPr>
                <w:b/>
                <w:i/>
              </w:rPr>
              <w:t>Doba platnosti pojistné smlouvy:</w:t>
            </w:r>
            <w:r>
              <w:t xml:space="preserve"> pojistnou smlouvu lze uzavřít na dobu určitou či neurčitou což platí i pro sjednání jednotlivých výš</w:t>
            </w:r>
            <w:r>
              <w:t>e uvedených pojištění.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55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05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rPr>
                <w:b/>
                <w:i/>
              </w:rPr>
              <w:t>Způsoby zániku pojistné smlouvy resp. pojištění:</w:t>
            </w:r>
            <w:r>
              <w:t xml:space="preserve"> pojištění může zaniknout zejména z následujících důvodů: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52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10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Uplynutím pojistné doby.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49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10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Marným uplynutím lhůty stanovené pojistitelem pojistníkovi v upomínce k zaplacení dlužného pojistného nebo jeho části.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46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10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Výpovědí do 2 měsíců ode dne uzavření pojistné smlouvy.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43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10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Výpovědí do 3 měsíců od oznámení škodné události.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40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103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Výpovědí do 2 mě</w:t>
            </w:r>
            <w:r>
              <w:t xml:space="preserve">síců ode dne, kdy se pojistník dozvěděl, že pojistitel při určení výše pojistného nebo výše pojistného plnění použil zakázané hledisko ve smyslu § 2769 zákona č. 89/2012 </w:t>
            </w:r>
            <w:proofErr w:type="spellStart"/>
            <w:r>
              <w:t>Sb.,občanský</w:t>
            </w:r>
            <w:proofErr w:type="spellEnd"/>
            <w:r>
              <w:t xml:space="preserve"> zákoník (dále jen „občanský zákoník“).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37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103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36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103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Výpovědí do 1 měsíce ode dne, kdy bylo pojistníkovi doručeno oznámení o převodu pojistného kmene nebo o přeměně pojistitele.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33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103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32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10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Výpovědí do 1 měsíce ode dne, kdy bylo zveřejněno oznámení o odnětí povolení k provozování pojišťovací činnosti pojistiteli.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29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103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Je-li pojištění sjednáno s běžným pojistným, výpovědí ke konci pojistného období doručenou druhé straně nejpozději 6 týdnů pře</w:t>
            </w:r>
            <w:r>
              <w:t>d uplynutím pojistného období.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26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103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25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10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Výpovědí pojistitele ve smyslu § 2791 odst. 2., § 2792 nebo § 2793 odst. 1. občanského zákoníku.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22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10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Písemnou dohodou smluvních stran.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19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103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Odstoupením od pojistné smlouvy.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16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0"/>
            </w:pPr>
            <w:r>
              <w:t>•</w:t>
            </w:r>
          </w:p>
        </w:tc>
        <w:tc>
          <w:tcPr>
            <w:tcW w:w="103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lokB91"/>
            </w:pPr>
            <w:r>
              <w:t>Zánikem pojistného zájmu, zánikem pojistného nebezpečí, dnem smrti pojištěné osoby, dnem zániku pojištěné právnické osoby bez právního nástupce nebo dnem odmítnutí pojistného plnění ve smyslu § 2809 občanského zákoníku.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13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103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12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05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9"/>
              <w:jc w:val="both"/>
            </w:pPr>
            <w:r>
              <w:rPr>
                <w:b/>
                <w:i/>
              </w:rPr>
              <w:t>Praktické pokyny týkající se možnosti odstoupení od pojistné smlouvy: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10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05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9"/>
              <w:jc w:val="both"/>
            </w:pPr>
            <w:r>
              <w:t>Od pojistné smlouvy mohou smluvní strany odstoupit dle § 2808 občanského zákoníku. Pojistitel má právo od smlouvy odstoupit, porušil-li pojistník nebo pojištěný úmyslně nebo z nedbalosti povinnost k pravdivým sdělením ve smyslu § 2788 občanského zákoníku a</w:t>
            </w:r>
            <w:r>
              <w:t xml:space="preserve"> prokáže-li, že by při pravdivém a úplném zodpovězení dotazů smlouvu neuzavřel. Pojistník má právo od smlouvy odstoupit, porušil-li pojistitel povinnost dle § 2789 občanského zákoníku. Právo na odstoupení zaniká, není-li uplatněno do 2 měsíců od okamžiku, </w:t>
            </w:r>
            <w:r>
              <w:t xml:space="preserve">kdy smluvní strana porušení povinností zjistila nebo musela zjistit. Smluvní strany si vypořádají závazky dle § 2808 odst. 2 občanského zákoníku. V případě pojistných smluv uzavřených se spotřebiteli jako pojistníky mimo prostory obvyklé pro podnikatelovo </w:t>
            </w:r>
            <w:r>
              <w:t xml:space="preserve">podnikání je pojistník dále oprávněn odstoupit od pojistné smlouvy ve lhůtě 14 dnů od uzavření pojistné smlouvy podle § 1829 a násl. občanského zákoníku. Právo na odstoupení zaniká, není-li uplatněno v uvedené lhůtě 14 dnů. V případě spotřebitele je lhůta </w:t>
            </w:r>
            <w:r>
              <w:t xml:space="preserve">zachována i v případě je-li v této lhůtě oznámení o odstoupení odesláno pojistiteli. Pojistník může v tomto případě využít pro odstoupení od smlouvy formulář pro odstoupení od smlouvy zveřejněný na výše uvedených internetových stránkách pojistitele, který </w:t>
            </w:r>
            <w:r>
              <w:t>je rovněž dostupný na obchodních místech pojistitele.</w:t>
            </w:r>
          </w:p>
          <w:p w:rsidR="00F845D8" w:rsidRDefault="00366E6E">
            <w:pPr>
              <w:pStyle w:val="textNormalB9"/>
              <w:jc w:val="both"/>
            </w:pPr>
            <w:r>
              <w:t>Oznámení o odstoupení musí být učiněno písemně. Oznámení o odstoupení od pojistné smlouvy může pojistník zaslat na adresu sídla pojistitele.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07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05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9"/>
              <w:jc w:val="both"/>
            </w:pPr>
            <w:r>
              <w:rPr>
                <w:b/>
                <w:i/>
              </w:rPr>
              <w:t>Právo platné pro pojistnou smlouvu:</w:t>
            </w:r>
            <w:r>
              <w:t xml:space="preserve"> pojistitel navrhuje, aby se pojistná smlouva a pojištění v ní sjednaná řídila českým právním řádem.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04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05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9"/>
              <w:jc w:val="both"/>
            </w:pPr>
            <w:r>
              <w:rPr>
                <w:b/>
                <w:i/>
              </w:rPr>
              <w:t>Způsob vyřizování stížností pojistníků, pojištěných nebo oprávněných osob:</w:t>
            </w:r>
            <w:r>
              <w:t xml:space="preserve"> v zájmu řádného posouzení jakékoliv stížnosti týkající se pojištění je třeba </w:t>
            </w:r>
            <w:r>
              <w:t>zachovat písemnou formu (dopis, fax, e-mail) a ve stížnosti uvádět identifikační a kontaktní údaje osoby, která podala stížnost. Případné stížnosti lze zasílat na výše uvedenou adresu sídla pojistitele. Osoba, která stížnost podala, bude bez zbytečného odk</w:t>
            </w:r>
            <w:r>
              <w:t xml:space="preserve">ladu pojistitelem vyrozuměna o tom, že pojistitel stížnost přijal, jakož i o tom, jakým způsobem a v jaké lhůtě bude vyřízena. Následně pojistitel tuto osobu písemně vyrozumí o vyřízení stížnosti. Není vyloučena možnost obrátit se s případnou stížností na </w:t>
            </w:r>
            <w:r>
              <w:t>Českou národní banku jako orgán, který vykonává dohled nad finančním trhem, včetně pojišťovnictví.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101">
        <w:tblPrEx>
          <w:tblCellMar>
            <w:top w:w="0" w:type="dxa"/>
            <w:bottom w:w="0" w:type="dxa"/>
          </w:tblCellMar>
        </w:tblPrEx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105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366E6E">
            <w:pPr>
              <w:pStyle w:val="textNormalB9"/>
              <w:jc w:val="both"/>
            </w:pPr>
            <w:r>
              <w:t>Je-li pojistníkem ve sjednaném pojištění spotřebitel, má právo na tzv. mimosoudní řešení spotřebitelského sporu vzniklého ze sjednaného pojištění. Věcně p</w:t>
            </w:r>
            <w:r>
              <w:t>říslušným orgánem mimosoudního řešení spotřebitelských sporů vzniklých z předmětného pojištění je Česká obchodní inspekce (internetová adresa České obchodní inspekce: http://www.coi.cz/).</w:t>
            </w:r>
          </w:p>
        </w:tc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</w:tr>
      <w:tr w:rsidR="47483098">
        <w:tblPrEx>
          <w:tblCellMar>
            <w:top w:w="0" w:type="dxa"/>
            <w:bottom w:w="0" w:type="dxa"/>
          </w:tblCellMar>
        </w:tblPrEx>
        <w:trPr>
          <w:gridAfter w:val="13"/>
          <w:wAfter w:w="10800" w:type="dxa"/>
        </w:trPr>
        <w:tc>
          <w:tcPr>
            <w:tcW w:w="700" w:type="dxa"/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5D8" w:rsidRDefault="00F845D8">
            <w:pPr>
              <w:pStyle w:val="EMPTYCELLSTYLE"/>
            </w:pPr>
          </w:p>
        </w:tc>
        <w:tc>
          <w:tcPr>
            <w:tcW w:w="200" w:type="dxa"/>
          </w:tcPr>
          <w:p w:rsidR="00F845D8" w:rsidRDefault="00F845D8">
            <w:pPr>
              <w:pStyle w:val="EMPTYCELLSTYLE"/>
            </w:pPr>
          </w:p>
        </w:tc>
      </w:tr>
    </w:tbl>
    <w:p w:rsidR="00F845D8" w:rsidRDefault="00F845D8">
      <w:pPr>
        <w:pStyle w:val="beznyText"/>
      </w:pPr>
      <w:bookmarkStart w:id="3" w:name="B2BBOOKMARK3"/>
      <w:bookmarkEnd w:id="3"/>
    </w:p>
    <w:sectPr w:rsidR="00F845D8">
      <w:footerReference w:type="default" r:id="rId14"/>
      <w:pgSz w:w="11900" w:h="16840"/>
      <w:pgMar w:top="700" w:right="0" w:bottom="700" w:left="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E6E" w:rsidRDefault="00366E6E">
      <w:r>
        <w:separator/>
      </w:r>
    </w:p>
  </w:endnote>
  <w:endnote w:type="continuationSeparator" w:id="0">
    <w:p w:rsidR="00366E6E" w:rsidRDefault="0036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D8" w:rsidRDefault="00366E6E">
    <w:pPr>
      <w:pStyle w:val="hlavickaPaticka0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 w:rsidR="005041C3">
      <w:rPr>
        <w:noProof/>
      </w:rPr>
      <w:t>3</w:t>
    </w:r>
    <w:r>
      <w:fldChar w:fldCharType="end"/>
    </w:r>
    <w:r>
      <w:t xml:space="preserve"> (z celkem stran </w:t>
    </w:r>
    <w:r>
      <w:fldChar w:fldCharType="begin"/>
    </w:r>
    <w:r>
      <w:instrText xml:space="preserve"> PAGEREF B2BBOOKMARK1\* MERGEFORMAT</w:instrText>
    </w:r>
    <w:r>
      <w:fldChar w:fldCharType="separate"/>
    </w:r>
    <w:r w:rsidR="005041C3"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D8" w:rsidRDefault="00366E6E">
    <w:pPr>
      <w:pStyle w:val="beznyText"/>
    </w:pPr>
    <w:r>
      <w:rPr>
        <w:vanish/>
      </w:rPr>
      <w:t xml:space="preserve">Strana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D8" w:rsidRDefault="00366E6E">
    <w:pPr>
      <w:pStyle w:val="textNormal1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 w:rsidR="005041C3">
      <w:rPr>
        <w:noProof/>
      </w:rPr>
      <w:t>2</w:t>
    </w:r>
    <w:r>
      <w:fldChar w:fldCharType="end"/>
    </w:r>
    <w:r>
      <w:t xml:space="preserve"> (z celkem stran </w:t>
    </w:r>
    <w:r>
      <w:fldChar w:fldCharType="begin"/>
    </w:r>
    <w:r>
      <w:instrText xml:space="preserve"> PAGEREF B2BBOOKMARK3\* MERGEFORMAT</w:instrText>
    </w:r>
    <w:r>
      <w:fldChar w:fldCharType="separate"/>
    </w:r>
    <w:r w:rsidR="005041C3"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E6E" w:rsidRDefault="00366E6E">
      <w:r>
        <w:separator/>
      </w:r>
    </w:p>
  </w:footnote>
  <w:footnote w:type="continuationSeparator" w:id="0">
    <w:p w:rsidR="00366E6E" w:rsidRDefault="00366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D8" w:rsidRDefault="00366E6E">
    <w:pPr>
      <w:pStyle w:val="hlavickaPaticka0"/>
    </w:pPr>
    <w:r>
      <w:t>Číslo pojistné smlouvy: 8067476019 dodatek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D8" w:rsidRDefault="00F845D8">
    <w:pPr>
      <w:pStyle w:val="beznyTex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D8" w:rsidRDefault="00F845D8">
    <w:pPr>
      <w:pStyle w:val="hlavickaPatick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D8"/>
    <w:rsid w:val="00366E6E"/>
    <w:rsid w:val="005041C3"/>
    <w:rsid w:val="00F8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36F1C-7000-45D4-9C49-01E4106E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textVykladPojmu">
    <w:name w:val="textVykladPojmu"/>
    <w:basedOn w:val="zarovnaniSNasledujicim"/>
    <w:qFormat/>
    <w:rPr>
      <w:b/>
      <w:sz w:val="20"/>
    </w:rPr>
  </w:style>
  <w:style w:type="paragraph" w:customStyle="1" w:styleId="tableTD">
    <w:name w:val="table_TD"/>
    <w:basedOn w:val="zarovnaniSNasledujicim"/>
    <w:qFormat/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beznyText1">
    <w:name w:val="beznyText"/>
    <w:basedOn w:val="beznyText0"/>
    <w:qFormat/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www.csobpoj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2650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Putzerová Ivana</cp:lastModifiedBy>
  <cp:revision>2</cp:revision>
  <dcterms:created xsi:type="dcterms:W3CDTF">2018-03-08T06:45:00Z</dcterms:created>
  <dcterms:modified xsi:type="dcterms:W3CDTF">2018-03-08T06:46:00Z</dcterms:modified>
</cp:coreProperties>
</file>