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5F" w:rsidRDefault="00D2275F" w:rsidP="004B0DC1">
      <w:pPr>
        <w:rPr>
          <w:b/>
        </w:rPr>
      </w:pPr>
    </w:p>
    <w:p w:rsidR="00D27263" w:rsidRDefault="00D27263" w:rsidP="00D27263">
      <w:pPr>
        <w:jc w:val="center"/>
        <w:rPr>
          <w:b/>
        </w:rPr>
      </w:pPr>
      <w:r>
        <w:rPr>
          <w:b/>
        </w:rPr>
        <w:t>Koncertní, klasická balsa double top kytara</w:t>
      </w:r>
    </w:p>
    <w:p w:rsidR="00D27263" w:rsidRDefault="00D27263" w:rsidP="00D27263">
      <w:r>
        <w:t xml:space="preserve">Jedná se o klasickou ručně stavěnou kytaru, </w:t>
      </w:r>
      <w:proofErr w:type="gramStart"/>
      <w:r>
        <w:t>jenž</w:t>
      </w:r>
      <w:proofErr w:type="gramEnd"/>
      <w:r>
        <w:t xml:space="preserve"> je postavena z masivního dřeva, které je pečlivě vybráno a ponecháno několik let přirozeně vyschnout (vyzrát). Dále se z uskladněných dřev vyberou k sobě se nejvíce hodící. A to u každé kytary probíhá individuálně, na základě fyzikálních, akustických a estetických vlastností. Poté se přistoupí k samotné výrobě, kdy se vyrobí jednotlivé komponenty kytary, které popíši dále v této práci.</w:t>
      </w:r>
    </w:p>
    <w:p w:rsidR="00D27263" w:rsidRDefault="00D27263" w:rsidP="00D27263">
      <w:pPr>
        <w:rPr>
          <w:b/>
        </w:rPr>
      </w:pPr>
      <w:r>
        <w:rPr>
          <w:b/>
        </w:rPr>
        <w:t>Přední rezonanční double top deska</w:t>
      </w:r>
    </w:p>
    <w:p w:rsidR="00D27263" w:rsidRDefault="00D27263" w:rsidP="00D27263">
      <w:r>
        <w:t xml:space="preserve">Přední deska je jedním z nejdůležitějších komponentů kytary. Za posledních 30 let prošla obrovským vývojem a inovacemi na nichž se nejvíce podepsali němečtí kytaráři zejména </w:t>
      </w:r>
      <w:proofErr w:type="spellStart"/>
      <w:r>
        <w:t>Gernot</w:t>
      </w:r>
      <w:proofErr w:type="spellEnd"/>
      <w:r>
        <w:t xml:space="preserve"> Vágner, </w:t>
      </w:r>
      <w:proofErr w:type="spellStart"/>
      <w:r>
        <w:t>Mathiass</w:t>
      </w:r>
      <w:proofErr w:type="spellEnd"/>
      <w:r>
        <w:t xml:space="preserve"> </w:t>
      </w:r>
      <w:proofErr w:type="spellStart"/>
      <w:r>
        <w:t>Dammann</w:t>
      </w:r>
      <w:proofErr w:type="spellEnd"/>
      <w:r>
        <w:t xml:space="preserve"> a Antonius Muller, jehož konstrukce mě zaujala nejvíce a kterou jsem se inspiroval. </w:t>
      </w:r>
    </w:p>
    <w:p w:rsidR="00D27263" w:rsidRDefault="00D27263" w:rsidP="00D27263">
      <w:r>
        <w:t xml:space="preserve">U klasické konstrukce je základem přední desky masivní smrková či cedrová deska, jenž musí být co nejlehčí a zároveň tuhá. Tyto kritéria splňuje dřevo ze stromů, jenž roste v těžkých 45° </w:t>
      </w:r>
      <w:r>
        <w:br/>
        <w:t>(</w:t>
      </w:r>
      <w:proofErr w:type="spellStart"/>
      <w:proofErr w:type="gramStart"/>
      <w:r>
        <w:t>viz</w:t>
      </w:r>
      <w:proofErr w:type="gramEnd"/>
      <w:r>
        <w:t>.</w:t>
      </w:r>
      <w:proofErr w:type="gramStart"/>
      <w:r>
        <w:t>ob</w:t>
      </w:r>
      <w:proofErr w:type="spellEnd"/>
      <w:proofErr w:type="gramEnd"/>
      <w:r>
        <w:t>. 1) Ve výsledku je double top deska lehčí a tužší nežli klasická masivní rezonanční deska. Ta lépe reaguje na frekvence jednotlivých tónů a snáze ji struna rozechvěje. Vnitřní žebrování u double top desky může být slabší a lehčí aniž by se deska pod tahem strun bortila. (</w:t>
      </w:r>
      <w:proofErr w:type="gramStart"/>
      <w:r>
        <w:t>viz</w:t>
      </w:r>
      <w:proofErr w:type="gramEnd"/>
      <w:r>
        <w:t>.</w:t>
      </w:r>
      <w:proofErr w:type="gramStart"/>
      <w:r>
        <w:t>ob</w:t>
      </w:r>
      <w:proofErr w:type="gramEnd"/>
      <w:r>
        <w:t>.2)</w:t>
      </w:r>
    </w:p>
    <w:p w:rsidR="00D27263" w:rsidRDefault="00D27263" w:rsidP="00D27263">
      <w:pPr>
        <w:rPr>
          <w:b/>
        </w:rPr>
      </w:pPr>
      <w:r>
        <w:rPr>
          <w:b/>
        </w:rPr>
        <w:t>Luby (boky) a zadní deska kytary</w:t>
      </w:r>
    </w:p>
    <w:p w:rsidR="00D27263" w:rsidRDefault="00D27263" w:rsidP="00D27263">
      <w:r>
        <w:t xml:space="preserve">Luby a zadní deska jsou vyrobeny z tvrdých exotických dřev zejména palisandrů. V dřívějších dobách nejvíce jihoamerických, </w:t>
      </w:r>
      <w:proofErr w:type="gramStart"/>
      <w:r>
        <w:t>jenž</w:t>
      </w:r>
      <w:proofErr w:type="gramEnd"/>
      <w:r>
        <w:t xml:space="preserve"> </w:t>
      </w:r>
      <w:proofErr w:type="gramStart"/>
      <w:r>
        <w:t>jsou</w:t>
      </w:r>
      <w:proofErr w:type="gramEnd"/>
      <w:r>
        <w:t xml:space="preserve"> dnes již na seznamu ohrožených rostlin CITES. Jako plnohodnotná náhrada se dnes používá Palisandr Indický. Sety na výrobu lubů a zadní desky se vybírají ve specializovaných firmách zabývající se rezonančním dřevem. Vybrané dřevo se ztenčí na požadovanou tloušťku, v případě lubů je to 2,2mm a poté se pomocí tepla ohne do požadovaného tvaru, následně se přilepí </w:t>
      </w:r>
      <w:proofErr w:type="spellStart"/>
      <w:r>
        <w:t>olubení</w:t>
      </w:r>
      <w:proofErr w:type="spellEnd"/>
      <w:r>
        <w:t xml:space="preserve">. Zadní deska se slepí ze dvou zrcadlově stejných kusů palisandru, následně se ztenčí a </w:t>
      </w:r>
      <w:proofErr w:type="spellStart"/>
      <w:r>
        <w:t>ožebruje</w:t>
      </w:r>
      <w:proofErr w:type="spellEnd"/>
      <w:r>
        <w:t>.</w:t>
      </w:r>
    </w:p>
    <w:p w:rsidR="00D27263" w:rsidRDefault="00D27263" w:rsidP="00D27263">
      <w:pPr>
        <w:rPr>
          <w:b/>
        </w:rPr>
      </w:pPr>
      <w:r>
        <w:rPr>
          <w:b/>
        </w:rPr>
        <w:t>Krk</w:t>
      </w:r>
    </w:p>
    <w:p w:rsidR="00D27263" w:rsidRDefault="00D27263" w:rsidP="00D27263">
      <w:r>
        <w:t>Krk kytary se vyrábí z Jihoamerického Mahagonu, jenž je vyztužen karbonovou výztuhou.</w:t>
      </w:r>
    </w:p>
    <w:p w:rsidR="00D27263" w:rsidRDefault="00D27263" w:rsidP="00D27263">
      <w:pPr>
        <w:rPr>
          <w:b/>
        </w:rPr>
      </w:pPr>
      <w:r>
        <w:rPr>
          <w:b/>
        </w:rPr>
        <w:t>Hmatník</w:t>
      </w:r>
    </w:p>
    <w:p w:rsidR="00D27263" w:rsidRDefault="00D27263" w:rsidP="00D27263">
      <w:r>
        <w:t>Hmatník je vyroben z ebenového dřeva, poté je nařezán dle vypočítané menzury a osazen kovovými pražci.</w:t>
      </w:r>
    </w:p>
    <w:p w:rsidR="00D27263" w:rsidRDefault="00D27263" w:rsidP="00D27263">
      <w:pPr>
        <w:rPr>
          <w:b/>
        </w:rPr>
      </w:pPr>
      <w:r>
        <w:rPr>
          <w:b/>
        </w:rPr>
        <w:t xml:space="preserve">Kompletace </w:t>
      </w:r>
    </w:p>
    <w:p w:rsidR="00D27263" w:rsidRDefault="00D27263" w:rsidP="00D27263">
      <w:r>
        <w:t>Když jsou jednotlivé komponenty vyrobené, je čas na kompletaci. Ta probíhá v těchto krocích.</w:t>
      </w:r>
    </w:p>
    <w:p w:rsidR="00D2275F" w:rsidRDefault="00D2275F" w:rsidP="00D27263"/>
    <w:p w:rsidR="00D2275F" w:rsidRDefault="00D2275F" w:rsidP="00D27263"/>
    <w:p w:rsidR="00D2275F" w:rsidRDefault="00D2275F" w:rsidP="00D27263"/>
    <w:p w:rsidR="00D27263" w:rsidRDefault="00D27263" w:rsidP="00D27263">
      <w:pPr>
        <w:numPr>
          <w:ilvl w:val="0"/>
          <w:numId w:val="1"/>
        </w:numPr>
        <w:spacing w:after="200" w:line="276" w:lineRule="auto"/>
      </w:pPr>
      <w:r>
        <w:t>Slepení krku a přední desky</w:t>
      </w:r>
    </w:p>
    <w:p w:rsidR="00D27263" w:rsidRDefault="00D27263" w:rsidP="00D27263">
      <w:pPr>
        <w:numPr>
          <w:ilvl w:val="0"/>
          <w:numId w:val="1"/>
        </w:numPr>
        <w:spacing w:after="200" w:line="276" w:lineRule="auto"/>
      </w:pPr>
      <w:r>
        <w:t>Přilepení lubů na přední desku</w:t>
      </w:r>
    </w:p>
    <w:p w:rsidR="00D27263" w:rsidRDefault="00D27263" w:rsidP="00D27263">
      <w:pPr>
        <w:numPr>
          <w:ilvl w:val="0"/>
          <w:numId w:val="1"/>
        </w:numPr>
        <w:spacing w:after="200" w:line="276" w:lineRule="auto"/>
      </w:pPr>
      <w:r>
        <w:t xml:space="preserve">Uzavření nástroje zadní deskou (viz </w:t>
      </w:r>
      <w:proofErr w:type="gramStart"/>
      <w:r>
        <w:t>obr.3)</w:t>
      </w:r>
      <w:proofErr w:type="gramEnd"/>
    </w:p>
    <w:p w:rsidR="00D27263" w:rsidRDefault="00D27263" w:rsidP="00D27263">
      <w:pPr>
        <w:numPr>
          <w:ilvl w:val="0"/>
          <w:numId w:val="1"/>
        </w:numPr>
        <w:spacing w:after="200" w:line="276" w:lineRule="auto"/>
      </w:pPr>
      <w:r>
        <w:t>Zhotovení hran a ozdob na hranách korpusu</w:t>
      </w:r>
    </w:p>
    <w:p w:rsidR="00D27263" w:rsidRDefault="00D27263" w:rsidP="00D27263">
      <w:pPr>
        <w:numPr>
          <w:ilvl w:val="0"/>
          <w:numId w:val="1"/>
        </w:numPr>
        <w:spacing w:after="200" w:line="276" w:lineRule="auto"/>
      </w:pPr>
      <w:r>
        <w:t>Přilepení hmatníku</w:t>
      </w:r>
    </w:p>
    <w:p w:rsidR="00D27263" w:rsidRDefault="00D27263" w:rsidP="00D27263">
      <w:pPr>
        <w:numPr>
          <w:ilvl w:val="0"/>
          <w:numId w:val="1"/>
        </w:numPr>
        <w:spacing w:after="200" w:line="276" w:lineRule="auto"/>
      </w:pPr>
      <w:r>
        <w:t>Dotvarování profilu krku</w:t>
      </w:r>
    </w:p>
    <w:p w:rsidR="00D27263" w:rsidRDefault="00D27263" w:rsidP="00D27263">
      <w:pPr>
        <w:numPr>
          <w:ilvl w:val="0"/>
          <w:numId w:val="1"/>
        </w:numPr>
        <w:spacing w:after="200" w:line="276" w:lineRule="auto"/>
      </w:pPr>
      <w:r>
        <w:t>Vybroušení nástroje</w:t>
      </w:r>
    </w:p>
    <w:p w:rsidR="00D27263" w:rsidRDefault="00D27263" w:rsidP="00D27263">
      <w:pPr>
        <w:numPr>
          <w:ilvl w:val="0"/>
          <w:numId w:val="1"/>
        </w:numPr>
        <w:spacing w:after="200" w:line="276" w:lineRule="auto"/>
      </w:pPr>
      <w:r>
        <w:t>Nyní je nástroj připraven na lakování</w:t>
      </w:r>
    </w:p>
    <w:p w:rsidR="00996112" w:rsidRDefault="00D27263" w:rsidP="00D27263">
      <w:r>
        <w:t xml:space="preserve">      </w:t>
      </w:r>
    </w:p>
    <w:p w:rsidR="00996112" w:rsidRDefault="00996112" w:rsidP="00D27263"/>
    <w:p w:rsidR="00D2275F" w:rsidRDefault="00996112" w:rsidP="00D27263">
      <w:r>
        <w:t xml:space="preserve">     </w:t>
      </w:r>
    </w:p>
    <w:p w:rsidR="00D27263" w:rsidRDefault="00D2275F" w:rsidP="00D27263">
      <w:pPr>
        <w:rPr>
          <w:b/>
        </w:rPr>
      </w:pPr>
      <w:r>
        <w:lastRenderedPageBreak/>
        <w:t xml:space="preserve">     </w:t>
      </w:r>
      <w:r w:rsidR="00D27263">
        <w:t xml:space="preserve"> </w:t>
      </w:r>
      <w:r w:rsidR="00D27263">
        <w:rPr>
          <w:b/>
        </w:rPr>
        <w:t>Lakování nástroje</w:t>
      </w:r>
    </w:p>
    <w:p w:rsidR="00D27263" w:rsidRDefault="00D27263" w:rsidP="00D27263">
      <w:pPr>
        <w:ind w:left="360"/>
      </w:pPr>
      <w:proofErr w:type="gramStart"/>
      <w:r>
        <w:t>Kytary</w:t>
      </w:r>
      <w:proofErr w:type="gramEnd"/>
      <w:r>
        <w:t xml:space="preserve"> z mé dílny lakuji výhradně ručně přírodními laky, </w:t>
      </w:r>
      <w:proofErr w:type="gramStart"/>
      <w:r>
        <w:t>které</w:t>
      </w:r>
      <w:proofErr w:type="gramEnd"/>
      <w:r>
        <w:t xml:space="preserve"> jsou namíchány z různých pryskyřic kdy základní pryskyřice je šelak. Šelak je výměšek indického brouka, jenž se sbírá z listů, následně se ve formě šupinek rozpustí ve vysokoprocentním lihu. Do rozpuštěného šelaku se přidá nepatrné množství dalších pryskyřic pro lepší vlastnosti laku. Výsledný lak se pomocí </w:t>
      </w:r>
      <w:proofErr w:type="spellStart"/>
      <w:r>
        <w:t>polny</w:t>
      </w:r>
      <w:proofErr w:type="spellEnd"/>
      <w:r>
        <w:t xml:space="preserve"> (malí uzlíček bavlny naplněný vatou) nanáší krouživými pohyby na kytaru. Je to zdlouhavý proces, který zabere asi 40 hodin práce. Nakonec se lak rozleští lihem a nechá řádně vyschnout zhruba 1 týden.</w:t>
      </w:r>
    </w:p>
    <w:p w:rsidR="00D27263" w:rsidRDefault="00D27263" w:rsidP="00D27263">
      <w:pPr>
        <w:ind w:left="360"/>
        <w:rPr>
          <w:b/>
        </w:rPr>
      </w:pPr>
      <w:r>
        <w:rPr>
          <w:b/>
        </w:rPr>
        <w:t>Závěrečná kompletace</w:t>
      </w:r>
    </w:p>
    <w:p w:rsidR="00D27263" w:rsidRDefault="00D27263" w:rsidP="00D27263">
      <w:pPr>
        <w:ind w:left="360"/>
      </w:pPr>
      <w:r>
        <w:t>Po vytvrzení laku zbývá jen přilepit kobylku zhotovenou z Indického Palisandru. Vyrobit nultý a sedlový pražec. Osadit vybranými ladícími mechanikami. Natáhnout struny a seřídit dohmat. Tímto je kytara hotová</w:t>
      </w:r>
    </w:p>
    <w:p w:rsidR="00D27263" w:rsidRDefault="00D27263" w:rsidP="00D27263">
      <w:pPr>
        <w:ind w:left="360"/>
      </w:pPr>
      <w:r>
        <w:t>Doufám, že jsem vám tímto přiblížil výrobu koncertní kytary, stojí za ni zhruba 180 – 200 hodin ruční práce.</w:t>
      </w:r>
    </w:p>
    <w:p w:rsidR="00D27263" w:rsidRDefault="00D27263" w:rsidP="00D27263">
      <w:pPr>
        <w:ind w:left="360"/>
        <w:rPr>
          <w:b/>
        </w:rPr>
      </w:pPr>
      <w:r>
        <w:rPr>
          <w:b/>
        </w:rPr>
        <w:t>Cena a dodání kytary</w:t>
      </w:r>
    </w:p>
    <w:p w:rsidR="00D27263" w:rsidRDefault="00D27263" w:rsidP="00D27263">
      <w:pPr>
        <w:ind w:left="360"/>
      </w:pPr>
      <w:r>
        <w:t xml:space="preserve">Cena koncertní double top kytary je 80000 Kč. </w:t>
      </w:r>
    </w:p>
    <w:p w:rsidR="00D27263" w:rsidRDefault="00D27263" w:rsidP="00D27263">
      <w:pPr>
        <w:ind w:left="360"/>
      </w:pPr>
      <w:r>
        <w:t>Dodání jedné kytary je zhruba 3 měsíce od zadání zakázky, v případě dvou je to 5 měsíců.</w:t>
      </w:r>
    </w:p>
    <w:p w:rsidR="00D27263" w:rsidRDefault="00D27263" w:rsidP="00D27263">
      <w:pPr>
        <w:ind w:left="360"/>
      </w:pPr>
      <w:r>
        <w:rPr>
          <w:b/>
        </w:rPr>
        <w:t xml:space="preserve">Petr Láska </w:t>
      </w:r>
      <w:r>
        <w:t>kytarář</w:t>
      </w:r>
    </w:p>
    <w:p w:rsidR="00D27263" w:rsidRDefault="00D27263" w:rsidP="00D27263">
      <w:pPr>
        <w:ind w:left="360"/>
        <w:rPr>
          <w:b/>
        </w:rPr>
      </w:pPr>
      <w:r>
        <w:rPr>
          <w:b/>
        </w:rPr>
        <w:t>IČO: 01621904</w:t>
      </w:r>
    </w:p>
    <w:p w:rsidR="00D27263" w:rsidRPr="00CE57F6" w:rsidRDefault="00D27263" w:rsidP="00D27263">
      <w:pPr>
        <w:ind w:left="360"/>
      </w:pPr>
      <w:r>
        <w:rPr>
          <w:b/>
        </w:rPr>
        <w:t xml:space="preserve">Ateliér: </w:t>
      </w:r>
      <w:r>
        <w:t>Horní Rokytňany 25  50723</w:t>
      </w:r>
    </w:p>
    <w:p w:rsidR="00D27263" w:rsidRPr="000C103A" w:rsidRDefault="00D27263" w:rsidP="00D27263">
      <w:pPr>
        <w:ind w:left="360"/>
      </w:pPr>
    </w:p>
    <w:p w:rsidR="00D27263" w:rsidRDefault="00D27263" w:rsidP="00D27263">
      <w:pPr>
        <w:jc w:val="center"/>
      </w:pPr>
    </w:p>
    <w:p w:rsidR="00D27263" w:rsidRDefault="00D27263" w:rsidP="00D27263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24130</wp:posOffset>
            </wp:positionV>
            <wp:extent cx="427672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552" y="21429"/>
                <wp:lineTo x="21552" y="0"/>
                <wp:lineTo x="0" y="0"/>
              </wp:wrapPolygon>
            </wp:wrapTight>
            <wp:docPr id="5" name="Obrázek 5" descr="IMG_20170902_09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70902_0921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2691130</wp:posOffset>
            </wp:positionV>
            <wp:extent cx="3169920" cy="1783715"/>
            <wp:effectExtent l="0" t="0" r="0" b="6985"/>
            <wp:wrapTight wrapText="bothSides">
              <wp:wrapPolygon edited="0">
                <wp:start x="0" y="0"/>
                <wp:lineTo x="0" y="21454"/>
                <wp:lineTo x="21418" y="21454"/>
                <wp:lineTo x="21418" y="0"/>
                <wp:lineTo x="0" y="0"/>
              </wp:wrapPolygon>
            </wp:wrapTight>
            <wp:docPr id="4" name="Obrázek 4" descr="IMG_20170906_09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70906_0912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obr.č</w:t>
      </w:r>
      <w:r w:rsidR="00996112">
        <w:t>.</w:t>
      </w:r>
      <w:r>
        <w:t>1</w:t>
      </w:r>
    </w:p>
    <w:p w:rsidR="00D27263" w:rsidRPr="007E5E72" w:rsidRDefault="00D27263" w:rsidP="00D27263"/>
    <w:p w:rsidR="00D27263" w:rsidRPr="007E5E72" w:rsidRDefault="00D27263" w:rsidP="00D27263"/>
    <w:p w:rsidR="00D27263" w:rsidRPr="007E5E72" w:rsidRDefault="00D27263" w:rsidP="00D27263"/>
    <w:p w:rsidR="00D27263" w:rsidRPr="007E5E72" w:rsidRDefault="00D27263" w:rsidP="00D27263"/>
    <w:p w:rsidR="00D27263" w:rsidRPr="007E5E72" w:rsidRDefault="00996112" w:rsidP="00D27263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-585470</wp:posOffset>
            </wp:positionV>
            <wp:extent cx="2667000" cy="4743450"/>
            <wp:effectExtent l="0" t="0" r="0" b="0"/>
            <wp:wrapTight wrapText="bothSides">
              <wp:wrapPolygon edited="0">
                <wp:start x="0" y="0"/>
                <wp:lineTo x="0" y="21513"/>
                <wp:lineTo x="21446" y="21513"/>
                <wp:lineTo x="21446" y="0"/>
                <wp:lineTo x="0" y="0"/>
              </wp:wrapPolygon>
            </wp:wrapTight>
            <wp:docPr id="3" name="Obrázek 3" descr="IMG_20170906_17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70906_1723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263" w:rsidRPr="007E5E72" w:rsidRDefault="00D27263" w:rsidP="00D27263"/>
    <w:p w:rsidR="00D27263" w:rsidRPr="007E5E72" w:rsidRDefault="00D27263" w:rsidP="00D27263"/>
    <w:p w:rsidR="00D27263" w:rsidRPr="007E5E72" w:rsidRDefault="00D27263" w:rsidP="00D27263">
      <w:r>
        <w:t>Obr.č</w:t>
      </w:r>
      <w:r w:rsidR="00996112">
        <w:t>.</w:t>
      </w:r>
      <w:r>
        <w:t>2</w:t>
      </w:r>
    </w:p>
    <w:p w:rsidR="00D27263" w:rsidRPr="007E5E72" w:rsidRDefault="00D27263" w:rsidP="00D27263"/>
    <w:p w:rsidR="00D27263" w:rsidRPr="007E5E72" w:rsidRDefault="00D27263" w:rsidP="00D27263"/>
    <w:p w:rsidR="00D27263" w:rsidRPr="007E5E72" w:rsidRDefault="00D27263" w:rsidP="00D27263"/>
    <w:p w:rsidR="00D27263" w:rsidRPr="007E5E72" w:rsidRDefault="00D27263" w:rsidP="00D27263"/>
    <w:p w:rsidR="00D27263" w:rsidRDefault="00D27263" w:rsidP="00D27263"/>
    <w:p w:rsidR="00D27263" w:rsidRPr="007E5E72" w:rsidRDefault="00D27263" w:rsidP="00D27263"/>
    <w:p w:rsidR="00D27263" w:rsidRPr="007E5E72" w:rsidRDefault="00D27263" w:rsidP="00D27263"/>
    <w:p w:rsidR="00D27263" w:rsidRDefault="00D27263" w:rsidP="00D27263"/>
    <w:p w:rsidR="00D27263" w:rsidRDefault="00D27263" w:rsidP="00D27263">
      <w:pPr>
        <w:jc w:val="center"/>
      </w:pPr>
      <w:r>
        <w:t>Obr.č</w:t>
      </w:r>
      <w:r w:rsidR="00996112">
        <w:t>.</w:t>
      </w:r>
      <w:r>
        <w:t>3</w:t>
      </w:r>
    </w:p>
    <w:p w:rsidR="00D27263" w:rsidRDefault="00D27263" w:rsidP="00D27263">
      <w:pPr>
        <w:jc w:val="center"/>
      </w:pPr>
    </w:p>
    <w:p w:rsidR="00D2275F" w:rsidRDefault="00D2275F" w:rsidP="00D27263">
      <w:pPr>
        <w:rPr>
          <w:b/>
        </w:rPr>
      </w:pPr>
    </w:p>
    <w:p w:rsidR="00D2275F" w:rsidRDefault="00D2275F" w:rsidP="00D27263">
      <w:pPr>
        <w:rPr>
          <w:b/>
        </w:rPr>
      </w:pPr>
    </w:p>
    <w:p w:rsidR="00D2275F" w:rsidRDefault="00D2275F" w:rsidP="00D27263">
      <w:pPr>
        <w:rPr>
          <w:b/>
        </w:rPr>
      </w:pPr>
    </w:p>
    <w:p w:rsidR="00D27263" w:rsidRDefault="00D27263" w:rsidP="00D27263">
      <w:pPr>
        <w:rPr>
          <w:b/>
        </w:rPr>
      </w:pPr>
      <w:r>
        <w:rPr>
          <w:b/>
        </w:rPr>
        <w:lastRenderedPageBreak/>
        <w:t xml:space="preserve">Reference, seznam konzervatoří a ZUŠ </w:t>
      </w:r>
    </w:p>
    <w:p w:rsidR="00D27263" w:rsidRDefault="00D27263" w:rsidP="00D27263">
      <w:r>
        <w:t xml:space="preserve">Konzervatoř Pardubice (prof. Anna Hronová) – 1 studentka </w:t>
      </w:r>
    </w:p>
    <w:p w:rsidR="00D27263" w:rsidRDefault="00D27263" w:rsidP="00D27263">
      <w:r>
        <w:t xml:space="preserve">                                          (prof. Petr </w:t>
      </w:r>
      <w:proofErr w:type="spellStart"/>
      <w:r>
        <w:t>Saidl</w:t>
      </w:r>
      <w:proofErr w:type="spellEnd"/>
      <w:r>
        <w:t>) – pořadatel festivalu „Mezinárodní Bienále Kutná</w:t>
      </w:r>
    </w:p>
    <w:p w:rsidR="00D27263" w:rsidRDefault="00D27263" w:rsidP="00D27263">
      <w:r>
        <w:t xml:space="preserve">                                                                           Hora – kytara do soutěže </w:t>
      </w:r>
    </w:p>
    <w:p w:rsidR="00D27263" w:rsidRDefault="00D27263" w:rsidP="00D27263">
      <w:pPr>
        <w:numPr>
          <w:ilvl w:val="0"/>
          <w:numId w:val="3"/>
        </w:numPr>
        <w:spacing w:after="200" w:line="276" w:lineRule="auto"/>
      </w:pPr>
      <w:r>
        <w:t>Zapůjčení kytary studentce na soutěž v Kutné Hoře (1 cena)</w:t>
      </w:r>
    </w:p>
    <w:p w:rsidR="00D27263" w:rsidRDefault="00D27263" w:rsidP="00D27263">
      <w:r>
        <w:t>Konzervatoř Praha – 2 studenti</w:t>
      </w:r>
    </w:p>
    <w:p w:rsidR="00D27263" w:rsidRDefault="00D27263" w:rsidP="00D27263">
      <w:r>
        <w:t>Konzervatoř Teplice  (prof. Jan Záruba) – 2 studenti</w:t>
      </w:r>
    </w:p>
    <w:p w:rsidR="00D27263" w:rsidRDefault="00D27263" w:rsidP="00D27263">
      <w:pPr>
        <w:numPr>
          <w:ilvl w:val="0"/>
          <w:numId w:val="2"/>
        </w:numPr>
        <w:spacing w:after="200" w:line="276" w:lineRule="auto"/>
      </w:pPr>
      <w:r>
        <w:t>1 kytara ve vlastnictví školy</w:t>
      </w:r>
    </w:p>
    <w:p w:rsidR="00D27263" w:rsidRDefault="00D27263" w:rsidP="00D27263">
      <w:r>
        <w:t xml:space="preserve">Konzervatoř Plzeň – (prof. </w:t>
      </w:r>
      <w:proofErr w:type="spellStart"/>
      <w:r>
        <w:t>Ozren</w:t>
      </w:r>
      <w:proofErr w:type="spellEnd"/>
      <w:r>
        <w:t xml:space="preserve"> </w:t>
      </w:r>
      <w:proofErr w:type="spellStart"/>
      <w:r>
        <w:t>Mutak</w:t>
      </w:r>
      <w:proofErr w:type="spellEnd"/>
      <w:r>
        <w:t xml:space="preserve">) – 1 studentka </w:t>
      </w:r>
    </w:p>
    <w:p w:rsidR="00D27263" w:rsidRDefault="00D27263" w:rsidP="00D27263">
      <w:pPr>
        <w:numPr>
          <w:ilvl w:val="0"/>
          <w:numId w:val="2"/>
        </w:numPr>
        <w:spacing w:after="200" w:line="276" w:lineRule="auto"/>
      </w:pPr>
      <w:r>
        <w:t>Zapůjčení kytary studentce na soutěž v </w:t>
      </w:r>
      <w:proofErr w:type="spellStart"/>
      <w:r>
        <w:t>Dolnom</w:t>
      </w:r>
      <w:proofErr w:type="spellEnd"/>
      <w:r>
        <w:t xml:space="preserve"> Kubíně (Slovensko) (1 cena)</w:t>
      </w:r>
    </w:p>
    <w:p w:rsidR="00D27263" w:rsidRDefault="00D27263" w:rsidP="00D27263">
      <w:r>
        <w:t>Konzervatoř Brno – (prof. Vladislav Bláha) – 1 studentka</w:t>
      </w:r>
    </w:p>
    <w:p w:rsidR="00D27263" w:rsidRDefault="00D27263" w:rsidP="00D27263">
      <w:r>
        <w:t>ZUŠ Mnichovo Hradiště – 1 kytara ve vlastnictví školy</w:t>
      </w:r>
    </w:p>
    <w:p w:rsidR="00D27263" w:rsidRDefault="00D27263" w:rsidP="00D27263">
      <w:pPr>
        <w:numPr>
          <w:ilvl w:val="0"/>
          <w:numId w:val="2"/>
        </w:numPr>
        <w:spacing w:after="200" w:line="276" w:lineRule="auto"/>
      </w:pPr>
      <w:r>
        <w:t xml:space="preserve">Petr Kostka – učitel kytary </w:t>
      </w:r>
    </w:p>
    <w:p w:rsidR="00D27263" w:rsidRDefault="00D27263" w:rsidP="00D27263">
      <w:r>
        <w:t>ZUŠ Litomyšl – 1 studentka</w:t>
      </w:r>
    </w:p>
    <w:p w:rsidR="00D27263" w:rsidRDefault="00D27263" w:rsidP="00D27263">
      <w:proofErr w:type="spellStart"/>
      <w:r>
        <w:t>Musikschulle</w:t>
      </w:r>
      <w:proofErr w:type="spellEnd"/>
      <w:r>
        <w:t xml:space="preserve"> </w:t>
      </w:r>
      <w:proofErr w:type="spellStart"/>
      <w:r>
        <w:t>Klosterneuburg</w:t>
      </w:r>
      <w:proofErr w:type="spellEnd"/>
      <w:r>
        <w:t xml:space="preserve"> (Rakousko) – Prof. Martin Schwarz (guitar4mation) </w:t>
      </w:r>
    </w:p>
    <w:p w:rsidR="00D27263" w:rsidRDefault="00D27263" w:rsidP="00D27263">
      <w:pPr>
        <w:numPr>
          <w:ilvl w:val="0"/>
          <w:numId w:val="2"/>
        </w:numPr>
        <w:spacing w:after="200" w:line="276" w:lineRule="auto"/>
      </w:pPr>
      <w:r>
        <w:t>2 jeho studenti</w:t>
      </w:r>
    </w:p>
    <w:p w:rsidR="00D27263" w:rsidRDefault="00D27263" w:rsidP="00D27263">
      <w:proofErr w:type="spellStart"/>
      <w:r>
        <w:t>Guitar</w:t>
      </w:r>
      <w:proofErr w:type="spellEnd"/>
      <w:r>
        <w:t xml:space="preserve"> symposium </w:t>
      </w:r>
      <w:proofErr w:type="spellStart"/>
      <w:r>
        <w:t>Iserlohn</w:t>
      </w:r>
      <w:proofErr w:type="spellEnd"/>
      <w:r>
        <w:t xml:space="preserve"> (Německo) – Prof. Thomas </w:t>
      </w:r>
      <w:proofErr w:type="spellStart"/>
      <w:r>
        <w:t>Kirchhoff</w:t>
      </w:r>
      <w:proofErr w:type="spellEnd"/>
    </w:p>
    <w:p w:rsidR="00D27263" w:rsidRDefault="00D27263" w:rsidP="00D27263">
      <w:pPr>
        <w:numPr>
          <w:ilvl w:val="0"/>
          <w:numId w:val="2"/>
        </w:numPr>
        <w:spacing w:after="200" w:line="276" w:lineRule="auto"/>
      </w:pPr>
      <w:r>
        <w:t xml:space="preserve">Kytara do soutěže (1cena) v roce 2016 na mezinárodní soutěži – vyhrál ji Andrea de </w:t>
      </w:r>
      <w:proofErr w:type="spellStart"/>
      <w:r>
        <w:t>Vitis</w:t>
      </w:r>
      <w:proofErr w:type="spellEnd"/>
    </w:p>
    <w:p w:rsidR="00D27263" w:rsidRPr="008D1BC4" w:rsidRDefault="00D27263" w:rsidP="00D27263"/>
    <w:p w:rsidR="00D27263" w:rsidRPr="00E317FA" w:rsidRDefault="00D27263" w:rsidP="00D27263">
      <w:r>
        <w:t xml:space="preserve">                                                                                                     </w:t>
      </w:r>
    </w:p>
    <w:p w:rsidR="00D27263" w:rsidRPr="00E317FA" w:rsidRDefault="00D27263" w:rsidP="00D27263"/>
    <w:p w:rsidR="00D27263" w:rsidRDefault="00D27263" w:rsidP="00D27263"/>
    <w:p w:rsidR="00D27263" w:rsidRDefault="00D27263" w:rsidP="00D27263"/>
    <w:p w:rsidR="00D27263" w:rsidRDefault="00D27263" w:rsidP="00D27263"/>
    <w:p w:rsidR="00D27263" w:rsidRDefault="00D27263" w:rsidP="00D27263">
      <w:pPr>
        <w:tabs>
          <w:tab w:val="right" w:pos="9072"/>
        </w:tabs>
        <w:rPr>
          <w:b/>
          <w:sz w:val="28"/>
        </w:rPr>
      </w:pPr>
      <w:r>
        <w:rPr>
          <w:b/>
          <w:sz w:val="28"/>
        </w:rPr>
        <w:t>Odběratel</w:t>
      </w:r>
    </w:p>
    <w:p w:rsidR="00D27263" w:rsidRDefault="00D27263" w:rsidP="00D27263">
      <w:pPr>
        <w:tabs>
          <w:tab w:val="right" w:pos="9072"/>
        </w:tabs>
      </w:pPr>
      <w:r>
        <w:t>ZUŠ Žatec okres Louny</w:t>
      </w:r>
    </w:p>
    <w:p w:rsidR="00D27263" w:rsidRDefault="00D27263" w:rsidP="00D27263">
      <w:pPr>
        <w:tabs>
          <w:tab w:val="right" w:pos="9072"/>
        </w:tabs>
      </w:pPr>
      <w:r>
        <w:t>Příspěvková organizace</w:t>
      </w:r>
    </w:p>
    <w:p w:rsidR="00D27263" w:rsidRDefault="00D27263" w:rsidP="00D27263">
      <w:pPr>
        <w:tabs>
          <w:tab w:val="right" w:pos="9072"/>
        </w:tabs>
      </w:pPr>
      <w:r>
        <w:t>Studentská 1030</w:t>
      </w:r>
    </w:p>
    <w:p w:rsidR="00D27263" w:rsidRDefault="00D27263" w:rsidP="00D27263">
      <w:pPr>
        <w:tabs>
          <w:tab w:val="right" w:pos="9072"/>
        </w:tabs>
      </w:pPr>
      <w:r>
        <w:t>438 01 Žatec</w:t>
      </w:r>
    </w:p>
    <w:p w:rsidR="00D27263" w:rsidRDefault="00D27263" w:rsidP="00D27263">
      <w:pPr>
        <w:tabs>
          <w:tab w:val="right" w:pos="9072"/>
        </w:tabs>
        <w:rPr>
          <w:b/>
          <w:sz w:val="28"/>
        </w:rPr>
      </w:pPr>
      <w:r>
        <w:t>IČO: 47786825</w:t>
      </w:r>
      <w:r>
        <w:rPr>
          <w:b/>
          <w:sz w:val="28"/>
        </w:rPr>
        <w:tab/>
        <w:t>Dodavatel</w:t>
      </w:r>
    </w:p>
    <w:p w:rsidR="00D27263" w:rsidRDefault="00D27263" w:rsidP="00D27263">
      <w:pPr>
        <w:jc w:val="right"/>
      </w:pPr>
      <w:r>
        <w:t>Petr Láska</w:t>
      </w:r>
    </w:p>
    <w:p w:rsidR="00D27263" w:rsidRDefault="00D27263" w:rsidP="00D27263">
      <w:pPr>
        <w:jc w:val="right"/>
      </w:pPr>
      <w:r>
        <w:t>Dětenice 72</w:t>
      </w:r>
    </w:p>
    <w:p w:rsidR="00D27263" w:rsidRDefault="00D27263" w:rsidP="00D27263">
      <w:pPr>
        <w:jc w:val="right"/>
      </w:pPr>
      <w:r>
        <w:t>507 24 Dětenice</w:t>
      </w:r>
    </w:p>
    <w:p w:rsidR="00D27263" w:rsidRDefault="00D27263" w:rsidP="00D27263">
      <w:pPr>
        <w:jc w:val="right"/>
      </w:pPr>
      <w:r>
        <w:t>IČO: 01621904</w:t>
      </w:r>
    </w:p>
    <w:p w:rsidR="00D27263" w:rsidRDefault="00D27263" w:rsidP="00D27263">
      <w:pPr>
        <w:jc w:val="right"/>
      </w:pPr>
    </w:p>
    <w:p w:rsidR="00D27263" w:rsidRDefault="00D27263" w:rsidP="00D27263">
      <w:pPr>
        <w:rPr>
          <w:b/>
          <w:sz w:val="28"/>
        </w:rPr>
      </w:pPr>
      <w:r>
        <w:rPr>
          <w:b/>
          <w:sz w:val="28"/>
        </w:rPr>
        <w:t>Položka</w:t>
      </w:r>
    </w:p>
    <w:p w:rsidR="00D2275F" w:rsidRDefault="00D27263" w:rsidP="00D27263">
      <w:r>
        <w:t>Klasická, koncertní double top kytara                                                                                    80000 Kč</w:t>
      </w:r>
    </w:p>
    <w:p w:rsidR="00D27263" w:rsidRDefault="00D27263" w:rsidP="00D27263">
      <w:r>
        <w:t>Doprava                                                                                                                                         2000 Kč</w:t>
      </w:r>
    </w:p>
    <w:p w:rsidR="00D27263" w:rsidRDefault="00D27263" w:rsidP="00D27263"/>
    <w:p w:rsidR="00D27263" w:rsidRPr="00A46E0D" w:rsidRDefault="00D27263" w:rsidP="00D27263">
      <w:r>
        <w:t>Celkem                                                                                                                                         82000 Kč</w:t>
      </w:r>
    </w:p>
    <w:p w:rsidR="00D27263" w:rsidRDefault="00D27263"/>
    <w:p w:rsidR="00315558" w:rsidRDefault="00315558">
      <w:bookmarkStart w:id="0" w:name="_GoBack"/>
      <w:bookmarkEnd w:id="0"/>
    </w:p>
    <w:sectPr w:rsidR="00315558" w:rsidSect="00D2275F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669F"/>
    <w:multiLevelType w:val="hybridMultilevel"/>
    <w:tmpl w:val="8EA01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E3B6C"/>
    <w:multiLevelType w:val="hybridMultilevel"/>
    <w:tmpl w:val="0EC60B60"/>
    <w:lvl w:ilvl="0" w:tplc="758C0AAE">
      <w:numFmt w:val="bullet"/>
      <w:lvlText w:val="-"/>
      <w:lvlJc w:val="left"/>
      <w:pPr>
        <w:ind w:left="420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" w15:restartNumberingAfterBreak="0">
    <w:nsid w:val="7E8D4095"/>
    <w:multiLevelType w:val="hybridMultilevel"/>
    <w:tmpl w:val="19A2D24C"/>
    <w:lvl w:ilvl="0" w:tplc="A6CA0020">
      <w:numFmt w:val="bullet"/>
      <w:lvlText w:val="-"/>
      <w:lvlJc w:val="left"/>
      <w:pPr>
        <w:ind w:left="23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37"/>
    <w:rsid w:val="000D2637"/>
    <w:rsid w:val="001377D1"/>
    <w:rsid w:val="00315558"/>
    <w:rsid w:val="003B0815"/>
    <w:rsid w:val="004B0DC1"/>
    <w:rsid w:val="004C5209"/>
    <w:rsid w:val="00514620"/>
    <w:rsid w:val="00522584"/>
    <w:rsid w:val="007256E9"/>
    <w:rsid w:val="00901E62"/>
    <w:rsid w:val="009515AF"/>
    <w:rsid w:val="00991B91"/>
    <w:rsid w:val="00996112"/>
    <w:rsid w:val="00A87D4B"/>
    <w:rsid w:val="00B93957"/>
    <w:rsid w:val="00C0390C"/>
    <w:rsid w:val="00D04346"/>
    <w:rsid w:val="00D2275F"/>
    <w:rsid w:val="00D25F59"/>
    <w:rsid w:val="00D27263"/>
    <w:rsid w:val="00D87ADE"/>
    <w:rsid w:val="00E46DB2"/>
    <w:rsid w:val="00EA0C15"/>
    <w:rsid w:val="00F0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18F9"/>
  <w15:chartTrackingRefBased/>
  <w15:docId w15:val="{7E834429-FEA8-47BA-A168-478133C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2637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263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semiHidden/>
    <w:unhideWhenUsed/>
    <w:rsid w:val="000D26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Kancelar</cp:lastModifiedBy>
  <cp:revision>5</cp:revision>
  <dcterms:created xsi:type="dcterms:W3CDTF">2018-03-07T09:22:00Z</dcterms:created>
  <dcterms:modified xsi:type="dcterms:W3CDTF">2018-03-07T09:36:00Z</dcterms:modified>
</cp:coreProperties>
</file>