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DF0080" w:rsidRPr="00670C5B" w:rsidTr="009170E8">
        <w:tc>
          <w:tcPr>
            <w:tcW w:w="5000" w:type="pct"/>
          </w:tcPr>
          <w:p w:rsidR="00DF0080" w:rsidRPr="007C1628" w:rsidRDefault="00DF0080" w:rsidP="00DD6CBF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DODATEK č. 1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FD67B4" w:rsidRDefault="00DF0080" w:rsidP="00184683">
            <w:pPr>
              <w:jc w:val="center"/>
              <w:rPr>
                <w:spacing w:val="-3"/>
                <w:lang w:val="de-DE"/>
              </w:rPr>
            </w:pPr>
            <w:r>
              <w:rPr>
                <w:spacing w:val="-3"/>
                <w:lang w:val="de-DE"/>
              </w:rPr>
              <w:t>(</w:t>
            </w:r>
            <w:proofErr w:type="spellStart"/>
            <w:r>
              <w:rPr>
                <w:spacing w:val="-3"/>
                <w:lang w:val="de-DE"/>
              </w:rPr>
              <w:t>dále</w:t>
            </w:r>
            <w:proofErr w:type="spellEnd"/>
            <w:r>
              <w:rPr>
                <w:spacing w:val="-3"/>
                <w:lang w:val="de-DE"/>
              </w:rPr>
              <w:t xml:space="preserve"> </w:t>
            </w:r>
            <w:proofErr w:type="spellStart"/>
            <w:r>
              <w:rPr>
                <w:spacing w:val="-3"/>
                <w:lang w:val="de-DE"/>
              </w:rPr>
              <w:t>jen</w:t>
            </w:r>
            <w:proofErr w:type="spellEnd"/>
            <w:r>
              <w:rPr>
                <w:spacing w:val="-3"/>
                <w:lang w:val="de-DE"/>
              </w:rPr>
              <w:t xml:space="preserve"> „</w:t>
            </w:r>
            <w:proofErr w:type="spellStart"/>
            <w:r w:rsidRPr="0005578A">
              <w:rPr>
                <w:b/>
                <w:spacing w:val="-3"/>
                <w:lang w:val="de-DE"/>
              </w:rPr>
              <w:t>dodatek</w:t>
            </w:r>
            <w:proofErr w:type="spellEnd"/>
            <w:r>
              <w:rPr>
                <w:spacing w:val="-3"/>
                <w:lang w:val="de-DE"/>
              </w:rPr>
              <w:t>“)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FD67B4" w:rsidRDefault="00DF0080" w:rsidP="00184683">
            <w:pPr>
              <w:jc w:val="both"/>
              <w:rPr>
                <w:lang w:val="de-DE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FD67B4" w:rsidRDefault="00DF0080" w:rsidP="000608B1">
            <w:pPr>
              <w:jc w:val="center"/>
            </w:pPr>
            <w:proofErr w:type="spellStart"/>
            <w:r>
              <w:t>ke</w:t>
            </w:r>
            <w:proofErr w:type="spellEnd"/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934AB4"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</w:rPr>
              <w:t>Smlouvě</w:t>
            </w:r>
            <w:proofErr w:type="spellEnd"/>
            <w:r>
              <w:rPr>
                <w:b/>
              </w:rPr>
              <w:t xml:space="preserve"> o</w:t>
            </w:r>
            <w:r w:rsidRPr="000608B1">
              <w:rPr>
                <w:b/>
              </w:rPr>
              <w:t xml:space="preserve"> </w:t>
            </w:r>
            <w:r>
              <w:rPr>
                <w:b/>
              </w:rPr>
              <w:t>k</w:t>
            </w:r>
            <w:r w:rsidRPr="000608B1">
              <w:rPr>
                <w:b/>
              </w:rPr>
              <w:t xml:space="preserve">linické </w:t>
            </w:r>
            <w:proofErr w:type="spellStart"/>
            <w:r>
              <w:rPr>
                <w:b/>
              </w:rPr>
              <w:t>s</w:t>
            </w:r>
            <w:r w:rsidRPr="000608B1">
              <w:rPr>
                <w:b/>
              </w:rPr>
              <w:t>tudii</w:t>
            </w:r>
            <w:proofErr w:type="spellEnd"/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DD6CBF">
            <w:pPr>
              <w:jc w:val="center"/>
            </w:pPr>
            <w:proofErr w:type="spellStart"/>
            <w:r w:rsidRPr="006D551C">
              <w:t>uzavřené</w:t>
            </w:r>
            <w:proofErr w:type="spellEnd"/>
            <w:r w:rsidRPr="006D551C"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7.August 2015</w:t>
            </w:r>
            <w:r w:rsidRPr="00934AB4">
              <w:t xml:space="preserve"> </w:t>
            </w:r>
            <w:r w:rsidRPr="006002E8">
              <w:t>(</w:t>
            </w:r>
            <w:proofErr w:type="spellStart"/>
            <w:r w:rsidRPr="006002E8">
              <w:t>dále</w:t>
            </w:r>
            <w:proofErr w:type="spellEnd"/>
            <w:r w:rsidRPr="006002E8">
              <w:t xml:space="preserve"> </w:t>
            </w:r>
            <w:proofErr w:type="spellStart"/>
            <w:r w:rsidRPr="006002E8">
              <w:t>jen</w:t>
            </w:r>
            <w:proofErr w:type="spellEnd"/>
            <w:r w:rsidRPr="006002E8">
              <w:t xml:space="preserve"> „</w:t>
            </w:r>
            <w:proofErr w:type="spellStart"/>
            <w:r w:rsidRPr="003B4105">
              <w:rPr>
                <w:b/>
              </w:rPr>
              <w:t>smlouva</w:t>
            </w:r>
            <w:proofErr w:type="spellEnd"/>
            <w:r w:rsidRPr="006002E8">
              <w:t>”)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pStyle w:val="Title"/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pStyle w:val="Title"/>
              <w:spacing w:line="24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6002E8">
              <w:rPr>
                <w:bCs/>
                <w:sz w:val="22"/>
                <w:szCs w:val="22"/>
              </w:rPr>
              <w:t>Tento</w:t>
            </w:r>
            <w:proofErr w:type="spellEnd"/>
            <w:r w:rsidRPr="006002E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02E8">
              <w:rPr>
                <w:bCs/>
                <w:sz w:val="22"/>
                <w:szCs w:val="22"/>
              </w:rPr>
              <w:t>dodatek</w:t>
            </w:r>
            <w:proofErr w:type="spellEnd"/>
            <w:r w:rsidRPr="006002E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02E8">
              <w:rPr>
                <w:bCs/>
                <w:sz w:val="22"/>
                <w:szCs w:val="22"/>
              </w:rPr>
              <w:t>uzavírají</w:t>
            </w:r>
            <w:proofErr w:type="spellEnd"/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pStyle w:val="Title"/>
              <w:spacing w:line="240" w:lineRule="auto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pStyle w:val="Title"/>
              <w:spacing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670C5B">
              <w:rPr>
                <w:sz w:val="22"/>
                <w:szCs w:val="22"/>
              </w:rPr>
              <w:t>PAREXEL International Czech Republic s.r.o.</w:t>
            </w:r>
            <w:proofErr w:type="gramEnd"/>
          </w:p>
          <w:p w:rsidR="00DF0080" w:rsidRPr="00670C5B" w:rsidRDefault="00DF0080" w:rsidP="00670C5B">
            <w:pPr>
              <w:jc w:val="both"/>
              <w:rPr>
                <w:spacing w:val="-3"/>
                <w:lang w:val="en-GB"/>
              </w:rPr>
            </w:pPr>
            <w:proofErr w:type="spellStart"/>
            <w:r w:rsidRPr="00670C5B">
              <w:rPr>
                <w:spacing w:val="-3"/>
                <w:lang w:val="en-GB"/>
              </w:rPr>
              <w:t>Sokolovská</w:t>
            </w:r>
            <w:proofErr w:type="spellEnd"/>
            <w:r w:rsidRPr="00670C5B">
              <w:rPr>
                <w:spacing w:val="-3"/>
                <w:lang w:val="en-GB"/>
              </w:rPr>
              <w:t xml:space="preserve"> 651/136a</w:t>
            </w:r>
          </w:p>
          <w:p w:rsidR="00DF0080" w:rsidRPr="00670C5B" w:rsidRDefault="00DF0080" w:rsidP="00670C5B">
            <w:pPr>
              <w:jc w:val="both"/>
              <w:rPr>
                <w:spacing w:val="-3"/>
                <w:lang w:val="en-GB"/>
              </w:rPr>
            </w:pPr>
            <w:r w:rsidRPr="00670C5B">
              <w:rPr>
                <w:spacing w:val="-3"/>
                <w:lang w:val="en-GB"/>
              </w:rPr>
              <w:t>186 00 Praha 8</w:t>
            </w:r>
          </w:p>
          <w:p w:rsidR="00DF0080" w:rsidRPr="00670C5B" w:rsidRDefault="00DF0080" w:rsidP="00670C5B">
            <w:pPr>
              <w:jc w:val="both"/>
              <w:rPr>
                <w:b/>
              </w:rPr>
            </w:pPr>
            <w:proofErr w:type="spellStart"/>
            <w:r w:rsidRPr="00670C5B">
              <w:rPr>
                <w:spacing w:val="-3"/>
                <w:lang w:val="en-GB"/>
              </w:rPr>
              <w:t>Česká</w:t>
            </w:r>
            <w:proofErr w:type="spellEnd"/>
            <w:r w:rsidRPr="00670C5B">
              <w:rPr>
                <w:spacing w:val="-3"/>
                <w:lang w:val="en-GB"/>
              </w:rPr>
              <w:t xml:space="preserve"> </w:t>
            </w:r>
            <w:proofErr w:type="spellStart"/>
            <w:r w:rsidRPr="00670C5B">
              <w:rPr>
                <w:spacing w:val="-3"/>
                <w:lang w:val="en-GB"/>
              </w:rPr>
              <w:t>republika</w:t>
            </w:r>
            <w:proofErr w:type="spellEnd"/>
          </w:p>
          <w:p w:rsidR="00DF0080" w:rsidRPr="00670C5B" w:rsidRDefault="00DF0080" w:rsidP="00670C5B">
            <w:pPr>
              <w:jc w:val="both"/>
            </w:pPr>
            <w:r w:rsidRPr="00670C5B">
              <w:t>IČ 27160360</w:t>
            </w:r>
          </w:p>
          <w:p w:rsidR="00DF0080" w:rsidRPr="00670C5B" w:rsidRDefault="00DF0080" w:rsidP="00670C5B">
            <w:pPr>
              <w:jc w:val="both"/>
              <w:rPr>
                <w:spacing w:val="-3"/>
              </w:rPr>
            </w:pPr>
            <w:r w:rsidRPr="00670C5B">
              <w:t>DIČ:CZ27160360</w:t>
            </w:r>
          </w:p>
          <w:p w:rsidR="00DF0080" w:rsidRPr="00670C5B" w:rsidRDefault="00DF0080" w:rsidP="00670C5B">
            <w:pPr>
              <w:jc w:val="both"/>
              <w:rPr>
                <w:b/>
                <w:lang w:val="fr-FR"/>
              </w:rPr>
            </w:pPr>
            <w:bookmarkStart w:id="0" w:name="_GoBack"/>
            <w:bookmarkEnd w:id="0"/>
            <w:r w:rsidRPr="009170E8">
              <w:rPr>
                <w:highlight w:val="yellow"/>
                <w:lang w:val="fr-FR"/>
              </w:rPr>
              <w:t>,</w:t>
            </w:r>
            <w:r w:rsidRPr="00670C5B">
              <w:rPr>
                <w:lang w:val="cs-CZ"/>
              </w:rPr>
              <w:t xml:space="preserve"> (dále jen „</w:t>
            </w:r>
            <w:r w:rsidRPr="00670C5B">
              <w:rPr>
                <w:b/>
                <w:lang w:val="cs-CZ"/>
              </w:rPr>
              <w:t>CRO</w:t>
            </w:r>
            <w:r w:rsidRPr="00670C5B">
              <w:rPr>
                <w:lang w:val="cs-CZ"/>
              </w:rPr>
              <w:t>“)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  <w:rPr>
                <w:b/>
                <w:lang w:val="fr-FR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  <w:rPr>
                <w:lang w:val="cs-CZ"/>
              </w:rPr>
            </w:pPr>
            <w:r w:rsidRPr="00670C5B">
              <w:rPr>
                <w:lang w:val="cs-CZ"/>
              </w:rPr>
              <w:t>a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  <w:rPr>
                <w:lang w:val="pl-PL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Default="00DF0080" w:rsidP="00DD6CBF">
            <w:pPr>
              <w:contextualSpacing/>
              <w:jc w:val="both"/>
            </w:pPr>
            <w:proofErr w:type="spellStart"/>
            <w:r w:rsidRPr="00BD1BF4">
              <w:t>Revmatologický</w:t>
            </w:r>
            <w:proofErr w:type="spellEnd"/>
            <w:r w:rsidRPr="00BD1BF4">
              <w:t xml:space="preserve"> </w:t>
            </w:r>
            <w:proofErr w:type="spellStart"/>
            <w:r w:rsidRPr="00BD1BF4">
              <w:t>ústav</w:t>
            </w:r>
            <w:proofErr w:type="spellEnd"/>
          </w:p>
          <w:p w:rsidR="00DF0080" w:rsidRPr="00BD1BF4" w:rsidRDefault="00DF0080" w:rsidP="00DD6CBF">
            <w:pPr>
              <w:contextualSpacing/>
              <w:jc w:val="both"/>
            </w:pPr>
            <w:r w:rsidRPr="00BD1BF4">
              <w:t xml:space="preserve">Na </w:t>
            </w:r>
            <w:proofErr w:type="spellStart"/>
            <w:r w:rsidRPr="00BD1BF4">
              <w:t>Slupi</w:t>
            </w:r>
            <w:proofErr w:type="spellEnd"/>
            <w:r w:rsidRPr="00BD1BF4">
              <w:t xml:space="preserve"> 4</w:t>
            </w:r>
          </w:p>
          <w:p w:rsidR="00DF0080" w:rsidRDefault="00DF0080" w:rsidP="00DD6CBF">
            <w:pPr>
              <w:contextualSpacing/>
              <w:jc w:val="both"/>
            </w:pPr>
            <w:r w:rsidRPr="00BD1BF4">
              <w:t>128 50 Praha 2</w:t>
            </w:r>
          </w:p>
          <w:p w:rsidR="00DF0080" w:rsidRPr="00A97983" w:rsidRDefault="00DF0080" w:rsidP="00DD6CBF">
            <w:pPr>
              <w:jc w:val="both"/>
              <w:rPr>
                <w:b/>
              </w:rPr>
            </w:pPr>
            <w:proofErr w:type="spellStart"/>
            <w:r w:rsidRPr="00A97983">
              <w:rPr>
                <w:spacing w:val="-3"/>
                <w:lang w:val="en-GB"/>
              </w:rPr>
              <w:t>Česká</w:t>
            </w:r>
            <w:proofErr w:type="spellEnd"/>
            <w:r w:rsidRPr="00A97983">
              <w:rPr>
                <w:spacing w:val="-3"/>
                <w:lang w:val="en-GB"/>
              </w:rPr>
              <w:t xml:space="preserve"> </w:t>
            </w:r>
            <w:proofErr w:type="spellStart"/>
            <w:r w:rsidRPr="00A97983">
              <w:rPr>
                <w:spacing w:val="-3"/>
                <w:lang w:val="en-GB"/>
              </w:rPr>
              <w:t>republika</w:t>
            </w:r>
            <w:proofErr w:type="spellEnd"/>
          </w:p>
          <w:p w:rsidR="00DF0080" w:rsidRPr="00A97983" w:rsidRDefault="00DF0080" w:rsidP="00DD6CBF">
            <w:pPr>
              <w:jc w:val="both"/>
            </w:pPr>
            <w:r>
              <w:t>IČ</w:t>
            </w:r>
            <w:r w:rsidRPr="00A97983">
              <w:t xml:space="preserve">: </w:t>
            </w:r>
            <w:r w:rsidRPr="00BD1BF4">
              <w:t>00023728</w:t>
            </w:r>
          </w:p>
          <w:p w:rsidR="00DF0080" w:rsidRDefault="00DF0080" w:rsidP="00DD6CBF">
            <w:pPr>
              <w:contextualSpacing/>
              <w:jc w:val="both"/>
            </w:pPr>
            <w:r>
              <w:t>DIČ</w:t>
            </w:r>
            <w:r w:rsidRPr="00A97983">
              <w:t>:</w:t>
            </w:r>
            <w:r>
              <w:t xml:space="preserve"> </w:t>
            </w:r>
            <w:r w:rsidRPr="00BD1BF4">
              <w:t>CZ00023728</w:t>
            </w:r>
          </w:p>
          <w:p w:rsidR="00DF0080" w:rsidRPr="00A97983" w:rsidRDefault="00DF0080" w:rsidP="00DD6CBF">
            <w:pPr>
              <w:jc w:val="both"/>
              <w:rPr>
                <w:lang w:val="es-ES"/>
              </w:rPr>
            </w:pPr>
            <w:r w:rsidRPr="00A97983">
              <w:rPr>
                <w:lang w:val="cs-CZ"/>
              </w:rPr>
              <w:t>(dále jen „Instituce“),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tabs>
                <w:tab w:val="left" w:pos="-720"/>
              </w:tabs>
              <w:jc w:val="both"/>
              <w:rPr>
                <w:bCs/>
                <w:spacing w:val="-3"/>
                <w:lang w:val="en-GB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tabs>
                <w:tab w:val="left" w:pos="-720"/>
              </w:tabs>
              <w:jc w:val="both"/>
              <w:rPr>
                <w:bCs/>
                <w:spacing w:val="-3"/>
                <w:lang w:val="en-GB"/>
              </w:rPr>
            </w:pPr>
            <w:proofErr w:type="spellStart"/>
            <w:r>
              <w:rPr>
                <w:bCs/>
                <w:spacing w:val="-3"/>
                <w:lang w:val="en-GB"/>
              </w:rPr>
              <w:t>týkající</w:t>
            </w:r>
            <w:proofErr w:type="spellEnd"/>
            <w:r>
              <w:rPr>
                <w:bCs/>
                <w:spacing w:val="-3"/>
                <w:lang w:val="en-GB"/>
              </w:rPr>
              <w:t xml:space="preserve"> se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tabs>
                <w:tab w:val="left" w:pos="-720"/>
              </w:tabs>
              <w:jc w:val="both"/>
              <w:rPr>
                <w:bCs/>
                <w:spacing w:val="-3"/>
                <w:lang w:val="de-DE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9170E8">
            <w:pPr>
              <w:jc w:val="both"/>
              <w:rPr>
                <w:bCs/>
                <w:spacing w:val="-3"/>
                <w:lang w:val="pt-BR"/>
              </w:rPr>
            </w:pPr>
            <w:r>
              <w:rPr>
                <w:bCs/>
                <w:spacing w:val="-3"/>
                <w:lang w:val="pt-BR"/>
              </w:rPr>
              <w:t xml:space="preserve">Protokol č </w:t>
            </w:r>
            <w:r w:rsidRPr="00670C5B">
              <w:rPr>
                <w:lang w:val="cs-CZ"/>
              </w:rPr>
              <w:t>(dále jen „</w:t>
            </w:r>
            <w:r>
              <w:rPr>
                <w:b/>
                <w:lang w:val="cs-CZ"/>
              </w:rPr>
              <w:t>Protokol</w:t>
            </w:r>
            <w:r>
              <w:rPr>
                <w:lang w:val="cs-CZ"/>
              </w:rPr>
              <w:t>“)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tabs>
                <w:tab w:val="left" w:pos="-720"/>
              </w:tabs>
              <w:jc w:val="both"/>
              <w:rPr>
                <w:bCs/>
                <w:spacing w:val="-3"/>
                <w:lang w:val="pt-BR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0608B1" w:rsidRDefault="00DF0080" w:rsidP="000608B1">
            <w:pPr>
              <w:jc w:val="both"/>
              <w:rPr>
                <w:bCs/>
                <w:i/>
                <w:spacing w:val="-3"/>
              </w:rPr>
            </w:pPr>
            <w:r w:rsidRPr="000608B1">
              <w:rPr>
                <w:bCs/>
                <w:spacing w:val="-3"/>
              </w:rPr>
              <w:t>(</w:t>
            </w:r>
            <w:proofErr w:type="spellStart"/>
            <w:r w:rsidRPr="000608B1">
              <w:rPr>
                <w:bCs/>
                <w:spacing w:val="-3"/>
              </w:rPr>
              <w:t>dále</w:t>
            </w:r>
            <w:proofErr w:type="spellEnd"/>
            <w:r w:rsidRPr="000608B1">
              <w:rPr>
                <w:bCs/>
                <w:spacing w:val="-3"/>
              </w:rPr>
              <w:t xml:space="preserve"> </w:t>
            </w:r>
            <w:proofErr w:type="spellStart"/>
            <w:r w:rsidRPr="000608B1">
              <w:rPr>
                <w:bCs/>
                <w:spacing w:val="-3"/>
              </w:rPr>
              <w:t>jen</w:t>
            </w:r>
            <w:proofErr w:type="spellEnd"/>
            <w:r w:rsidRPr="000608B1">
              <w:rPr>
                <w:bCs/>
                <w:spacing w:val="-3"/>
              </w:rPr>
              <w:t xml:space="preserve"> „</w:t>
            </w:r>
            <w:proofErr w:type="spellStart"/>
            <w:r w:rsidRPr="000608B1">
              <w:rPr>
                <w:b/>
                <w:bCs/>
                <w:spacing w:val="-3"/>
              </w:rPr>
              <w:t>Studie</w:t>
            </w:r>
            <w:proofErr w:type="spellEnd"/>
            <w:r w:rsidRPr="000608B1">
              <w:rPr>
                <w:bCs/>
                <w:spacing w:val="-3"/>
              </w:rPr>
              <w:t>“)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</w:pPr>
            <w:r w:rsidRPr="00462B88">
              <w:t xml:space="preserve"> (</w:t>
            </w:r>
            <w:proofErr w:type="spellStart"/>
            <w:r>
              <w:t>dále</w:t>
            </w:r>
            <w:proofErr w:type="spellEnd"/>
            <w:r>
              <w:t xml:space="preserve"> </w:t>
            </w:r>
            <w:proofErr w:type="spellStart"/>
            <w:r>
              <w:t>jen</w:t>
            </w:r>
            <w:proofErr w:type="spellEnd"/>
            <w:r>
              <w:t xml:space="preserve"> </w:t>
            </w:r>
            <w:r w:rsidRPr="00462B88">
              <w:t>„</w:t>
            </w:r>
            <w:proofErr w:type="spellStart"/>
            <w:r w:rsidRPr="00462B88">
              <w:rPr>
                <w:b/>
              </w:rPr>
              <w:t>Léčivo</w:t>
            </w:r>
            <w:proofErr w:type="spellEnd"/>
            <w:r w:rsidRPr="00462B88">
              <w:rPr>
                <w:b/>
              </w:rPr>
              <w:t xml:space="preserve"> Pfizer</w:t>
            </w:r>
            <w:r w:rsidRPr="00462B88">
              <w:t>“)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462B88">
            <w:pPr>
              <w:jc w:val="both"/>
            </w:pPr>
            <w:r w:rsidRPr="006D551C">
              <w:t xml:space="preserve">ZADAVATEL: </w:t>
            </w:r>
            <w:r w:rsidRPr="006D551C">
              <w:rPr>
                <w:b/>
                <w:lang w:val="cs-CZ"/>
              </w:rPr>
              <w:t>Pfizer Inc</w:t>
            </w:r>
            <w:r w:rsidRPr="006D551C">
              <w:rPr>
                <w:lang w:val="cs-CZ"/>
              </w:rPr>
              <w:t xml:space="preserve">., Delaware </w:t>
            </w:r>
            <w:proofErr w:type="spellStart"/>
            <w:r w:rsidRPr="006D551C">
              <w:rPr>
                <w:lang w:val="cs-CZ"/>
              </w:rPr>
              <w:t>Corporation</w:t>
            </w:r>
            <w:proofErr w:type="spellEnd"/>
            <w:r w:rsidRPr="006D551C">
              <w:rPr>
                <w:lang w:val="cs-CZ"/>
              </w:rPr>
              <w:t xml:space="preserve"> se sídlem 235 East 42nd Street, New York, NY 10017-5755</w:t>
            </w:r>
            <w:r w:rsidRPr="00462B88">
              <w:rPr>
                <w:lang w:val="cs-CZ"/>
              </w:rPr>
              <w:t xml:space="preserve"> </w:t>
            </w:r>
            <w:r w:rsidRPr="00A97983">
              <w:rPr>
                <w:lang w:val="cs-CZ"/>
              </w:rPr>
              <w:t>(dále jen „</w:t>
            </w:r>
            <w:r w:rsidRPr="00462B88">
              <w:rPr>
                <w:b/>
                <w:lang w:val="cs-CZ"/>
              </w:rPr>
              <w:t>Pfizer</w:t>
            </w:r>
            <w:r w:rsidRPr="00A97983">
              <w:rPr>
                <w:lang w:val="cs-CZ"/>
              </w:rPr>
              <w:t>“)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670C5B" w:rsidRDefault="00DF0080" w:rsidP="00670C5B">
            <w:pPr>
              <w:jc w:val="both"/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353DFB" w:rsidRDefault="00DF0080" w:rsidP="00462B88">
            <w:pPr>
              <w:suppressAutoHyphens w:val="0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VZHLEDEM K TOMU, ŽE: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353DFB" w:rsidRDefault="00DF0080" w:rsidP="00184683">
            <w:pPr>
              <w:suppressAutoHyphens w:val="0"/>
              <w:jc w:val="both"/>
              <w:rPr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6D551C">
            <w:pPr>
              <w:widowControl w:val="0"/>
              <w:adjustRightInd w:val="0"/>
              <w:snapToGrid w:val="0"/>
              <w:jc w:val="both"/>
              <w:rPr>
                <w:lang w:val="cs-CZ"/>
              </w:rPr>
            </w:pPr>
            <w:r w:rsidRPr="00DD6CBF">
              <w:rPr>
                <w:lang w:val="cs-CZ"/>
              </w:rPr>
              <w:t>(1)</w:t>
            </w:r>
            <w:r w:rsidRPr="00DD6CBF">
              <w:rPr>
                <w:lang w:val="cs-CZ"/>
              </w:rPr>
              <w:tab/>
              <w:t>Pfizer je zadavatelem multicentrické studie, která má za cíl klinicky vyhodnotit účinnost hodnoceného léku a v níž se Společnost Pfizer na základě samostatné písemné smlouvy pověřila CRO (nebo její sesterskou či dceřinou společnost), aby jí zastupovala při řízení studie.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184683">
            <w:pPr>
              <w:suppressAutoHyphens w:val="0"/>
              <w:jc w:val="both"/>
              <w:rPr>
                <w:b/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DD6CBF">
            <w:pPr>
              <w:widowControl w:val="0"/>
              <w:adjustRightInd w:val="0"/>
              <w:snapToGrid w:val="0"/>
              <w:jc w:val="both"/>
              <w:rPr>
                <w:lang w:val="cs-CZ"/>
              </w:rPr>
            </w:pPr>
            <w:r w:rsidRPr="00DD6CBF">
              <w:rPr>
                <w:lang w:val="cs-CZ"/>
              </w:rPr>
              <w:t>(2)</w:t>
            </w:r>
            <w:r w:rsidRPr="00DD6CBF">
              <w:rPr>
                <w:lang w:val="cs-CZ"/>
              </w:rPr>
              <w:tab/>
              <w:t>Instituce se zavazuje s CRO plně spolupracovat a umožnit jí plnit veškeré závazky společnosti Pfizer vyplývající z klinického hodnocení, jakož i uplatňovat veškerá jeho práva související s klinickým hodnocením, která společnost Pfizer přenesla na CRO.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184683">
            <w:pPr>
              <w:suppressAutoHyphens w:val="0"/>
              <w:jc w:val="both"/>
              <w:rPr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184683">
            <w:pPr>
              <w:jc w:val="both"/>
              <w:rPr>
                <w:lang w:val="cs-CZ"/>
              </w:rPr>
            </w:pPr>
            <w:r w:rsidRPr="00DD6CBF">
              <w:rPr>
                <w:lang w:val="cs-CZ"/>
              </w:rPr>
              <w:lastRenderedPageBreak/>
              <w:t>(3)</w:t>
            </w:r>
            <w:r w:rsidRPr="00DD6CBF">
              <w:rPr>
                <w:lang w:val="cs-CZ"/>
              </w:rPr>
              <w:tab/>
              <w:t>Smluvní strany uzavřely shora uvedenou smlouvu;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184683">
            <w:pPr>
              <w:tabs>
                <w:tab w:val="center" w:pos="4513"/>
              </w:tabs>
              <w:jc w:val="both"/>
              <w:rPr>
                <w:spacing w:val="-3"/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DD6CBF" w:rsidRDefault="00DF0080" w:rsidP="00184683">
            <w:pPr>
              <w:tabs>
                <w:tab w:val="left" w:pos="-720"/>
              </w:tabs>
              <w:jc w:val="both"/>
              <w:rPr>
                <w:bCs/>
                <w:lang w:val="cs-CZ"/>
              </w:rPr>
            </w:pPr>
            <w:r w:rsidRPr="00DD6CBF">
              <w:rPr>
                <w:lang w:val="cs-CZ"/>
              </w:rPr>
              <w:t>(4)</w:t>
            </w:r>
            <w:r w:rsidRPr="00DD6CBF">
              <w:rPr>
                <w:lang w:val="cs-CZ"/>
              </w:rPr>
              <w:tab/>
            </w:r>
            <w:r w:rsidRPr="00DD6CBF">
              <w:rPr>
                <w:bCs/>
                <w:lang w:val="cs-CZ"/>
              </w:rPr>
              <w:t xml:space="preserve">Smluvní strany si společně přejí změnit </w:t>
            </w:r>
            <w:r w:rsidRPr="00DD6CBF">
              <w:rPr>
                <w:lang w:val="cs-CZ"/>
              </w:rPr>
              <w:t>shora uvedenou smlouvu</w:t>
            </w:r>
            <w:r w:rsidRPr="00DD6CBF">
              <w:rPr>
                <w:bCs/>
                <w:lang w:val="cs-CZ"/>
              </w:rPr>
              <w:t>.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353DFB" w:rsidRDefault="00DF0080" w:rsidP="00184683">
            <w:pPr>
              <w:tabs>
                <w:tab w:val="left" w:pos="-720"/>
              </w:tabs>
              <w:suppressAutoHyphens w:val="0"/>
              <w:jc w:val="both"/>
              <w:rPr>
                <w:lang w:val="cs-CZ"/>
              </w:rPr>
            </w:pPr>
          </w:p>
        </w:tc>
      </w:tr>
      <w:tr w:rsidR="00DF0080" w:rsidRPr="00DD6CBF" w:rsidTr="009170E8">
        <w:tc>
          <w:tcPr>
            <w:tcW w:w="5000" w:type="pct"/>
          </w:tcPr>
          <w:p w:rsidR="00DF0080" w:rsidRPr="00DD6CBF" w:rsidRDefault="00DF0080" w:rsidP="00184683">
            <w:pPr>
              <w:tabs>
                <w:tab w:val="left" w:pos="-2340"/>
              </w:tabs>
              <w:jc w:val="both"/>
            </w:pPr>
            <w:r w:rsidRPr="00DD6CBF">
              <w:t>(</w:t>
            </w:r>
            <w:r>
              <w:t>5</w:t>
            </w:r>
            <w:r w:rsidRPr="00DD6CBF">
              <w:t>)</w:t>
            </w:r>
            <w:r w:rsidRPr="00DD6CBF">
              <w:tab/>
              <w:t xml:space="preserve">CRO a Pfizer </w:t>
            </w:r>
            <w:proofErr w:type="spellStart"/>
            <w:r w:rsidRPr="00DD6CBF">
              <w:t>výslovně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schvalují</w:t>
            </w:r>
            <w:proofErr w:type="spellEnd"/>
            <w:r w:rsidRPr="00DD6CBF">
              <w:t xml:space="preserve"> </w:t>
            </w:r>
            <w:proofErr w:type="spellStart"/>
            <w:r>
              <w:t>u</w:t>
            </w:r>
            <w:r w:rsidRPr="00DD6CBF">
              <w:t>veřejnění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připojených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redakčně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upravených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verzí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Dodatku</w:t>
            </w:r>
            <w:proofErr w:type="spellEnd"/>
            <w:r w:rsidRPr="00DD6CBF">
              <w:t xml:space="preserve"> </w:t>
            </w:r>
            <w:proofErr w:type="spellStart"/>
            <w:r>
              <w:t>vč</w:t>
            </w:r>
            <w:proofErr w:type="spellEnd"/>
            <w:r>
              <w:t>.</w:t>
            </w:r>
            <w:r w:rsidRPr="00DD6CBF">
              <w:t xml:space="preserve"> Smlouvy v </w:t>
            </w:r>
            <w:proofErr w:type="spellStart"/>
            <w:r w:rsidRPr="00DD6CBF">
              <w:t>registru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smluv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vedeném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Ministerstvem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vnitra</w:t>
            </w:r>
            <w:proofErr w:type="spellEnd"/>
            <w:r w:rsidRPr="00DD6CBF">
              <w:t xml:space="preserve"> v </w:t>
            </w:r>
            <w:proofErr w:type="spellStart"/>
            <w:r w:rsidRPr="00DD6CBF">
              <w:t>souladu</w:t>
            </w:r>
            <w:proofErr w:type="spellEnd"/>
            <w:r w:rsidRPr="00DD6CBF">
              <w:t xml:space="preserve"> se </w:t>
            </w:r>
            <w:proofErr w:type="spellStart"/>
            <w:r w:rsidRPr="00DD6CBF">
              <w:t>zák</w:t>
            </w:r>
            <w:proofErr w:type="spellEnd"/>
            <w:r w:rsidRPr="00DD6CBF">
              <w:t xml:space="preserve">. </w:t>
            </w:r>
            <w:proofErr w:type="gramStart"/>
            <w:r w:rsidRPr="00DD6CBF">
              <w:t>č. 340/2015</w:t>
            </w:r>
            <w:proofErr w:type="gramEnd"/>
            <w:r w:rsidRPr="00DD6CBF">
              <w:t xml:space="preserve"> Sb., o </w:t>
            </w:r>
            <w:proofErr w:type="spellStart"/>
            <w:r w:rsidRPr="00DD6CBF">
              <w:t>registru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smluv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ze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strany</w:t>
            </w:r>
            <w:proofErr w:type="spellEnd"/>
            <w:r w:rsidRPr="00DD6CBF">
              <w:t xml:space="preserve"> </w:t>
            </w:r>
            <w:proofErr w:type="spellStart"/>
            <w:r w:rsidRPr="00DD6CBF">
              <w:t>Instituce</w:t>
            </w:r>
            <w:proofErr w:type="spellEnd"/>
            <w:r w:rsidRPr="00DD6CBF">
              <w:t>.</w:t>
            </w:r>
            <w:r>
              <w:t xml:space="preserve"> </w:t>
            </w:r>
          </w:p>
        </w:tc>
      </w:tr>
      <w:tr w:rsidR="00DF0080" w:rsidRPr="00DD6CBF" w:rsidTr="009170E8">
        <w:tc>
          <w:tcPr>
            <w:tcW w:w="5000" w:type="pct"/>
          </w:tcPr>
          <w:p w:rsidR="00DF0080" w:rsidRDefault="00DF0080" w:rsidP="00184683">
            <w:pPr>
              <w:jc w:val="both"/>
            </w:pPr>
            <w:r>
              <w:rPr>
                <w:lang w:val="cs-CZ"/>
              </w:rPr>
              <w:t>Uveřejnění Smlouvy a Dodatku provede Instituce, a to tak, že Instituce</w:t>
            </w:r>
            <w:r w:rsidRPr="00603E1D">
              <w:t xml:space="preserve"> </w:t>
            </w:r>
            <w:proofErr w:type="spellStart"/>
            <w:r>
              <w:t>že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Pr="00603E1D">
              <w:t>veřejní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zpřístupní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či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poskytne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ke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zveřejnění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výlučně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tu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verzi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této</w:t>
            </w:r>
            <w:proofErr w:type="spellEnd"/>
            <w:r w:rsidRPr="00603E1D">
              <w:t xml:space="preserve"> Smlouvy </w:t>
            </w:r>
            <w:proofErr w:type="spellStart"/>
            <w:r w:rsidRPr="00603E1D">
              <w:t>anebo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jejích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částí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kterou</w:t>
            </w:r>
            <w:proofErr w:type="spellEnd"/>
            <w:r w:rsidRPr="00603E1D">
              <w:t xml:space="preserve"> mu </w:t>
            </w:r>
            <w:proofErr w:type="spellStart"/>
            <w:r w:rsidRPr="00603E1D">
              <w:t>za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tímto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účelem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připraví</w:t>
            </w:r>
            <w:proofErr w:type="spellEnd"/>
            <w:r w:rsidRPr="00603E1D">
              <w:t xml:space="preserve"> a </w:t>
            </w:r>
            <w:proofErr w:type="spellStart"/>
            <w:r w:rsidRPr="00603E1D">
              <w:t>poskytne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Zadavatel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nejpozději</w:t>
            </w:r>
            <w:proofErr w:type="spellEnd"/>
            <w:r w:rsidRPr="00603E1D">
              <w:t xml:space="preserve"> v den </w:t>
            </w:r>
            <w:proofErr w:type="spellStart"/>
            <w:r w:rsidRPr="00603E1D">
              <w:t>podpisu</w:t>
            </w:r>
            <w:proofErr w:type="spellEnd"/>
            <w:r w:rsidRPr="00603E1D">
              <w:t xml:space="preserve"> </w:t>
            </w:r>
            <w:proofErr w:type="spellStart"/>
            <w:r>
              <w:t>tohoto</w:t>
            </w:r>
            <w:proofErr w:type="spellEnd"/>
            <w:r>
              <w:t xml:space="preserve"> </w:t>
            </w:r>
            <w:proofErr w:type="spellStart"/>
            <w:r>
              <w:t>Dodatku</w:t>
            </w:r>
            <w:proofErr w:type="spellEnd"/>
            <w:r w:rsidRPr="00603E1D">
              <w:t xml:space="preserve">, a to v </w:t>
            </w:r>
            <w:proofErr w:type="spellStart"/>
            <w:r w:rsidRPr="00603E1D">
              <w:t>strojově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čitelném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formátu</w:t>
            </w:r>
            <w:proofErr w:type="spellEnd"/>
            <w:r w:rsidRPr="00603E1D">
              <w:t xml:space="preserve"> v </w:t>
            </w:r>
            <w:proofErr w:type="spellStart"/>
            <w:r w:rsidRPr="00603E1D">
              <w:t>elektronické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podobě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zasláním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emailovou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adresu</w:t>
            </w:r>
            <w:proofErr w:type="spellEnd"/>
            <w:r w:rsidRPr="00603E1D">
              <w:t xml:space="preserve">. </w:t>
            </w:r>
            <w:proofErr w:type="spellStart"/>
            <w:r>
              <w:t>Instituce</w:t>
            </w:r>
            <w:proofErr w:type="spellEnd"/>
            <w:r>
              <w:t xml:space="preserve"> se </w:t>
            </w:r>
            <w:proofErr w:type="spellStart"/>
            <w:r>
              <w:t>zavazuje</w:t>
            </w:r>
            <w:proofErr w:type="spellEnd"/>
            <w:r>
              <w:t xml:space="preserve"> v 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postupu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Pr="00603E1D">
              <w:t>veřejnění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této</w:t>
            </w:r>
            <w:proofErr w:type="spellEnd"/>
            <w:r w:rsidRPr="00603E1D">
              <w:t xml:space="preserve"> Smlouvy </w:t>
            </w:r>
            <w:proofErr w:type="spellStart"/>
            <w:r w:rsidRPr="00603E1D">
              <w:t>podle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zákona</w:t>
            </w:r>
            <w:proofErr w:type="spellEnd"/>
            <w:r w:rsidRPr="00603E1D">
              <w:t xml:space="preserve"> č. 3</w:t>
            </w:r>
            <w:r>
              <w:t xml:space="preserve">40/2015 Sb. </w:t>
            </w:r>
            <w:proofErr w:type="spellStart"/>
            <w:r>
              <w:t>zaslat</w:t>
            </w:r>
            <w:proofErr w:type="spellEnd"/>
            <w:r>
              <w:t xml:space="preserve"> </w:t>
            </w:r>
            <w:proofErr w:type="spellStart"/>
            <w:r>
              <w:t>potvrzení</w:t>
            </w:r>
            <w:proofErr w:type="spellEnd"/>
            <w:r>
              <w:t xml:space="preserve"> o </w:t>
            </w:r>
            <w:proofErr w:type="spellStart"/>
            <w:r>
              <w:t>u</w:t>
            </w:r>
            <w:r w:rsidRPr="00603E1D">
              <w:t>veřejnění</w:t>
            </w:r>
            <w:proofErr w:type="spellEnd"/>
            <w:r w:rsidRPr="00603E1D">
              <w:t xml:space="preserve"> Smlouvy </w:t>
            </w:r>
            <w:proofErr w:type="spellStart"/>
            <w:r w:rsidRPr="00603E1D">
              <w:t>na</w:t>
            </w:r>
            <w:proofErr w:type="spellEnd"/>
            <w:r w:rsidRPr="00603E1D">
              <w:t xml:space="preserve"> e-</w:t>
            </w:r>
            <w:proofErr w:type="spellStart"/>
            <w:r w:rsidRPr="00603E1D">
              <w:t>mailovou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adresu</w:t>
            </w:r>
            <w:proofErr w:type="spellEnd"/>
            <w:r w:rsidRPr="00603E1D">
              <w:t xml:space="preserve">: </w:t>
            </w:r>
            <w:r>
              <w:t>smlouvy</w:t>
            </w:r>
            <w:r w:rsidRPr="00603E1D">
              <w:t>@</w:t>
            </w:r>
            <w:r>
              <w:t>parexel.com</w:t>
            </w:r>
            <w:r w:rsidRPr="00603E1D">
              <w:t xml:space="preserve"> bez </w:t>
            </w:r>
            <w:proofErr w:type="spellStart"/>
            <w:r w:rsidRPr="00603E1D">
              <w:t>ohledu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předchozí</w:t>
            </w:r>
            <w:proofErr w:type="spellEnd"/>
            <w:r w:rsidRPr="00603E1D">
              <w:t xml:space="preserve"> se </w:t>
            </w:r>
            <w:proofErr w:type="spellStart"/>
            <w:r w:rsidRPr="00603E1D">
              <w:t>zavazuje</w:t>
            </w:r>
            <w:proofErr w:type="spellEnd"/>
            <w:r w:rsidRPr="00603E1D">
              <w:t xml:space="preserve"> </w:t>
            </w:r>
            <w:proofErr w:type="spellStart"/>
            <w:r>
              <w:t>Instituce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dotaz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Zadavatele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potvrdit</w:t>
            </w:r>
            <w:proofErr w:type="spellEnd"/>
            <w:r w:rsidRPr="00603E1D">
              <w:t xml:space="preserve"> datum </w:t>
            </w:r>
            <w:proofErr w:type="spellStart"/>
            <w:r w:rsidRPr="00603E1D">
              <w:t>zveřejnění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jakož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i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skutečnost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že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byla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zveřejněna</w:t>
            </w:r>
            <w:proofErr w:type="spellEnd"/>
            <w:r w:rsidRPr="00603E1D">
              <w:t>/</w:t>
            </w:r>
            <w:proofErr w:type="spellStart"/>
            <w:r w:rsidRPr="00603E1D">
              <w:t>poskytnuta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verze</w:t>
            </w:r>
            <w:proofErr w:type="spellEnd"/>
            <w:r w:rsidRPr="00603E1D">
              <w:t xml:space="preserve"> Smlouvy, </w:t>
            </w:r>
            <w:proofErr w:type="spellStart"/>
            <w:r w:rsidRPr="00603E1D">
              <w:t>kterou</w:t>
            </w:r>
            <w:proofErr w:type="spellEnd"/>
            <w:r w:rsidRPr="00603E1D">
              <w:t xml:space="preserve"> </w:t>
            </w:r>
            <w:proofErr w:type="spellStart"/>
            <w:r>
              <w:t>Instituci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zaslal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Zadavatel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dle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dohody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smluvních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stran</w:t>
            </w:r>
            <w:proofErr w:type="spellEnd"/>
            <w:r w:rsidRPr="00603E1D">
              <w:t xml:space="preserve"> v </w:t>
            </w:r>
            <w:proofErr w:type="spellStart"/>
            <w:r w:rsidRPr="00603E1D">
              <w:t>této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Smlouvě</w:t>
            </w:r>
            <w:proofErr w:type="spellEnd"/>
            <w:r w:rsidRPr="00603E1D">
              <w:t xml:space="preserve">. </w:t>
            </w:r>
            <w:proofErr w:type="spellStart"/>
            <w:r>
              <w:t>Instituce</w:t>
            </w:r>
            <w:proofErr w:type="spellEnd"/>
            <w:r w:rsidRPr="00603E1D">
              <w:t xml:space="preserve"> se </w:t>
            </w:r>
            <w:proofErr w:type="spellStart"/>
            <w:r w:rsidRPr="00603E1D">
              <w:t>zavazuje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nezveřejnit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ani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neposkytnout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žádnou</w:t>
            </w:r>
            <w:proofErr w:type="spellEnd"/>
            <w:r w:rsidRPr="00603E1D">
              <w:t xml:space="preserve"> z </w:t>
            </w:r>
            <w:proofErr w:type="spellStart"/>
            <w:r w:rsidRPr="00603E1D">
              <w:t>informací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která</w:t>
            </w:r>
            <w:proofErr w:type="spellEnd"/>
            <w:r w:rsidRPr="00603E1D">
              <w:t xml:space="preserve"> je </w:t>
            </w:r>
            <w:proofErr w:type="spellStart"/>
            <w:r w:rsidRPr="00603E1D">
              <w:t>dle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této</w:t>
            </w:r>
            <w:proofErr w:type="spellEnd"/>
            <w:r w:rsidRPr="00603E1D">
              <w:t xml:space="preserve"> Smlouvy </w:t>
            </w:r>
            <w:proofErr w:type="spellStart"/>
            <w:r w:rsidRPr="00603E1D">
              <w:t>vyloučena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zveřejnění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ani</w:t>
            </w:r>
            <w:proofErr w:type="spellEnd"/>
            <w:r w:rsidRPr="00603E1D">
              <w:t xml:space="preserve"> v </w:t>
            </w:r>
            <w:proofErr w:type="spellStart"/>
            <w:r w:rsidRPr="00603E1D">
              <w:t>rámci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metadat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která</w:t>
            </w:r>
            <w:proofErr w:type="spellEnd"/>
            <w:r w:rsidRPr="00603E1D">
              <w:t xml:space="preserve"> se </w:t>
            </w:r>
            <w:proofErr w:type="spellStart"/>
            <w:r w:rsidRPr="00603E1D">
              <w:t>uvádí</w:t>
            </w:r>
            <w:proofErr w:type="spellEnd"/>
            <w:r w:rsidRPr="00603E1D">
              <w:t xml:space="preserve"> a </w:t>
            </w:r>
            <w:proofErr w:type="spellStart"/>
            <w:r w:rsidRPr="00603E1D">
              <w:t>zveřejňují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společně</w:t>
            </w:r>
            <w:proofErr w:type="spellEnd"/>
            <w:r w:rsidRPr="00603E1D">
              <w:t xml:space="preserve"> se </w:t>
            </w:r>
            <w:proofErr w:type="spellStart"/>
            <w:r w:rsidRPr="00603E1D">
              <w:t>Smlouvou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dle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zákona</w:t>
            </w:r>
            <w:proofErr w:type="spellEnd"/>
            <w:r w:rsidRPr="00603E1D">
              <w:t xml:space="preserve"> č. 340/2015 Sb. </w:t>
            </w:r>
            <w:proofErr w:type="spellStart"/>
            <w:r w:rsidRPr="00603E1D">
              <w:t>Pokud</w:t>
            </w:r>
            <w:proofErr w:type="spellEnd"/>
            <w:r w:rsidRPr="00603E1D">
              <w:t xml:space="preserve"> </w:t>
            </w:r>
            <w:proofErr w:type="spellStart"/>
            <w:r>
              <w:t>Instituce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svou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povinnost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zveřejnění</w:t>
            </w:r>
            <w:proofErr w:type="spellEnd"/>
            <w:r w:rsidRPr="00603E1D">
              <w:t>/</w:t>
            </w:r>
            <w:proofErr w:type="spellStart"/>
            <w:r w:rsidRPr="00603E1D">
              <w:t>poskytnutí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ke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zveřejnění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nesplní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ani</w:t>
            </w:r>
            <w:proofErr w:type="spellEnd"/>
            <w:r w:rsidRPr="00603E1D">
              <w:t xml:space="preserve"> 3 </w:t>
            </w:r>
            <w:proofErr w:type="spellStart"/>
            <w:r w:rsidRPr="00603E1D">
              <w:t>pracovní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dny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před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uplynutím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nejzazší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lhůty</w:t>
            </w:r>
            <w:proofErr w:type="spellEnd"/>
            <w:r w:rsidRPr="00603E1D">
              <w:t xml:space="preserve"> k </w:t>
            </w:r>
            <w:proofErr w:type="spellStart"/>
            <w:r w:rsidRPr="00603E1D">
              <w:t>tomu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stanovené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Předpisy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anebo</w:t>
            </w:r>
            <w:proofErr w:type="spellEnd"/>
            <w:r w:rsidRPr="00603E1D">
              <w:t xml:space="preserve"> z </w:t>
            </w:r>
            <w:proofErr w:type="spellStart"/>
            <w:r w:rsidRPr="00603E1D">
              <w:t>ní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vyplývající</w:t>
            </w:r>
            <w:proofErr w:type="spellEnd"/>
            <w:r w:rsidRPr="00603E1D">
              <w:t xml:space="preserve">, </w:t>
            </w:r>
            <w:proofErr w:type="spellStart"/>
            <w:r w:rsidRPr="00603E1D">
              <w:t>smí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tak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provést</w:t>
            </w:r>
            <w:proofErr w:type="spellEnd"/>
            <w:r w:rsidRPr="00603E1D">
              <w:t xml:space="preserve"> </w:t>
            </w:r>
            <w:proofErr w:type="spellStart"/>
            <w:r w:rsidRPr="00603E1D">
              <w:t>Zadavatel</w:t>
            </w:r>
            <w:proofErr w:type="spellEnd"/>
            <w:r w:rsidRPr="00603E1D">
              <w:t>.</w:t>
            </w:r>
          </w:p>
          <w:p w:rsidR="00DF0080" w:rsidRPr="00DD6CBF" w:rsidRDefault="00DF0080" w:rsidP="00184683">
            <w:pPr>
              <w:jc w:val="both"/>
              <w:rPr>
                <w:lang w:val="cs-CZ"/>
              </w:rPr>
            </w:pPr>
          </w:p>
        </w:tc>
      </w:tr>
      <w:tr w:rsidR="00DF0080" w:rsidRPr="00DD6CBF" w:rsidTr="009170E8">
        <w:tc>
          <w:tcPr>
            <w:tcW w:w="5000" w:type="pct"/>
          </w:tcPr>
          <w:p w:rsidR="00DF0080" w:rsidRPr="00DD6CBF" w:rsidRDefault="00DF0080" w:rsidP="00DD6CBF">
            <w:pPr>
              <w:jc w:val="both"/>
              <w:rPr>
                <w:lang w:val="cs-CZ"/>
              </w:rPr>
            </w:pPr>
            <w:r w:rsidRPr="00DD6CBF">
              <w:rPr>
                <w:spacing w:val="-2"/>
                <w:lang w:val="cs-CZ" w:eastAsia="en-US"/>
              </w:rPr>
              <w:t>Shora uvedená smlouva se tímto mění a s účinností od data zveřejnění tohoto dodatku v registru smluv, pak platí níže uvedené znění:</w:t>
            </w:r>
          </w:p>
        </w:tc>
      </w:tr>
      <w:tr w:rsidR="00DF0080" w:rsidRPr="00DD6CBF" w:rsidTr="009170E8">
        <w:tc>
          <w:tcPr>
            <w:tcW w:w="5000" w:type="pct"/>
          </w:tcPr>
          <w:p w:rsidR="00DF0080" w:rsidRPr="00DD6CBF" w:rsidRDefault="00DF0080" w:rsidP="00184683">
            <w:pPr>
              <w:jc w:val="both"/>
              <w:rPr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  <w:shd w:val="clear" w:color="auto" w:fill="auto"/>
          </w:tcPr>
          <w:p w:rsidR="00DF0080" w:rsidRPr="009F20FA" w:rsidRDefault="00DF0080" w:rsidP="00184683">
            <w:pPr>
              <w:jc w:val="both"/>
            </w:pPr>
          </w:p>
        </w:tc>
      </w:tr>
      <w:tr w:rsidR="00DF0080" w:rsidRPr="00670C5B" w:rsidTr="009170E8">
        <w:tc>
          <w:tcPr>
            <w:tcW w:w="5000" w:type="pct"/>
            <w:shd w:val="clear" w:color="auto" w:fill="auto"/>
          </w:tcPr>
          <w:p w:rsidR="00DF0080" w:rsidRDefault="00DF0080" w:rsidP="00184683">
            <w:pPr>
              <w:jc w:val="both"/>
              <w:rPr>
                <w:bdr w:val="nil"/>
                <w:lang w:val="cs-CZ"/>
              </w:rPr>
            </w:pPr>
            <w:r w:rsidRPr="009F20FA">
              <w:rPr>
                <w:bdr w:val="nil"/>
                <w:lang w:val="cs-CZ"/>
              </w:rPr>
              <w:t>Smluvní strany si přejí upravit rozpočet studie vložením tohoto znění ohledně náhrad cestovních nákladů subjektů:</w:t>
            </w:r>
          </w:p>
          <w:p w:rsidR="00DF0080" w:rsidRPr="009F20FA" w:rsidRDefault="00DF0080" w:rsidP="00184683">
            <w:pPr>
              <w:jc w:val="both"/>
            </w:pPr>
          </w:p>
          <w:p w:rsidR="00DF0080" w:rsidRPr="001F3C2D" w:rsidRDefault="00DF0080" w:rsidP="0018468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9F20FA">
              <w:rPr>
                <w:bdr w:val="nil"/>
                <w:lang w:val="cs-CZ"/>
              </w:rPr>
              <w:t>Následující znění a náklady budou doplněny do části 2. Další platby:</w:t>
            </w:r>
          </w:p>
          <w:p w:rsidR="00DF0080" w:rsidRPr="001F3C2D" w:rsidRDefault="00DF0080" w:rsidP="00184683">
            <w:pPr>
              <w:pStyle w:val="ListParagraph"/>
              <w:numPr>
                <w:ilvl w:val="0"/>
                <w:numId w:val="5"/>
              </w:numPr>
              <w:jc w:val="both"/>
            </w:pPr>
          </w:p>
          <w:p w:rsidR="00DF0080" w:rsidRDefault="00DF0080" w:rsidP="001F3C2D">
            <w:pPr>
              <w:jc w:val="both"/>
              <w:rPr>
                <w:b/>
                <w:u w:val="single"/>
                <w:lang w:val="pl-PL"/>
              </w:rPr>
            </w:pPr>
            <w:r w:rsidRPr="005A6E0E">
              <w:rPr>
                <w:b/>
                <w:u w:val="single"/>
                <w:lang w:val="pl-PL"/>
              </w:rPr>
              <w:t>Cestovní náklady subjektu</w:t>
            </w:r>
          </w:p>
          <w:p w:rsidR="00DF0080" w:rsidRDefault="00DF0080" w:rsidP="001F3C2D">
            <w:pPr>
              <w:jc w:val="both"/>
              <w:rPr>
                <w:lang w:val="pl-PL"/>
              </w:rPr>
            </w:pPr>
            <w:r w:rsidRPr="001F3C2D">
              <w:rPr>
                <w:lang w:val="pl-PL"/>
              </w:rPr>
              <w:t>Cestovní náhrady budou proplaceny ve výši Kč za návštěvu.</w:t>
            </w:r>
            <w:r>
              <w:t xml:space="preserve"> </w:t>
            </w:r>
            <w:r w:rsidRPr="001F3C2D">
              <w:rPr>
                <w:lang w:val="pl-PL"/>
              </w:rPr>
              <w:t>Cestovní náklady subjektu budou hrazeny v souladu s formulářem informovaného souhlasu, který byl schválen příslušnými úřady České rebubliky a podepsán subjektem studie.</w:t>
            </w:r>
            <w:r>
              <w:rPr>
                <w:lang w:val="pl-PL"/>
              </w:rPr>
              <w:t xml:space="preserve"> </w:t>
            </w:r>
          </w:p>
          <w:p w:rsidR="00DF0080" w:rsidRDefault="00DF0080" w:rsidP="001F3C2D">
            <w:pPr>
              <w:jc w:val="both"/>
              <w:rPr>
                <w:lang w:val="pl-PL"/>
              </w:rPr>
            </w:pPr>
          </w:p>
          <w:p w:rsidR="00DF0080" w:rsidRPr="001F3C2D" w:rsidRDefault="00DF0080" w:rsidP="007957D6">
            <w:pPr>
              <w:pStyle w:val="BodyText2"/>
              <w:spacing w:after="0" w:line="240" w:lineRule="auto"/>
              <w:jc w:val="both"/>
              <w:rPr>
                <w:b/>
                <w:u w:val="single"/>
                <w:lang w:val="pl-PL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353DFB" w:rsidRDefault="00DF0080" w:rsidP="00184683">
            <w:pPr>
              <w:jc w:val="both"/>
              <w:rPr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CC79FB" w:rsidRDefault="00DF0080" w:rsidP="00184683">
            <w:pPr>
              <w:tabs>
                <w:tab w:val="left" w:pos="-2340"/>
                <w:tab w:val="left" w:pos="1728"/>
              </w:tabs>
              <w:jc w:val="both"/>
              <w:rPr>
                <w:bdr w:val="nil"/>
                <w:lang w:val="cs-CZ"/>
              </w:rPr>
            </w:pPr>
            <w:r w:rsidRPr="00CC79FB">
              <w:rPr>
                <w:bdr w:val="nil"/>
                <w:lang w:val="cs-CZ"/>
              </w:rPr>
              <w:t>Všechna ostatní ustanovení shora uvedené smlouvy se nemění a zůstávají plně platná a účinná.</w:t>
            </w:r>
          </w:p>
        </w:tc>
      </w:tr>
      <w:tr w:rsidR="00DF0080" w:rsidRPr="00670C5B" w:rsidTr="009170E8">
        <w:tc>
          <w:tcPr>
            <w:tcW w:w="5000" w:type="pct"/>
          </w:tcPr>
          <w:p w:rsidR="00DF0080" w:rsidRPr="00353DFB" w:rsidRDefault="00DF0080" w:rsidP="00184683">
            <w:pPr>
              <w:jc w:val="both"/>
              <w:rPr>
                <w:lang w:val="cs-CZ"/>
              </w:rPr>
            </w:pPr>
          </w:p>
        </w:tc>
      </w:tr>
      <w:tr w:rsidR="00DF0080" w:rsidRPr="00670C5B" w:rsidTr="009170E8">
        <w:tc>
          <w:tcPr>
            <w:tcW w:w="5000" w:type="pct"/>
          </w:tcPr>
          <w:p w:rsidR="00DF0080" w:rsidRPr="005641DB" w:rsidRDefault="00DF0080" w:rsidP="005641DB">
            <w:pPr>
              <w:jc w:val="both"/>
              <w:rPr>
                <w:lang w:val="cs-CZ"/>
              </w:rPr>
            </w:pPr>
            <w:r w:rsidRPr="005641DB">
              <w:rPr>
                <w:lang w:val="cs-CZ"/>
              </w:rPr>
              <w:t>Strany tímto prohlašují, že tento dodatek předem řádně prodiskutovaly a že rozumí všem jeho ustanovením a vyjadřují svou skutečnou a svobodnou vůli, na důkaz čehož připojují své podpisy.</w:t>
            </w:r>
          </w:p>
        </w:tc>
      </w:tr>
    </w:tbl>
    <w:p w:rsidR="003C507F" w:rsidRDefault="003C507F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6246C" w:rsidRDefault="0076246C">
      <w:pPr>
        <w:suppressAutoHyphens w:val="0"/>
        <w:spacing w:after="200" w:line="276" w:lineRule="auto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981"/>
        <w:gridCol w:w="4982"/>
      </w:tblGrid>
      <w:tr w:rsidR="0076246C" w:rsidRPr="003B5288" w:rsidTr="0076246C">
        <w:tc>
          <w:tcPr>
            <w:tcW w:w="5000" w:type="pct"/>
            <w:gridSpan w:val="2"/>
          </w:tcPr>
          <w:p w:rsidR="0076246C" w:rsidRPr="003B5288" w:rsidRDefault="0076246C" w:rsidP="0076246C">
            <w:pPr>
              <w:pStyle w:val="BodyTextIndent2"/>
              <w:keepNext/>
              <w:keepLines/>
              <w:tabs>
                <w:tab w:val="left" w:pos="2520"/>
              </w:tabs>
              <w:spacing w:after="0" w:line="240" w:lineRule="auto"/>
              <w:ind w:left="454"/>
              <w:jc w:val="center"/>
              <w:rPr>
                <w:b/>
                <w:bCs/>
                <w:i/>
                <w:iCs/>
                <w:lang w:val="cs-CZ"/>
              </w:rPr>
            </w:pPr>
            <w:r w:rsidRPr="003B5288">
              <w:rPr>
                <w:b/>
                <w:sz w:val="22"/>
                <w:szCs w:val="22"/>
                <w:lang w:val="en-GB"/>
              </w:rPr>
              <w:t>PAREXEL International Czech Republic s.r.o.</w:t>
            </w: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center"/>
              <w:rPr>
                <w:lang w:val="cs-CZ"/>
              </w:rPr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keepNext/>
              <w:keepLines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highlight w:val="lightGray"/>
                <w:lang w:val="cs-CZ"/>
              </w:rPr>
            </w:pP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9000"/>
              </w:tabs>
              <w:ind w:left="360"/>
              <w:contextualSpacing/>
              <w:jc w:val="center"/>
              <w:rPr>
                <w:u w:val="single"/>
                <w:lang w:val="cs-CZ"/>
              </w:rPr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highlight w:val="lightGray"/>
                <w:lang w:val="cs-CZ"/>
              </w:rPr>
            </w:pPr>
          </w:p>
        </w:tc>
      </w:tr>
      <w:tr w:rsidR="0076246C" w:rsidRPr="003B5288" w:rsidTr="0076246C">
        <w:tc>
          <w:tcPr>
            <w:tcW w:w="5000" w:type="pct"/>
            <w:gridSpan w:val="2"/>
          </w:tcPr>
          <w:p w:rsidR="0076246C" w:rsidRPr="003B5288" w:rsidRDefault="0076246C" w:rsidP="0076246C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9000"/>
              </w:tabs>
              <w:ind w:left="454"/>
              <w:contextualSpacing/>
              <w:jc w:val="center"/>
            </w:pPr>
            <w:r w:rsidRPr="003B5288">
              <w:rPr>
                <w:sz w:val="22"/>
                <w:szCs w:val="22"/>
                <w:u w:val="single"/>
              </w:rPr>
              <w:t>________________________________</w:t>
            </w:r>
            <w:r w:rsidRPr="003B5288">
              <w:rPr>
                <w:sz w:val="22"/>
                <w:szCs w:val="22"/>
              </w:rPr>
              <w:t>________</w:t>
            </w:r>
          </w:p>
        </w:tc>
      </w:tr>
      <w:tr w:rsidR="0076246C" w:rsidRPr="003B5288" w:rsidTr="0076246C">
        <w:tc>
          <w:tcPr>
            <w:tcW w:w="5000" w:type="pct"/>
            <w:gridSpan w:val="2"/>
          </w:tcPr>
          <w:p w:rsidR="0076246C" w:rsidRPr="009170E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454"/>
              <w:jc w:val="center"/>
              <w:rPr>
                <w:b/>
                <w:bCs/>
                <w:i/>
                <w:iCs/>
                <w:highlight w:val="yellow"/>
                <w:lang w:val="cs-CZ"/>
              </w:rPr>
            </w:pP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9000"/>
              </w:tabs>
              <w:ind w:left="360"/>
              <w:contextualSpacing/>
              <w:jc w:val="center"/>
              <w:rPr>
                <w:lang w:val="cs-CZ"/>
              </w:rPr>
            </w:pPr>
          </w:p>
        </w:tc>
        <w:tc>
          <w:tcPr>
            <w:tcW w:w="2500" w:type="pct"/>
          </w:tcPr>
          <w:p w:rsidR="0076246C" w:rsidRPr="009170E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highlight w:val="yellow"/>
                <w:lang w:val="cs-CZ"/>
              </w:rPr>
            </w:pP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center"/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contextualSpacing/>
              <w:jc w:val="center"/>
            </w:pPr>
          </w:p>
        </w:tc>
      </w:tr>
      <w:tr w:rsidR="0076246C" w:rsidRPr="003B5288" w:rsidTr="0076246C">
        <w:tc>
          <w:tcPr>
            <w:tcW w:w="5000" w:type="pct"/>
            <w:gridSpan w:val="2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454"/>
              <w:contextualSpacing/>
              <w:jc w:val="center"/>
            </w:pPr>
            <w:r w:rsidRPr="003B5288">
              <w:rPr>
                <w:sz w:val="22"/>
                <w:szCs w:val="22"/>
              </w:rPr>
              <w:t>________________________________________</w:t>
            </w:r>
          </w:p>
        </w:tc>
      </w:tr>
      <w:tr w:rsidR="0076246C" w:rsidRPr="003B5288" w:rsidTr="0076246C">
        <w:tc>
          <w:tcPr>
            <w:tcW w:w="5000" w:type="pct"/>
            <w:gridSpan w:val="2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9000"/>
              </w:tabs>
              <w:ind w:left="454"/>
              <w:contextualSpacing/>
              <w:jc w:val="center"/>
              <w:rPr>
                <w:u w:val="single"/>
              </w:rPr>
            </w:pPr>
            <w:r w:rsidRPr="003B5288">
              <w:rPr>
                <w:sz w:val="22"/>
                <w:szCs w:val="22"/>
              </w:rPr>
              <w:t>Date / Datum</w:t>
            </w: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center"/>
              <w:rPr>
                <w:lang w:val="cs-CZ"/>
              </w:rPr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center"/>
              <w:rPr>
                <w:lang w:val="cs-CZ"/>
              </w:rPr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</w:tr>
      <w:tr w:rsidR="0076246C" w:rsidRPr="003B5288" w:rsidTr="0076246C">
        <w:tc>
          <w:tcPr>
            <w:tcW w:w="5000" w:type="pct"/>
            <w:gridSpan w:val="2"/>
          </w:tcPr>
          <w:p w:rsidR="0076246C" w:rsidRPr="003B5288" w:rsidRDefault="00DD6CBF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454"/>
              <w:jc w:val="center"/>
              <w:rPr>
                <w:b/>
                <w:bCs/>
                <w:iCs/>
                <w:lang w:val="cs-CZ"/>
              </w:rPr>
            </w:pPr>
            <w:proofErr w:type="spellStart"/>
            <w:r>
              <w:rPr>
                <w:b/>
                <w:sz w:val="22"/>
                <w:szCs w:val="22"/>
                <w:lang w:val="cs-CZ"/>
              </w:rPr>
              <w:t>Revmatogický</w:t>
            </w:r>
            <w:proofErr w:type="spellEnd"/>
            <w:r>
              <w:rPr>
                <w:b/>
                <w:sz w:val="22"/>
                <w:szCs w:val="22"/>
                <w:lang w:val="cs-CZ"/>
              </w:rPr>
              <w:t xml:space="preserve"> ústav</w:t>
            </w: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keepNext/>
              <w:keepLines/>
              <w:tabs>
                <w:tab w:val="left" w:pos="2520"/>
              </w:tabs>
              <w:spacing w:after="0" w:line="240" w:lineRule="auto"/>
              <w:ind w:left="36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</w:tr>
      <w:tr w:rsidR="0076246C" w:rsidRPr="003B5288" w:rsidTr="0076246C"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360"/>
              <w:jc w:val="center"/>
              <w:rPr>
                <w:b/>
                <w:bCs/>
                <w:i/>
                <w:iCs/>
                <w:highlight w:val="lightGray"/>
                <w:lang w:val="cs-CZ"/>
              </w:rPr>
            </w:pPr>
          </w:p>
        </w:tc>
        <w:tc>
          <w:tcPr>
            <w:tcW w:w="2500" w:type="pct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</w:tr>
      <w:tr w:rsidR="0076246C" w:rsidRPr="003B5288" w:rsidTr="0076246C">
        <w:tc>
          <w:tcPr>
            <w:tcW w:w="5000" w:type="pct"/>
            <w:gridSpan w:val="2"/>
          </w:tcPr>
          <w:p w:rsidR="0076246C" w:rsidRPr="003B5288" w:rsidRDefault="0076246C" w:rsidP="0076246C">
            <w:pPr>
              <w:pStyle w:val="BodyTextIndent2"/>
              <w:tabs>
                <w:tab w:val="left" w:pos="2520"/>
              </w:tabs>
              <w:spacing w:after="0" w:line="240" w:lineRule="auto"/>
              <w:ind w:left="454"/>
              <w:jc w:val="center"/>
              <w:rPr>
                <w:b/>
                <w:bCs/>
                <w:i/>
                <w:iCs/>
                <w:lang w:val="cs-CZ"/>
              </w:rPr>
            </w:pPr>
            <w:r w:rsidRPr="003B5288">
              <w:rPr>
                <w:sz w:val="22"/>
                <w:szCs w:val="22"/>
                <w:u w:val="single"/>
              </w:rPr>
              <w:t>________________________________</w:t>
            </w:r>
            <w:r w:rsidRPr="003B5288">
              <w:rPr>
                <w:sz w:val="22"/>
                <w:szCs w:val="22"/>
              </w:rPr>
              <w:t>________</w:t>
            </w: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7D079F" w:rsidRDefault="009170E8" w:rsidP="009170E8">
            <w:pPr>
              <w:pStyle w:val="BodyTextIndent2"/>
              <w:tabs>
                <w:tab w:val="left" w:pos="2520"/>
                <w:tab w:val="left" w:pos="3564"/>
                <w:tab w:val="center" w:pos="5100"/>
              </w:tabs>
              <w:ind w:left="454"/>
              <w:rPr>
                <w:b/>
                <w:bCs/>
                <w:i/>
                <w:iCs/>
                <w:lang w:val="cs-CZ"/>
              </w:rPr>
            </w:pPr>
            <w:r>
              <w:rPr>
                <w:sz w:val="22"/>
                <w:szCs w:val="22"/>
                <w:highlight w:val="yellow"/>
              </w:rPr>
              <w:tab/>
            </w:r>
            <w:r>
              <w:rPr>
                <w:sz w:val="22"/>
                <w:szCs w:val="22"/>
                <w:highlight w:val="yellow"/>
              </w:rPr>
              <w:tab/>
            </w:r>
          </w:p>
        </w:tc>
      </w:tr>
      <w:tr w:rsidR="00DD6CBF" w:rsidRPr="003B5288" w:rsidTr="00DD6CBF">
        <w:trPr>
          <w:trHeight w:val="722"/>
        </w:trPr>
        <w:tc>
          <w:tcPr>
            <w:tcW w:w="2500" w:type="pct"/>
            <w:vAlign w:val="bottom"/>
          </w:tcPr>
          <w:p w:rsidR="00DD6CBF" w:rsidRPr="007D079F" w:rsidRDefault="00DD6CBF" w:rsidP="00DD6CBF">
            <w:pPr>
              <w:pStyle w:val="BodyTextIndent2"/>
              <w:tabs>
                <w:tab w:val="left" w:pos="2520"/>
              </w:tabs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                                                          </w:t>
            </w:r>
            <w:proofErr w:type="spellStart"/>
            <w:r>
              <w:rPr>
                <w:sz w:val="22"/>
                <w:szCs w:val="22"/>
                <w:lang w:val="cs-CZ"/>
              </w:rPr>
              <w:t>Director</w:t>
            </w:r>
            <w:proofErr w:type="spellEnd"/>
            <w:r>
              <w:rPr>
                <w:sz w:val="22"/>
                <w:szCs w:val="22"/>
                <w:lang w:val="cs-CZ"/>
              </w:rPr>
              <w:t xml:space="preserve"> / Ředitel</w:t>
            </w:r>
          </w:p>
        </w:tc>
        <w:tc>
          <w:tcPr>
            <w:tcW w:w="2500" w:type="pct"/>
          </w:tcPr>
          <w:p w:rsidR="00DD6CBF" w:rsidRPr="003B5288" w:rsidRDefault="00DD6CBF" w:rsidP="00DD6CBF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2500" w:type="pct"/>
          </w:tcPr>
          <w:p w:rsidR="00DD6CBF" w:rsidRPr="003B5288" w:rsidRDefault="00DD6CBF" w:rsidP="00DD6C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center"/>
            </w:pPr>
          </w:p>
        </w:tc>
        <w:tc>
          <w:tcPr>
            <w:tcW w:w="2500" w:type="pct"/>
          </w:tcPr>
          <w:p w:rsidR="00DD6CBF" w:rsidRPr="003B5288" w:rsidRDefault="00DD6CBF" w:rsidP="00DD6CBF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pStyle w:val="BodyTextIndent2"/>
              <w:tabs>
                <w:tab w:val="left" w:pos="2520"/>
              </w:tabs>
              <w:spacing w:after="0" w:line="240" w:lineRule="auto"/>
              <w:ind w:left="454"/>
              <w:jc w:val="center"/>
              <w:rPr>
                <w:b/>
                <w:bCs/>
                <w:i/>
                <w:iCs/>
                <w:lang w:val="cs-CZ"/>
              </w:rPr>
            </w:pPr>
            <w:r w:rsidRPr="003B5288">
              <w:rPr>
                <w:sz w:val="22"/>
                <w:szCs w:val="22"/>
              </w:rPr>
              <w:t>________________________________________</w:t>
            </w: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pStyle w:val="BodyTextIndent2"/>
              <w:tabs>
                <w:tab w:val="left" w:pos="2520"/>
              </w:tabs>
              <w:spacing w:after="0" w:line="240" w:lineRule="auto"/>
              <w:ind w:left="454"/>
              <w:jc w:val="center"/>
              <w:rPr>
                <w:b/>
                <w:bCs/>
                <w:i/>
                <w:iCs/>
                <w:lang w:val="cs-CZ"/>
              </w:rPr>
            </w:pPr>
            <w:r w:rsidRPr="003B5288">
              <w:rPr>
                <w:sz w:val="22"/>
                <w:szCs w:val="22"/>
              </w:rPr>
              <w:t>Date / Datum</w:t>
            </w:r>
          </w:p>
        </w:tc>
      </w:tr>
      <w:tr w:rsidR="00DD6CBF" w:rsidRPr="003B5288" w:rsidTr="0076246C">
        <w:tc>
          <w:tcPr>
            <w:tcW w:w="2500" w:type="pct"/>
          </w:tcPr>
          <w:p w:rsidR="00DD6CBF" w:rsidRPr="003B5288" w:rsidRDefault="00DD6CBF" w:rsidP="00DD6C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both"/>
              <w:rPr>
                <w:lang w:val="cs-CZ"/>
              </w:rPr>
            </w:pPr>
          </w:p>
        </w:tc>
        <w:tc>
          <w:tcPr>
            <w:tcW w:w="2500" w:type="pct"/>
          </w:tcPr>
          <w:p w:rsidR="00DD6CBF" w:rsidRPr="003B5288" w:rsidRDefault="00DD6CBF" w:rsidP="00DD6CBF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both"/>
              <w:rPr>
                <w:b/>
                <w:bCs/>
                <w:i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2500" w:type="pct"/>
          </w:tcPr>
          <w:p w:rsidR="00DD6CBF" w:rsidRPr="003B5288" w:rsidRDefault="00DD6CBF" w:rsidP="00DD6C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both"/>
              <w:rPr>
                <w:lang w:val="cs-CZ"/>
              </w:rPr>
            </w:pPr>
          </w:p>
        </w:tc>
        <w:tc>
          <w:tcPr>
            <w:tcW w:w="2500" w:type="pct"/>
          </w:tcPr>
          <w:p w:rsidR="00DD6CBF" w:rsidRPr="003B5288" w:rsidRDefault="00DD6CBF" w:rsidP="00DD6CBF">
            <w:pPr>
              <w:pStyle w:val="BodyTextIndent2"/>
              <w:tabs>
                <w:tab w:val="left" w:pos="2520"/>
              </w:tabs>
              <w:spacing w:after="0" w:line="240" w:lineRule="auto"/>
              <w:ind w:left="0"/>
              <w:jc w:val="both"/>
              <w:rPr>
                <w:b/>
                <w:bCs/>
                <w:i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FB5380" w:rsidRDefault="00DD6CBF" w:rsidP="00DD6CBF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454"/>
              <w:contextualSpacing/>
              <w:jc w:val="center"/>
              <w:rPr>
                <w:b/>
              </w:rPr>
            </w:pPr>
          </w:p>
        </w:tc>
      </w:tr>
      <w:tr w:rsidR="00DD6CBF" w:rsidRPr="003B5288" w:rsidTr="0076246C">
        <w:tc>
          <w:tcPr>
            <w:tcW w:w="2500" w:type="pct"/>
          </w:tcPr>
          <w:p w:rsidR="00DD6CBF" w:rsidRPr="003B5288" w:rsidRDefault="00DD6CBF" w:rsidP="00DD6CBF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both"/>
            </w:pPr>
          </w:p>
        </w:tc>
        <w:tc>
          <w:tcPr>
            <w:tcW w:w="2500" w:type="pct"/>
          </w:tcPr>
          <w:p w:rsidR="00DD6CBF" w:rsidRPr="003B5288" w:rsidRDefault="00DD6CBF" w:rsidP="00DD6CBF">
            <w:pPr>
              <w:jc w:val="both"/>
            </w:pPr>
          </w:p>
        </w:tc>
      </w:tr>
      <w:tr w:rsidR="00DD6CBF" w:rsidRPr="003B5288" w:rsidTr="0076246C">
        <w:tc>
          <w:tcPr>
            <w:tcW w:w="2500" w:type="pct"/>
          </w:tcPr>
          <w:p w:rsidR="00DD6CBF" w:rsidRPr="003B5288" w:rsidRDefault="00DD6CBF" w:rsidP="00DD6CBF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960"/>
                <w:tab w:val="left" w:pos="4320"/>
                <w:tab w:val="left" w:pos="5040"/>
                <w:tab w:val="left" w:pos="5400"/>
                <w:tab w:val="left" w:pos="5760"/>
                <w:tab w:val="left" w:pos="9000"/>
              </w:tabs>
              <w:ind w:left="360"/>
              <w:contextualSpacing/>
              <w:jc w:val="center"/>
              <w:rPr>
                <w:u w:val="single"/>
                <w:lang w:val="cs-CZ"/>
              </w:rPr>
            </w:pPr>
          </w:p>
        </w:tc>
        <w:tc>
          <w:tcPr>
            <w:tcW w:w="2500" w:type="pct"/>
          </w:tcPr>
          <w:p w:rsidR="00DD6CBF" w:rsidRPr="003B5288" w:rsidRDefault="00DD6CBF" w:rsidP="00DD6CBF">
            <w:pPr>
              <w:jc w:val="center"/>
              <w:rPr>
                <w:bCs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ind w:left="454"/>
              <w:jc w:val="center"/>
              <w:rPr>
                <w:bCs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tabs>
                <w:tab w:val="num" w:pos="840"/>
              </w:tabs>
              <w:ind w:left="454"/>
              <w:jc w:val="center"/>
              <w:rPr>
                <w:bCs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ind w:left="454"/>
              <w:jc w:val="center"/>
              <w:rPr>
                <w:bCs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2500" w:type="pct"/>
          </w:tcPr>
          <w:p w:rsidR="00DD6CBF" w:rsidRPr="003B5288" w:rsidRDefault="00DD6CBF" w:rsidP="00DD6C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00"/>
                <w:tab w:val="left" w:pos="5760"/>
              </w:tabs>
              <w:ind w:left="360"/>
              <w:contextualSpacing/>
              <w:jc w:val="center"/>
              <w:rPr>
                <w:lang w:val="cs-CZ"/>
              </w:rPr>
            </w:pPr>
          </w:p>
        </w:tc>
        <w:tc>
          <w:tcPr>
            <w:tcW w:w="2500" w:type="pct"/>
          </w:tcPr>
          <w:p w:rsidR="00DD6CBF" w:rsidRPr="003B5288" w:rsidRDefault="00DD6CBF" w:rsidP="00DD6CBF">
            <w:pPr>
              <w:jc w:val="center"/>
              <w:rPr>
                <w:bCs/>
                <w:iCs/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ind w:left="454"/>
              <w:jc w:val="center"/>
              <w:rPr>
                <w:lang w:val="cs-CZ"/>
              </w:rPr>
            </w:pPr>
          </w:p>
        </w:tc>
      </w:tr>
      <w:tr w:rsidR="00DD6CBF" w:rsidRPr="003B5288" w:rsidTr="0076246C">
        <w:tc>
          <w:tcPr>
            <w:tcW w:w="5000" w:type="pct"/>
            <w:gridSpan w:val="2"/>
          </w:tcPr>
          <w:p w:rsidR="00DD6CBF" w:rsidRPr="003B5288" w:rsidRDefault="00DD6CBF" w:rsidP="00DD6CBF">
            <w:pPr>
              <w:ind w:left="454"/>
              <w:jc w:val="center"/>
            </w:pPr>
          </w:p>
        </w:tc>
      </w:tr>
    </w:tbl>
    <w:p w:rsidR="00184683" w:rsidRPr="00670C5B" w:rsidRDefault="00184683" w:rsidP="00670C5B">
      <w:pPr>
        <w:rPr>
          <w:sz w:val="22"/>
          <w:szCs w:val="22"/>
        </w:rPr>
      </w:pPr>
    </w:p>
    <w:sectPr w:rsidR="00184683" w:rsidRPr="00670C5B" w:rsidSect="002F051C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D8" w:rsidRDefault="009B7ED8" w:rsidP="002F051C">
      <w:r>
        <w:separator/>
      </w:r>
    </w:p>
  </w:endnote>
  <w:endnote w:type="continuationSeparator" w:id="0">
    <w:p w:rsidR="009B7ED8" w:rsidRDefault="009B7ED8" w:rsidP="002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683" w:rsidRDefault="00184683" w:rsidP="006C0E42">
    <w:pPr>
      <w:tabs>
        <w:tab w:val="right" w:pos="9747"/>
      </w:tabs>
      <w:jc w:val="both"/>
    </w:pPr>
    <w:r w:rsidRPr="00462B88">
      <w:rPr>
        <w:rStyle w:val="PageNumber"/>
        <w:sz w:val="18"/>
        <w:szCs w:val="18"/>
      </w:rPr>
      <w:t xml:space="preserve">212394 </w:t>
    </w:r>
    <w:r w:rsidRPr="007957D6">
      <w:rPr>
        <w:rStyle w:val="PageNumber"/>
        <w:sz w:val="18"/>
        <w:szCs w:val="18"/>
      </w:rPr>
      <w:t xml:space="preserve">CZE 2116 </w:t>
    </w:r>
    <w:proofErr w:type="gramStart"/>
    <w:r w:rsidRPr="007957D6">
      <w:rPr>
        <w:rStyle w:val="PageNumber"/>
        <w:sz w:val="18"/>
        <w:szCs w:val="18"/>
      </w:rPr>
      <w:t>Inst  CSA</w:t>
    </w:r>
    <w:proofErr w:type="gramEnd"/>
    <w:r w:rsidRPr="007957D6">
      <w:rPr>
        <w:rStyle w:val="PageNumber"/>
        <w:sz w:val="18"/>
        <w:szCs w:val="18"/>
      </w:rPr>
      <w:t xml:space="preserve"> Amend 1 Bilingual </w:t>
    </w:r>
    <w:r w:rsidR="00274DC6" w:rsidRPr="007957D6">
      <w:rPr>
        <w:rStyle w:val="PageNumber"/>
        <w:sz w:val="18"/>
        <w:szCs w:val="18"/>
      </w:rPr>
      <w:t xml:space="preserve">20180220 </w:t>
    </w:r>
    <w:r w:rsidR="007957D6">
      <w:rPr>
        <w:rStyle w:val="PageNumber"/>
        <w:sz w:val="18"/>
        <w:szCs w:val="18"/>
      </w:rPr>
      <w:t>1,0</w:t>
    </w:r>
    <w:r w:rsidR="00274DC6"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ab/>
    </w:r>
    <w:r>
      <w:rPr>
        <w:sz w:val="18"/>
        <w:szCs w:val="18"/>
      </w:rPr>
      <w:t xml:space="preserve">Page </w:t>
    </w:r>
    <w:r w:rsidR="00AA41A1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 w:rsidR="00AA41A1">
      <w:rPr>
        <w:rStyle w:val="PageNumber"/>
        <w:sz w:val="18"/>
        <w:szCs w:val="18"/>
      </w:rPr>
      <w:fldChar w:fldCharType="separate"/>
    </w:r>
    <w:r w:rsidR="009170E8">
      <w:rPr>
        <w:rStyle w:val="PageNumber"/>
        <w:noProof/>
        <w:sz w:val="18"/>
        <w:szCs w:val="18"/>
      </w:rPr>
      <w:t>3</w:t>
    </w:r>
    <w:r w:rsidR="00AA41A1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 w:rsidR="00AA41A1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\*Arabic </w:instrText>
    </w:r>
    <w:r w:rsidR="00AA41A1">
      <w:rPr>
        <w:rStyle w:val="PageNumber"/>
        <w:sz w:val="18"/>
        <w:szCs w:val="18"/>
      </w:rPr>
      <w:fldChar w:fldCharType="separate"/>
    </w:r>
    <w:r w:rsidR="009170E8">
      <w:rPr>
        <w:rStyle w:val="PageNumber"/>
        <w:noProof/>
        <w:sz w:val="18"/>
        <w:szCs w:val="18"/>
      </w:rPr>
      <w:t>3</w:t>
    </w:r>
    <w:r w:rsidR="00AA41A1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D8" w:rsidRDefault="009B7ED8" w:rsidP="002F051C">
      <w:r>
        <w:separator/>
      </w:r>
    </w:p>
  </w:footnote>
  <w:footnote w:type="continuationSeparator" w:id="0">
    <w:p w:rsidR="009B7ED8" w:rsidRDefault="009B7ED8" w:rsidP="002F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6C98"/>
    <w:multiLevelType w:val="hybridMultilevel"/>
    <w:tmpl w:val="0974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5202"/>
    <w:multiLevelType w:val="hybridMultilevel"/>
    <w:tmpl w:val="0358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741C1"/>
    <w:multiLevelType w:val="hybridMultilevel"/>
    <w:tmpl w:val="7CE0406E"/>
    <w:lvl w:ilvl="0" w:tplc="5C08FC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044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06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0A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CF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E9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0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6B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ED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0F94"/>
    <w:multiLevelType w:val="hybridMultilevel"/>
    <w:tmpl w:val="C0F40990"/>
    <w:lvl w:ilvl="0" w:tplc="6F6059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FDF66"/>
    <w:multiLevelType w:val="hybridMultilevel"/>
    <w:tmpl w:val="429BE1A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6E6C6BF7"/>
    <w:multiLevelType w:val="hybridMultilevel"/>
    <w:tmpl w:val="A0463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1C"/>
    <w:rsid w:val="00001D75"/>
    <w:rsid w:val="000071D4"/>
    <w:rsid w:val="00020579"/>
    <w:rsid w:val="000321BC"/>
    <w:rsid w:val="000340EB"/>
    <w:rsid w:val="00051929"/>
    <w:rsid w:val="0005480E"/>
    <w:rsid w:val="000608B1"/>
    <w:rsid w:val="00086E7A"/>
    <w:rsid w:val="000A1879"/>
    <w:rsid w:val="000B608D"/>
    <w:rsid w:val="000C403C"/>
    <w:rsid w:val="000D050E"/>
    <w:rsid w:val="0011258C"/>
    <w:rsid w:val="00115A8B"/>
    <w:rsid w:val="00121DB0"/>
    <w:rsid w:val="00156D6D"/>
    <w:rsid w:val="001741E7"/>
    <w:rsid w:val="00184683"/>
    <w:rsid w:val="001C4445"/>
    <w:rsid w:val="001F3C2D"/>
    <w:rsid w:val="001F607E"/>
    <w:rsid w:val="001F61D7"/>
    <w:rsid w:val="00201379"/>
    <w:rsid w:val="002112C2"/>
    <w:rsid w:val="002215F8"/>
    <w:rsid w:val="002217F6"/>
    <w:rsid w:val="00223BEF"/>
    <w:rsid w:val="00240A85"/>
    <w:rsid w:val="00241568"/>
    <w:rsid w:val="0024292D"/>
    <w:rsid w:val="00245139"/>
    <w:rsid w:val="0024706C"/>
    <w:rsid w:val="002551CE"/>
    <w:rsid w:val="00257F1C"/>
    <w:rsid w:val="00265EF5"/>
    <w:rsid w:val="0027144C"/>
    <w:rsid w:val="0027391E"/>
    <w:rsid w:val="00274DC6"/>
    <w:rsid w:val="00282ACF"/>
    <w:rsid w:val="0029022C"/>
    <w:rsid w:val="002B140D"/>
    <w:rsid w:val="002C5F12"/>
    <w:rsid w:val="002D20AB"/>
    <w:rsid w:val="002D4C25"/>
    <w:rsid w:val="002D5FA2"/>
    <w:rsid w:val="002D722E"/>
    <w:rsid w:val="002F051C"/>
    <w:rsid w:val="002F4346"/>
    <w:rsid w:val="00302C11"/>
    <w:rsid w:val="003217EA"/>
    <w:rsid w:val="00331F9F"/>
    <w:rsid w:val="00340A69"/>
    <w:rsid w:val="003525F3"/>
    <w:rsid w:val="0035693B"/>
    <w:rsid w:val="0036101E"/>
    <w:rsid w:val="00376C7D"/>
    <w:rsid w:val="0038034E"/>
    <w:rsid w:val="00385634"/>
    <w:rsid w:val="0038730F"/>
    <w:rsid w:val="003A4EFD"/>
    <w:rsid w:val="003A504F"/>
    <w:rsid w:val="003B5288"/>
    <w:rsid w:val="003C13B7"/>
    <w:rsid w:val="003C507F"/>
    <w:rsid w:val="003D0910"/>
    <w:rsid w:val="003D29A9"/>
    <w:rsid w:val="003E0487"/>
    <w:rsid w:val="003F03EF"/>
    <w:rsid w:val="00411592"/>
    <w:rsid w:val="00434608"/>
    <w:rsid w:val="00444B8B"/>
    <w:rsid w:val="00447DE5"/>
    <w:rsid w:val="0045120F"/>
    <w:rsid w:val="004554D8"/>
    <w:rsid w:val="00462B88"/>
    <w:rsid w:val="00464DBC"/>
    <w:rsid w:val="00470C3E"/>
    <w:rsid w:val="0047414E"/>
    <w:rsid w:val="0048190F"/>
    <w:rsid w:val="0048596A"/>
    <w:rsid w:val="004945C3"/>
    <w:rsid w:val="004A0956"/>
    <w:rsid w:val="004A4A2E"/>
    <w:rsid w:val="004B13F9"/>
    <w:rsid w:val="004B3876"/>
    <w:rsid w:val="004D015D"/>
    <w:rsid w:val="004D4AB7"/>
    <w:rsid w:val="004D527F"/>
    <w:rsid w:val="005220A6"/>
    <w:rsid w:val="00546C2C"/>
    <w:rsid w:val="005516B5"/>
    <w:rsid w:val="0055346C"/>
    <w:rsid w:val="005641DB"/>
    <w:rsid w:val="0058144A"/>
    <w:rsid w:val="00585D66"/>
    <w:rsid w:val="005926F1"/>
    <w:rsid w:val="00594187"/>
    <w:rsid w:val="00597A83"/>
    <w:rsid w:val="005A7396"/>
    <w:rsid w:val="005D0CAB"/>
    <w:rsid w:val="005D25AA"/>
    <w:rsid w:val="005D35BF"/>
    <w:rsid w:val="005F014E"/>
    <w:rsid w:val="00606429"/>
    <w:rsid w:val="00613894"/>
    <w:rsid w:val="00621636"/>
    <w:rsid w:val="00621EAD"/>
    <w:rsid w:val="00622624"/>
    <w:rsid w:val="006253DA"/>
    <w:rsid w:val="00636C4D"/>
    <w:rsid w:val="0064565E"/>
    <w:rsid w:val="0064622D"/>
    <w:rsid w:val="00655C77"/>
    <w:rsid w:val="00665613"/>
    <w:rsid w:val="00670C5B"/>
    <w:rsid w:val="00695168"/>
    <w:rsid w:val="006A1EC7"/>
    <w:rsid w:val="006A2C50"/>
    <w:rsid w:val="006A7320"/>
    <w:rsid w:val="006B6442"/>
    <w:rsid w:val="006C0E42"/>
    <w:rsid w:val="006D551C"/>
    <w:rsid w:val="006F1592"/>
    <w:rsid w:val="0070150A"/>
    <w:rsid w:val="00707B13"/>
    <w:rsid w:val="00710995"/>
    <w:rsid w:val="007130E5"/>
    <w:rsid w:val="0076246C"/>
    <w:rsid w:val="00764313"/>
    <w:rsid w:val="007654FD"/>
    <w:rsid w:val="0077671F"/>
    <w:rsid w:val="00790DB6"/>
    <w:rsid w:val="00793202"/>
    <w:rsid w:val="007957D6"/>
    <w:rsid w:val="00797B7F"/>
    <w:rsid w:val="00797C4B"/>
    <w:rsid w:val="007B25A1"/>
    <w:rsid w:val="007C0A3A"/>
    <w:rsid w:val="007D56B6"/>
    <w:rsid w:val="007E2AA0"/>
    <w:rsid w:val="0080389E"/>
    <w:rsid w:val="0080442E"/>
    <w:rsid w:val="0081455C"/>
    <w:rsid w:val="008265EB"/>
    <w:rsid w:val="00846168"/>
    <w:rsid w:val="00855223"/>
    <w:rsid w:val="00896321"/>
    <w:rsid w:val="008971E9"/>
    <w:rsid w:val="008A00DC"/>
    <w:rsid w:val="008A11A2"/>
    <w:rsid w:val="008A3194"/>
    <w:rsid w:val="008A4A72"/>
    <w:rsid w:val="008E4465"/>
    <w:rsid w:val="00901884"/>
    <w:rsid w:val="0091275A"/>
    <w:rsid w:val="009170E8"/>
    <w:rsid w:val="00934AB4"/>
    <w:rsid w:val="00935526"/>
    <w:rsid w:val="00987397"/>
    <w:rsid w:val="00991C01"/>
    <w:rsid w:val="00996B8F"/>
    <w:rsid w:val="009A6D09"/>
    <w:rsid w:val="009B17F9"/>
    <w:rsid w:val="009B7ED8"/>
    <w:rsid w:val="009C681E"/>
    <w:rsid w:val="009D4051"/>
    <w:rsid w:val="009E7145"/>
    <w:rsid w:val="009F20FA"/>
    <w:rsid w:val="009F7316"/>
    <w:rsid w:val="009F7A57"/>
    <w:rsid w:val="00A0295B"/>
    <w:rsid w:val="00A032AE"/>
    <w:rsid w:val="00A13090"/>
    <w:rsid w:val="00A172B5"/>
    <w:rsid w:val="00A27C4A"/>
    <w:rsid w:val="00A30479"/>
    <w:rsid w:val="00A325D1"/>
    <w:rsid w:val="00A47559"/>
    <w:rsid w:val="00A507C8"/>
    <w:rsid w:val="00A52222"/>
    <w:rsid w:val="00A6696D"/>
    <w:rsid w:val="00A76981"/>
    <w:rsid w:val="00A770C9"/>
    <w:rsid w:val="00A8781B"/>
    <w:rsid w:val="00AA3B69"/>
    <w:rsid w:val="00AA41A1"/>
    <w:rsid w:val="00AC57D0"/>
    <w:rsid w:val="00AC7F66"/>
    <w:rsid w:val="00AD4E16"/>
    <w:rsid w:val="00AE7CE4"/>
    <w:rsid w:val="00B0353B"/>
    <w:rsid w:val="00B116D7"/>
    <w:rsid w:val="00B274A0"/>
    <w:rsid w:val="00B34B23"/>
    <w:rsid w:val="00B34FFC"/>
    <w:rsid w:val="00B41DCC"/>
    <w:rsid w:val="00B465D6"/>
    <w:rsid w:val="00B46E4C"/>
    <w:rsid w:val="00B60BD9"/>
    <w:rsid w:val="00B72859"/>
    <w:rsid w:val="00B75F5C"/>
    <w:rsid w:val="00B7754E"/>
    <w:rsid w:val="00BA1221"/>
    <w:rsid w:val="00BB55F2"/>
    <w:rsid w:val="00BB75E0"/>
    <w:rsid w:val="00BB7B67"/>
    <w:rsid w:val="00BD0DDB"/>
    <w:rsid w:val="00BD50D0"/>
    <w:rsid w:val="00BE208C"/>
    <w:rsid w:val="00BE2D3E"/>
    <w:rsid w:val="00BE6E14"/>
    <w:rsid w:val="00BE73FD"/>
    <w:rsid w:val="00BF3290"/>
    <w:rsid w:val="00C11DD5"/>
    <w:rsid w:val="00C34C07"/>
    <w:rsid w:val="00C3643C"/>
    <w:rsid w:val="00C70F07"/>
    <w:rsid w:val="00C766B0"/>
    <w:rsid w:val="00C76EAD"/>
    <w:rsid w:val="00C860E8"/>
    <w:rsid w:val="00C87528"/>
    <w:rsid w:val="00CA6F69"/>
    <w:rsid w:val="00CC6073"/>
    <w:rsid w:val="00CD5609"/>
    <w:rsid w:val="00CE1812"/>
    <w:rsid w:val="00CF074B"/>
    <w:rsid w:val="00D13413"/>
    <w:rsid w:val="00D17CFA"/>
    <w:rsid w:val="00D24153"/>
    <w:rsid w:val="00D2457E"/>
    <w:rsid w:val="00D32743"/>
    <w:rsid w:val="00D40EAD"/>
    <w:rsid w:val="00D51271"/>
    <w:rsid w:val="00D64C23"/>
    <w:rsid w:val="00D65136"/>
    <w:rsid w:val="00D66F84"/>
    <w:rsid w:val="00D71263"/>
    <w:rsid w:val="00D80637"/>
    <w:rsid w:val="00D9315B"/>
    <w:rsid w:val="00DA3815"/>
    <w:rsid w:val="00DB3FD3"/>
    <w:rsid w:val="00DC30B0"/>
    <w:rsid w:val="00DD5F83"/>
    <w:rsid w:val="00DD6CBF"/>
    <w:rsid w:val="00DE40C5"/>
    <w:rsid w:val="00DF0080"/>
    <w:rsid w:val="00DF43D4"/>
    <w:rsid w:val="00DF5767"/>
    <w:rsid w:val="00DF7F6A"/>
    <w:rsid w:val="00E04ACC"/>
    <w:rsid w:val="00E13AC9"/>
    <w:rsid w:val="00E20486"/>
    <w:rsid w:val="00E325C9"/>
    <w:rsid w:val="00E377EB"/>
    <w:rsid w:val="00E45ABA"/>
    <w:rsid w:val="00E45C1D"/>
    <w:rsid w:val="00E5596C"/>
    <w:rsid w:val="00E657C6"/>
    <w:rsid w:val="00E661D2"/>
    <w:rsid w:val="00E80303"/>
    <w:rsid w:val="00E9098F"/>
    <w:rsid w:val="00E95FE6"/>
    <w:rsid w:val="00E976AA"/>
    <w:rsid w:val="00EA1D6A"/>
    <w:rsid w:val="00EA5F92"/>
    <w:rsid w:val="00EB7C57"/>
    <w:rsid w:val="00EB7CC9"/>
    <w:rsid w:val="00ED1C68"/>
    <w:rsid w:val="00EE4A9A"/>
    <w:rsid w:val="00EF28BD"/>
    <w:rsid w:val="00EF2DFF"/>
    <w:rsid w:val="00F02550"/>
    <w:rsid w:val="00F158E0"/>
    <w:rsid w:val="00F170E4"/>
    <w:rsid w:val="00F17ABC"/>
    <w:rsid w:val="00F2508E"/>
    <w:rsid w:val="00F350F1"/>
    <w:rsid w:val="00F36F6D"/>
    <w:rsid w:val="00F518EE"/>
    <w:rsid w:val="00F553D8"/>
    <w:rsid w:val="00F57E57"/>
    <w:rsid w:val="00F84782"/>
    <w:rsid w:val="00FB5380"/>
    <w:rsid w:val="00FD4169"/>
    <w:rsid w:val="00FE52B9"/>
    <w:rsid w:val="00FE6FA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F0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2F0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2F051C"/>
    <w:pPr>
      <w:tabs>
        <w:tab w:val="center" w:pos="4513"/>
      </w:tabs>
      <w:spacing w:line="360" w:lineRule="auto"/>
      <w:jc w:val="center"/>
    </w:pPr>
    <w:rPr>
      <w:b/>
      <w:spacing w:val="-3"/>
      <w:sz w:val="23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F051C"/>
    <w:rPr>
      <w:rFonts w:ascii="Times New Roman" w:eastAsia="Times New Roman" w:hAnsi="Times New Roman" w:cs="Times New Roman"/>
      <w:b/>
      <w:spacing w:val="-3"/>
      <w:sz w:val="23"/>
      <w:szCs w:val="20"/>
      <w:lang w:val="en-GB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05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1C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2F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5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F0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5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2F051C"/>
  </w:style>
  <w:style w:type="paragraph" w:styleId="BodyTextIndent">
    <w:name w:val="Body Text Indent"/>
    <w:basedOn w:val="Normal"/>
    <w:link w:val="BodyTextIndentChar"/>
    <w:uiPriority w:val="99"/>
    <w:rsid w:val="00670C5B"/>
    <w:pPr>
      <w:suppressAutoHyphens w:val="0"/>
      <w:ind w:left="720"/>
    </w:pPr>
    <w:rPr>
      <w:rFonts w:eastAsia="MS Mincho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0C5B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624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24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F20F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F3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3C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519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519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F0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2F0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2F051C"/>
    <w:pPr>
      <w:tabs>
        <w:tab w:val="center" w:pos="4513"/>
      </w:tabs>
      <w:spacing w:line="360" w:lineRule="auto"/>
      <w:jc w:val="center"/>
    </w:pPr>
    <w:rPr>
      <w:b/>
      <w:spacing w:val="-3"/>
      <w:sz w:val="23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F051C"/>
    <w:rPr>
      <w:rFonts w:ascii="Times New Roman" w:eastAsia="Times New Roman" w:hAnsi="Times New Roman" w:cs="Times New Roman"/>
      <w:b/>
      <w:spacing w:val="-3"/>
      <w:sz w:val="23"/>
      <w:szCs w:val="20"/>
      <w:lang w:val="en-GB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05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1C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2F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5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F0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5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2F051C"/>
  </w:style>
  <w:style w:type="paragraph" w:styleId="BodyTextIndent">
    <w:name w:val="Body Text Indent"/>
    <w:basedOn w:val="Normal"/>
    <w:link w:val="BodyTextIndentChar"/>
    <w:uiPriority w:val="99"/>
    <w:rsid w:val="00670C5B"/>
    <w:pPr>
      <w:suppressAutoHyphens w:val="0"/>
      <w:ind w:left="720"/>
    </w:pPr>
    <w:rPr>
      <w:rFonts w:eastAsia="MS Mincho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0C5B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624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24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F20F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F3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3C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519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519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PAREXEL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Mika, Ondrej</dc:creator>
  <cp:lastModifiedBy>EncinasPlimlova, Petra</cp:lastModifiedBy>
  <cp:revision>3</cp:revision>
  <dcterms:created xsi:type="dcterms:W3CDTF">2018-02-20T13:51:00Z</dcterms:created>
  <dcterms:modified xsi:type="dcterms:W3CDTF">2018-02-20T13:53:00Z</dcterms:modified>
</cp:coreProperties>
</file>