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852" w:rsidRDefault="00855D94">
      <w:pPr>
        <w:pStyle w:val="Nadpis10"/>
        <w:keepNext/>
        <w:keepLines/>
        <w:shd w:val="clear" w:color="auto" w:fill="auto"/>
      </w:pPr>
      <w:bookmarkStart w:id="0" w:name="bookmark0"/>
      <w:r>
        <w:t>DODATEK č. 1 ke smlouvě o dílo</w:t>
      </w:r>
      <w:bookmarkEnd w:id="0"/>
    </w:p>
    <w:p w:rsidR="008A2852" w:rsidRDefault="00855D94">
      <w:pPr>
        <w:pStyle w:val="Zkladntext1"/>
        <w:shd w:val="clear" w:color="auto" w:fill="auto"/>
        <w:spacing w:after="540" w:line="240" w:lineRule="auto"/>
        <w:jc w:val="center"/>
      </w:pPr>
      <w:r>
        <w:t>Čj. objednatele: NG/2076/2017</w:t>
      </w:r>
    </w:p>
    <w:p w:rsidR="008A2852" w:rsidRDefault="00855D94">
      <w:pPr>
        <w:pStyle w:val="Nadpis30"/>
        <w:keepNext/>
        <w:keepLines/>
        <w:shd w:val="clear" w:color="auto" w:fill="auto"/>
        <w:spacing w:after="280"/>
      </w:pPr>
      <w:bookmarkStart w:id="1" w:name="bookmark1"/>
      <w:r>
        <w:t>Smluvní strany</w:t>
      </w:r>
      <w:bookmarkEnd w:id="1"/>
    </w:p>
    <w:p w:rsidR="008A2852" w:rsidRDefault="00855D94">
      <w:pPr>
        <w:pStyle w:val="Nadpis30"/>
        <w:keepNext/>
        <w:keepLines/>
        <w:shd w:val="clear" w:color="auto" w:fill="auto"/>
      </w:pPr>
      <w:bookmarkStart w:id="2" w:name="bookmark2"/>
      <w:r>
        <w:rPr>
          <w:u w:val="single"/>
        </w:rPr>
        <w:t>Objednatel:</w:t>
      </w:r>
      <w:bookmarkEnd w:id="2"/>
    </w:p>
    <w:p w:rsidR="008A2852" w:rsidRDefault="00855D94">
      <w:pPr>
        <w:pStyle w:val="Zkladntext1"/>
        <w:shd w:val="clear" w:color="auto" w:fill="auto"/>
        <w:spacing w:line="240" w:lineRule="auto"/>
        <w:jc w:val="left"/>
      </w:pPr>
      <w:r>
        <w:rPr>
          <w:b/>
          <w:bCs/>
        </w:rPr>
        <w:t>Národní galerie v Praze</w:t>
      </w:r>
    </w:p>
    <w:p w:rsidR="008A2852" w:rsidRDefault="00855D94">
      <w:pPr>
        <w:pStyle w:val="Zkladntext1"/>
        <w:shd w:val="clear" w:color="auto" w:fill="auto"/>
        <w:spacing w:line="240" w:lineRule="auto"/>
        <w:jc w:val="left"/>
      </w:pPr>
      <w:r>
        <w:t>Se sídlem: Staroměstské nám. 606/12,110 15 Praha 1</w:t>
      </w:r>
    </w:p>
    <w:p w:rsidR="008A2852" w:rsidRDefault="00855D94">
      <w:pPr>
        <w:pStyle w:val="Zkladntext1"/>
        <w:shd w:val="clear" w:color="auto" w:fill="auto"/>
        <w:spacing w:line="240" w:lineRule="auto"/>
        <w:jc w:val="left"/>
      </w:pPr>
      <w:r>
        <w:t>Jednající: Doc. Dr. et Ing. Jiřím Fajtem, Ph.D., generálním ředitelem</w:t>
      </w:r>
    </w:p>
    <w:p w:rsidR="008A2852" w:rsidRDefault="00855D94">
      <w:pPr>
        <w:pStyle w:val="Zkladntext1"/>
        <w:shd w:val="clear" w:color="auto" w:fill="auto"/>
        <w:spacing w:line="240" w:lineRule="auto"/>
        <w:jc w:val="left"/>
      </w:pPr>
      <w:r>
        <w:t xml:space="preserve">IČ: 00023281, DIČ: </w:t>
      </w:r>
      <w:r>
        <w:t>CZ00023281</w:t>
      </w:r>
    </w:p>
    <w:p w:rsidR="008A2852" w:rsidRDefault="00855D94">
      <w:pPr>
        <w:pStyle w:val="Zkladntext1"/>
        <w:shd w:val="clear" w:color="auto" w:fill="auto"/>
        <w:spacing w:line="240" w:lineRule="auto"/>
        <w:jc w:val="left"/>
      </w:pPr>
      <w:r>
        <w:t xml:space="preserve">Bankovní spojení: </w:t>
      </w:r>
      <w:r w:rsidR="009A567C">
        <w:t>XXXXXXXXXXXXXXXXX</w:t>
      </w:r>
    </w:p>
    <w:p w:rsidR="008A2852" w:rsidRDefault="00855D94">
      <w:pPr>
        <w:pStyle w:val="Zkladntext1"/>
        <w:shd w:val="clear" w:color="auto" w:fill="auto"/>
        <w:spacing w:line="240" w:lineRule="auto"/>
        <w:jc w:val="left"/>
      </w:pPr>
      <w:r>
        <w:t xml:space="preserve">Číslo účtu: </w:t>
      </w:r>
      <w:r w:rsidR="009A567C">
        <w:t>XXXXXXXXXXXXXXXXX</w:t>
      </w:r>
    </w:p>
    <w:p w:rsidR="008A2852" w:rsidRDefault="00855D94">
      <w:pPr>
        <w:pStyle w:val="Zkladntext1"/>
        <w:shd w:val="clear" w:color="auto" w:fill="auto"/>
        <w:spacing w:after="280" w:line="240" w:lineRule="auto"/>
        <w:jc w:val="left"/>
      </w:pPr>
      <w:r>
        <w:t xml:space="preserve">(dále jen </w:t>
      </w:r>
      <w:r>
        <w:rPr>
          <w:b/>
          <w:bCs/>
        </w:rPr>
        <w:t>"objednatel")</w:t>
      </w:r>
    </w:p>
    <w:p w:rsidR="008A2852" w:rsidRDefault="00855D94">
      <w:pPr>
        <w:pStyle w:val="Nadpis30"/>
        <w:keepNext/>
        <w:keepLines/>
        <w:shd w:val="clear" w:color="auto" w:fill="auto"/>
        <w:spacing w:after="280"/>
      </w:pPr>
      <w:bookmarkStart w:id="3" w:name="bookmark3"/>
      <w:r>
        <w:t>a</w:t>
      </w:r>
      <w:bookmarkEnd w:id="3"/>
    </w:p>
    <w:p w:rsidR="008A2852" w:rsidRDefault="00855D94">
      <w:pPr>
        <w:pStyle w:val="Nadpis30"/>
        <w:keepNext/>
        <w:keepLines/>
        <w:shd w:val="clear" w:color="auto" w:fill="auto"/>
        <w:spacing w:line="259" w:lineRule="auto"/>
      </w:pPr>
      <w:bookmarkStart w:id="4" w:name="bookmark4"/>
      <w:r>
        <w:rPr>
          <w:u w:val="single"/>
        </w:rPr>
        <w:t>Zhotovitel:</w:t>
      </w:r>
      <w:bookmarkEnd w:id="4"/>
    </w:p>
    <w:p w:rsidR="008A2852" w:rsidRDefault="00855D94">
      <w:pPr>
        <w:pStyle w:val="Zkladntext1"/>
        <w:shd w:val="clear" w:color="auto" w:fill="auto"/>
        <w:jc w:val="left"/>
      </w:pPr>
      <w:r>
        <w:rPr>
          <w:b/>
          <w:bCs/>
        </w:rPr>
        <w:t>A-Z Bau s.r.o</w:t>
      </w:r>
    </w:p>
    <w:p w:rsidR="008A2852" w:rsidRDefault="00855D94">
      <w:pPr>
        <w:pStyle w:val="Zkladntext1"/>
        <w:shd w:val="clear" w:color="auto" w:fill="auto"/>
        <w:jc w:val="left"/>
      </w:pPr>
      <w:r>
        <w:t>Se sídlem: Nad Stanicí 10,162 00 Praha 6</w:t>
      </w:r>
    </w:p>
    <w:p w:rsidR="008A2852" w:rsidRDefault="00855D94">
      <w:pPr>
        <w:pStyle w:val="Zkladntext1"/>
        <w:shd w:val="clear" w:color="auto" w:fill="auto"/>
        <w:jc w:val="left"/>
      </w:pPr>
      <w:r>
        <w:t>IČ: 63072238, DIČ: CZ63072238</w:t>
      </w:r>
    </w:p>
    <w:p w:rsidR="009A567C" w:rsidRDefault="00855D94">
      <w:pPr>
        <w:pStyle w:val="Zkladntext1"/>
        <w:shd w:val="clear" w:color="auto" w:fill="auto"/>
        <w:ind w:right="1220"/>
        <w:jc w:val="left"/>
      </w:pPr>
      <w:r>
        <w:t xml:space="preserve">Zapsaná v obchodním rejstříku vedeném Městským soudem v Praze, </w:t>
      </w:r>
      <w:r>
        <w:rPr>
          <w:lang w:val="en-US" w:eastAsia="en-US" w:bidi="en-US"/>
        </w:rPr>
        <w:t xml:space="preserve">odd. </w:t>
      </w:r>
      <w:r>
        <w:t xml:space="preserve">C vl. 35858 Bankovní spojení: </w:t>
      </w:r>
      <w:r w:rsidR="009A567C">
        <w:t>XXXXXXXXXXXXX</w:t>
      </w:r>
      <w:r>
        <w:t xml:space="preserve"> </w:t>
      </w:r>
    </w:p>
    <w:p w:rsidR="008A2852" w:rsidRDefault="009A567C">
      <w:pPr>
        <w:pStyle w:val="Zkladntext1"/>
        <w:shd w:val="clear" w:color="auto" w:fill="auto"/>
        <w:ind w:right="1220"/>
        <w:jc w:val="left"/>
      </w:pPr>
      <w:r>
        <w:t>Číslo účtu: XXXXXXXXXXXXXXXXX</w:t>
      </w:r>
    </w:p>
    <w:p w:rsidR="008A2852" w:rsidRDefault="00855D94">
      <w:pPr>
        <w:pStyle w:val="Zkladntext1"/>
        <w:shd w:val="clear" w:color="auto" w:fill="auto"/>
        <w:jc w:val="left"/>
      </w:pPr>
      <w:r>
        <w:t>Zastoupená: Rudolfem Čamborem, jednatelem společnosti</w:t>
      </w:r>
    </w:p>
    <w:p w:rsidR="008A2852" w:rsidRDefault="00855D94">
      <w:pPr>
        <w:pStyle w:val="Zkladntext1"/>
        <w:shd w:val="clear" w:color="auto" w:fill="auto"/>
        <w:spacing w:after="800"/>
        <w:jc w:val="left"/>
      </w:pPr>
      <w:r>
        <w:t xml:space="preserve">(dále jen </w:t>
      </w:r>
      <w:r>
        <w:rPr>
          <w:b/>
          <w:bCs/>
        </w:rPr>
        <w:t>"zhotovitel")</w:t>
      </w:r>
    </w:p>
    <w:p w:rsidR="008A2852" w:rsidRDefault="00855D94">
      <w:pPr>
        <w:pStyle w:val="Zkladntext1"/>
        <w:shd w:val="clear" w:color="auto" w:fill="auto"/>
        <w:spacing w:after="260"/>
      </w:pPr>
      <w:r>
        <w:t xml:space="preserve">Smluvní strany uzavřely dne 11. 10. 2017 </w:t>
      </w:r>
      <w:r>
        <w:t xml:space="preserve">smlouvu o dílo č. NG/2076/2017, jejímž předmětem je závazek zhotovitele provést pro objednatele dílo </w:t>
      </w:r>
      <w:r>
        <w:rPr>
          <w:b/>
          <w:bCs/>
        </w:rPr>
        <w:t>„</w:t>
      </w:r>
      <w:r>
        <w:rPr>
          <w:b/>
          <w:bCs/>
          <w:u w:val="single"/>
        </w:rPr>
        <w:t>Havarijní oprava střešní krytiny kaple sv. Barbory, presbytáře sv. Františka a kaple Panny Marie"</w:t>
      </w:r>
      <w:r>
        <w:rPr>
          <w:b/>
          <w:bCs/>
        </w:rPr>
        <w:t xml:space="preserve"> </w:t>
      </w:r>
      <w:r>
        <w:t>dle nabídky ze dne 14. 9. 2017 podané ve výběrovém řízen</w:t>
      </w:r>
      <w:r>
        <w:t>í na veřejnou zakázku malého rozsahu a dle položkového rozpočtu (výkazu výměr).</w:t>
      </w:r>
    </w:p>
    <w:p w:rsidR="008A2852" w:rsidRDefault="00855D94">
      <w:pPr>
        <w:pStyle w:val="Zkladntext1"/>
        <w:shd w:val="clear" w:color="auto" w:fill="auto"/>
        <w:spacing w:after="260"/>
        <w:jc w:val="left"/>
      </w:pPr>
      <w:r>
        <w:t>Tento dodatek je uzavírán ve smyslu změny termínu plnění čl. V, bodu 3 Smlouvy.</w:t>
      </w:r>
    </w:p>
    <w:p w:rsidR="008A2852" w:rsidRDefault="00855D94">
      <w:pPr>
        <w:pStyle w:val="Nadpis30"/>
        <w:keepNext/>
        <w:keepLines/>
        <w:shd w:val="clear" w:color="auto" w:fill="auto"/>
        <w:spacing w:line="259" w:lineRule="auto"/>
      </w:pPr>
      <w:bookmarkStart w:id="5" w:name="bookmark5"/>
      <w:r>
        <w:t>I.</w:t>
      </w:r>
      <w:bookmarkEnd w:id="5"/>
    </w:p>
    <w:p w:rsidR="008A2852" w:rsidRDefault="00855D94">
      <w:pPr>
        <w:pStyle w:val="Zkladntext1"/>
        <w:shd w:val="clear" w:color="auto" w:fill="auto"/>
        <w:spacing w:after="260"/>
        <w:jc w:val="left"/>
      </w:pPr>
      <w:r>
        <w:rPr>
          <w:b/>
          <w:bCs/>
          <w:u w:val="single"/>
        </w:rPr>
        <w:t>Předmět dodatku</w:t>
      </w:r>
    </w:p>
    <w:p w:rsidR="008A2852" w:rsidRDefault="00855D94">
      <w:pPr>
        <w:pStyle w:val="Zkladntext1"/>
        <w:shd w:val="clear" w:color="auto" w:fill="auto"/>
      </w:pPr>
      <w:r>
        <w:t>Předmětem tohoto Dodatku je změna termínu dokončení realizace díla dle Smlouvy z důvodů ze strany Objednatele v kombinaci s nepřízní podzimního počasí. Dne 9. 10. 2017 v den předání staveniště a zahájení přípravy stavebních prací dle SoD byla současné zahá</w:t>
      </w:r>
      <w:r>
        <w:t xml:space="preserve">jena příprava stavby pro veřejnost </w:t>
      </w:r>
      <w:r>
        <w:rPr>
          <w:lang w:val="en-US" w:eastAsia="en-US" w:bidi="en-US"/>
        </w:rPr>
        <w:t xml:space="preserve">Signal </w:t>
      </w:r>
      <w:r>
        <w:t>Festival 2017, skutečnost byla známa. Došlo ale k prostorové kolizi v zahradách Anežského kláštera. Pomocné příhradové konstrukce pro umístění světel připravovaného festivalu plně zahradily vjezd do areálu Anežskéh</w:t>
      </w:r>
      <w:r>
        <w:t>o kláštera, tím byla znemožněna dopravní cesta pro zásobování staveniště pro zahájenou opravu střech. Zdržení zahájení stavby bylo 11 dnů. Další zdržení stavby 5 dnů proběhlo v době, kdy se prováděla demontáž stávající vzduchotechnické jednotky umístěné ve</w:t>
      </w:r>
      <w:r>
        <w:t xml:space="preserve"> střeše těsně sousedící se střechou opravovanou. Demontáž stávající a montáž nové jednotky VZT si vyžádaly manipulační prostor ve stejném místě, kde bylo zařízení staveniště pro opravu střech. Bylo nutné zrušit zařízení staveniště opravy střech a po dokonč</w:t>
      </w:r>
      <w:r>
        <w:t>ených montáží</w:t>
      </w:r>
      <w:r>
        <w:br w:type="page"/>
      </w:r>
    </w:p>
    <w:p w:rsidR="008A2852" w:rsidRDefault="00855D94">
      <w:pPr>
        <w:pStyle w:val="Zkladntext1"/>
        <w:shd w:val="clear" w:color="auto" w:fill="auto"/>
        <w:spacing w:after="260"/>
      </w:pPr>
      <w:r>
        <w:lastRenderedPageBreak/>
        <w:t>VZT jednotky opět zařízení staveniště zřídit. Další zdržení přišlo s podzimním počasím, které přineslo nárazový déšť a vichřici. V těchto celkem 7 dnech byla práce na střeše znemožněna. Vzhledem k potřebě Objednatele dodržet termín se bohuže</w:t>
      </w:r>
      <w:r>
        <w:t xml:space="preserve">l tento požadavek zvýše popsaných důvodů nepodařil. Přehodnocení postupu prací si vynutilo změnu původního harmonogramu a má tudíž dopad na celkový termín dokončení dodávek. Dodatek se sjednává za účelem změny čl. V odst. 3 věta druhá a čl. </w:t>
      </w:r>
      <w:r>
        <w:rPr>
          <w:lang w:val="en-US" w:eastAsia="en-US" w:bidi="en-US"/>
        </w:rPr>
        <w:t xml:space="preserve">III. </w:t>
      </w:r>
      <w:r>
        <w:t>odst. 1 Sm</w:t>
      </w:r>
      <w:r>
        <w:t>louvy.</w:t>
      </w:r>
    </w:p>
    <w:p w:rsidR="008A2852" w:rsidRDefault="00855D94">
      <w:pPr>
        <w:pStyle w:val="Nadpis30"/>
        <w:keepNext/>
        <w:keepLines/>
        <w:shd w:val="clear" w:color="auto" w:fill="auto"/>
        <w:ind w:left="420" w:hanging="420"/>
        <w:jc w:val="both"/>
      </w:pPr>
      <w:bookmarkStart w:id="6" w:name="bookmark6"/>
      <w:r>
        <w:t>II.</w:t>
      </w:r>
      <w:bookmarkEnd w:id="6"/>
    </w:p>
    <w:p w:rsidR="008A2852" w:rsidRDefault="00855D94">
      <w:pPr>
        <w:pStyle w:val="Zkladntext1"/>
        <w:shd w:val="clear" w:color="auto" w:fill="auto"/>
        <w:spacing w:after="540" w:line="240" w:lineRule="auto"/>
        <w:ind w:left="420" w:hanging="420"/>
      </w:pPr>
      <w:r>
        <w:rPr>
          <w:b/>
          <w:bCs/>
          <w:u w:val="single"/>
        </w:rPr>
        <w:t>Změna termínu plnění</w:t>
      </w:r>
    </w:p>
    <w:p w:rsidR="008A2852" w:rsidRDefault="00855D94">
      <w:pPr>
        <w:pStyle w:val="Zkladntext1"/>
        <w:shd w:val="clear" w:color="auto" w:fill="auto"/>
        <w:spacing w:after="260"/>
      </w:pPr>
      <w:r>
        <w:t xml:space="preserve">Termín dokončení a předání díla dle článku V. odst. 2 věta druhá Smlouvy se nově sjednává na 28. </w:t>
      </w:r>
      <w:r>
        <w:rPr>
          <w:b/>
          <w:bCs/>
        </w:rPr>
        <w:t xml:space="preserve">2. 2018 </w:t>
      </w:r>
      <w:r>
        <w:t>(z původního termínu 31.12. 2017).</w:t>
      </w:r>
    </w:p>
    <w:p w:rsidR="008A2852" w:rsidRDefault="00855D94">
      <w:pPr>
        <w:pStyle w:val="Zkladntext1"/>
        <w:shd w:val="clear" w:color="auto" w:fill="auto"/>
        <w:spacing w:after="800"/>
        <w:ind w:left="420" w:hanging="420"/>
      </w:pPr>
      <w:r>
        <w:t>Ostatní ujednání Smlouvy tímto Dodatkem nedotčená zůstávají beze změny.</w:t>
      </w:r>
    </w:p>
    <w:p w:rsidR="008A2852" w:rsidRDefault="00855D94">
      <w:pPr>
        <w:pStyle w:val="Nadpis30"/>
        <w:keepNext/>
        <w:keepLines/>
        <w:shd w:val="clear" w:color="auto" w:fill="auto"/>
        <w:ind w:left="420" w:hanging="420"/>
        <w:jc w:val="both"/>
      </w:pPr>
      <w:bookmarkStart w:id="7" w:name="bookmark7"/>
      <w:r>
        <w:rPr>
          <w:lang w:val="en-US" w:eastAsia="en-US" w:bidi="en-US"/>
        </w:rPr>
        <w:t>III.</w:t>
      </w:r>
      <w:bookmarkEnd w:id="7"/>
    </w:p>
    <w:p w:rsidR="008A2852" w:rsidRDefault="00855D94">
      <w:pPr>
        <w:pStyle w:val="Zkladntext1"/>
        <w:shd w:val="clear" w:color="auto" w:fill="auto"/>
        <w:spacing w:after="260" w:line="240" w:lineRule="auto"/>
        <w:ind w:left="420" w:hanging="420"/>
      </w:pPr>
      <w:r>
        <w:rPr>
          <w:b/>
          <w:bCs/>
          <w:u w:val="single"/>
        </w:rPr>
        <w:t>Závěrečná ustanovení</w:t>
      </w:r>
    </w:p>
    <w:p w:rsidR="008A2852" w:rsidRDefault="00855D94">
      <w:pPr>
        <w:pStyle w:val="Zkladntext1"/>
        <w:numPr>
          <w:ilvl w:val="0"/>
          <w:numId w:val="1"/>
        </w:numPr>
        <w:shd w:val="clear" w:color="auto" w:fill="auto"/>
        <w:tabs>
          <w:tab w:val="left" w:pos="412"/>
        </w:tabs>
        <w:ind w:left="420" w:hanging="420"/>
      </w:pPr>
      <w:r>
        <w:t>Tento dodatek je vyhotoven ve 4 vyhotoveních s platností originálu, každá smluvní strana obdrží 2 vzájemně potvrzená vyhotovení tohoto Dodatku.</w:t>
      </w:r>
    </w:p>
    <w:p w:rsidR="008A2852" w:rsidRDefault="00855D94">
      <w:pPr>
        <w:pStyle w:val="Zkladntext1"/>
        <w:numPr>
          <w:ilvl w:val="0"/>
          <w:numId w:val="1"/>
        </w:numPr>
        <w:shd w:val="clear" w:color="auto" w:fill="auto"/>
        <w:tabs>
          <w:tab w:val="left" w:pos="412"/>
        </w:tabs>
        <w:ind w:left="420" w:hanging="420"/>
      </w:pPr>
      <w:r>
        <w:t>Tento Dodatek nabývá platnosti a účinnosti dnem zveřejnění v registru smluv dle zákona č. 3</w:t>
      </w:r>
      <w:r>
        <w:t>40/2015 Sb., přičemž zveřejnění provede objednatel.</w:t>
      </w:r>
    </w:p>
    <w:p w:rsidR="008A2852" w:rsidRDefault="00855D94">
      <w:pPr>
        <w:pStyle w:val="Zkladntext1"/>
        <w:numPr>
          <w:ilvl w:val="0"/>
          <w:numId w:val="1"/>
        </w:numPr>
        <w:shd w:val="clear" w:color="auto" w:fill="auto"/>
        <w:tabs>
          <w:tab w:val="left" w:pos="412"/>
        </w:tabs>
        <w:spacing w:after="680"/>
        <w:ind w:left="420" w:hanging="420"/>
      </w:pPr>
      <w:r>
        <w:t>Smluvní strany po přečtení tohoto Dodatku prohlašují, že byl sepsán na základě jejich svobodné vůle, určitě, jasně a srozumitelně, nikoli v tísni za nápadně nevýhodných podmínek, a že proti němu nemají ná</w:t>
      </w:r>
      <w:r>
        <w:t>mitek.</w:t>
      </w:r>
      <w:bookmarkStart w:id="8" w:name="_GoBack"/>
      <w:bookmarkEnd w:id="8"/>
    </w:p>
    <w:p w:rsidR="009A567C" w:rsidRDefault="009A567C">
      <w:pPr>
        <w:pStyle w:val="Zkladntext1"/>
        <w:shd w:val="clear" w:color="auto" w:fill="auto"/>
        <w:tabs>
          <w:tab w:val="left" w:leader="dot" w:pos="2570"/>
        </w:tabs>
        <w:spacing w:line="240" w:lineRule="auto"/>
        <w:ind w:left="420" w:hanging="420"/>
      </w:pPr>
    </w:p>
    <w:p w:rsidR="008A2852" w:rsidRDefault="00855D94">
      <w:pPr>
        <w:pStyle w:val="Zkladntext1"/>
        <w:shd w:val="clear" w:color="auto" w:fill="auto"/>
        <w:tabs>
          <w:tab w:val="left" w:leader="dot" w:pos="2570"/>
        </w:tabs>
        <w:spacing w:line="240" w:lineRule="auto"/>
        <w:ind w:left="420" w:hanging="420"/>
        <w:sectPr w:rsidR="008A2852">
          <w:footerReference w:type="default" r:id="rId7"/>
          <w:pgSz w:w="11900" w:h="16840"/>
          <w:pgMar w:top="1644" w:right="1321" w:bottom="1503" w:left="1737" w:header="1216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4277360</wp:posOffset>
                </wp:positionH>
                <wp:positionV relativeFrom="paragraph">
                  <wp:posOffset>15240</wp:posOffset>
                </wp:positionV>
                <wp:extent cx="2360930" cy="3657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2852" w:rsidRDefault="00855D9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V Praze dne</w:t>
                            </w:r>
                            <w:r w:rsidR="009A567C">
                              <w:t xml:space="preserve">  29. 12. 2017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6.8pt;margin-top:1.2pt;width:185.9pt;height:28.8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" filled="f" stroked="f">
                <v:textbox inset="0,0,0,0">
                  <w:txbxContent>
                    <w:p w:rsidR="008A2852" w:rsidRDefault="00855D94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V Praze dne</w:t>
                      </w:r>
                      <w:r w:rsidR="009A567C">
                        <w:t xml:space="preserve">  29. 12. 2017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dne</w:t>
      </w:r>
      <w:r w:rsidR="009A567C">
        <w:t xml:space="preserve">    29. 12. 2017</w:t>
      </w:r>
    </w:p>
    <w:p w:rsidR="008A2852" w:rsidRDefault="008A2852">
      <w:pPr>
        <w:spacing w:before="83" w:after="83" w:line="240" w:lineRule="exact"/>
        <w:rPr>
          <w:sz w:val="19"/>
          <w:szCs w:val="19"/>
        </w:rPr>
      </w:pPr>
    </w:p>
    <w:p w:rsidR="008A2852" w:rsidRDefault="008A2852">
      <w:pPr>
        <w:spacing w:line="14" w:lineRule="exact"/>
        <w:sectPr w:rsidR="008A2852">
          <w:type w:val="continuous"/>
          <w:pgSz w:w="11900" w:h="16840"/>
          <w:pgMar w:top="1488" w:right="0" w:bottom="1183" w:left="0" w:header="0" w:footer="3" w:gutter="0"/>
          <w:cols w:space="720"/>
          <w:noEndnote/>
          <w:docGrid w:linePitch="360"/>
        </w:sectPr>
      </w:pPr>
    </w:p>
    <w:p w:rsidR="008A2852" w:rsidRDefault="008A2852" w:rsidP="009A567C">
      <w:pPr>
        <w:pStyle w:val="Titulekobrzku0"/>
        <w:framePr w:w="2308" w:h="1019" w:wrap="none" w:vAnchor="text" w:hAnchor="page" w:x="7655" w:y="1756"/>
        <w:shd w:val="clear" w:color="auto" w:fill="auto"/>
        <w:spacing w:line="197" w:lineRule="auto"/>
        <w:jc w:val="center"/>
        <w:rPr>
          <w:sz w:val="18"/>
          <w:szCs w:val="18"/>
        </w:rPr>
      </w:pPr>
    </w:p>
    <w:p w:rsidR="008A2852" w:rsidRDefault="008A2852">
      <w:pPr>
        <w:spacing w:line="360" w:lineRule="exact"/>
      </w:pPr>
    </w:p>
    <w:p w:rsidR="008A2852" w:rsidRDefault="008A2852">
      <w:pPr>
        <w:spacing w:line="360" w:lineRule="exact"/>
      </w:pPr>
    </w:p>
    <w:p w:rsidR="008A2852" w:rsidRDefault="008A2852">
      <w:pPr>
        <w:spacing w:line="360" w:lineRule="exact"/>
      </w:pPr>
    </w:p>
    <w:p w:rsidR="009A567C" w:rsidRDefault="009A567C" w:rsidP="009A567C">
      <w:pPr>
        <w:pStyle w:val="Titulekobrzku0"/>
        <w:framePr w:w="7614" w:h="602" w:wrap="none" w:vAnchor="text" w:hAnchor="page" w:x="1679" w:y="24"/>
        <w:shd w:val="clear" w:color="auto" w:fill="auto"/>
        <w:spacing w:line="240" w:lineRule="auto"/>
        <w:rPr>
          <w:rFonts w:ascii="Calibri" w:eastAsia="Calibri" w:hAnsi="Calibri" w:cs="Calibri"/>
          <w:b w:val="0"/>
          <w:bCs w:val="0"/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sz w:val="20"/>
          <w:szCs w:val="20"/>
        </w:rPr>
        <w:t xml:space="preserve">     Jiří Fajt</w:t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  <w:t>Rudolf Čambor</w:t>
      </w:r>
    </w:p>
    <w:p w:rsidR="009A567C" w:rsidRDefault="009A567C" w:rsidP="009A567C">
      <w:pPr>
        <w:pStyle w:val="Titulekobrzku0"/>
        <w:framePr w:w="7614" w:h="602" w:wrap="none" w:vAnchor="text" w:hAnchor="page" w:x="1679" w:y="24"/>
        <w:shd w:val="clear" w:color="auto" w:fill="auto"/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sz w:val="20"/>
          <w:szCs w:val="20"/>
        </w:rPr>
        <w:t xml:space="preserve">     generální ředitel</w:t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  <w:t>jednatel společnosti</w:t>
      </w:r>
    </w:p>
    <w:p w:rsidR="008A2852" w:rsidRDefault="008A2852">
      <w:pPr>
        <w:spacing w:line="360" w:lineRule="exact"/>
      </w:pPr>
    </w:p>
    <w:p w:rsidR="008A2852" w:rsidRDefault="008A2852">
      <w:pPr>
        <w:spacing w:line="360" w:lineRule="exact"/>
      </w:pPr>
    </w:p>
    <w:p w:rsidR="008A2852" w:rsidRDefault="008A2852">
      <w:pPr>
        <w:spacing w:line="360" w:lineRule="exact"/>
      </w:pPr>
    </w:p>
    <w:p w:rsidR="008A2852" w:rsidRDefault="008A2852">
      <w:pPr>
        <w:spacing w:line="360" w:lineRule="exact"/>
      </w:pPr>
    </w:p>
    <w:p w:rsidR="008A2852" w:rsidRDefault="008A2852">
      <w:pPr>
        <w:spacing w:after="497" w:line="14" w:lineRule="exact"/>
      </w:pPr>
    </w:p>
    <w:p w:rsidR="008A2852" w:rsidRDefault="008A2852">
      <w:pPr>
        <w:spacing w:line="14" w:lineRule="exact"/>
      </w:pPr>
    </w:p>
    <w:sectPr w:rsidR="008A2852">
      <w:type w:val="continuous"/>
      <w:pgSz w:w="11900" w:h="16840"/>
      <w:pgMar w:top="1488" w:right="1319" w:bottom="1183" w:left="17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D94" w:rsidRDefault="00855D94">
      <w:r>
        <w:separator/>
      </w:r>
    </w:p>
  </w:endnote>
  <w:endnote w:type="continuationSeparator" w:id="0">
    <w:p w:rsidR="00855D94" w:rsidRDefault="0085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852" w:rsidRDefault="00855D9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3890010</wp:posOffset>
              </wp:positionH>
              <wp:positionV relativeFrom="page">
                <wp:posOffset>9977755</wp:posOffset>
              </wp:positionV>
              <wp:extent cx="25400" cy="844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2852" w:rsidRDefault="00855D9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A567C" w:rsidRPr="009A567C">
                            <w:rPr>
                              <w:rFonts w:ascii="Calibri" w:eastAsia="Calibri" w:hAnsi="Calibri" w:cs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06.3pt;margin-top:785.65pt;width:2pt;height:6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" filled="f" stroked="f">
              <v:textbox style="mso-fit-shape-to-text:t" inset="0,0,0,0">
                <w:txbxContent>
                  <w:p w:rsidR="008A2852" w:rsidRDefault="00855D94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A567C" w:rsidRPr="009A567C">
                      <w:rPr>
                        <w:rFonts w:ascii="Calibri" w:eastAsia="Calibri" w:hAnsi="Calibri" w:cs="Calibri"/>
                        <w:noProof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D94" w:rsidRDefault="00855D94"/>
  </w:footnote>
  <w:footnote w:type="continuationSeparator" w:id="0">
    <w:p w:rsidR="00855D94" w:rsidRDefault="00855D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76119"/>
    <w:multiLevelType w:val="multilevel"/>
    <w:tmpl w:val="999A411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52"/>
    <w:rsid w:val="00855D94"/>
    <w:rsid w:val="008A2852"/>
    <w:rsid w:val="009A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F8B8"/>
  <w15:docId w15:val="{55E52D4F-5E95-48E3-B7E5-EC381DF5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360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ind w:left="118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9" w:lineRule="auto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kopirka2.VP-20180305144122</dc:title>
  <dc:subject/>
  <dc:creator/>
  <cp:keywords/>
  <cp:lastModifiedBy>Zdenka Šímová</cp:lastModifiedBy>
  <cp:revision>2</cp:revision>
  <dcterms:created xsi:type="dcterms:W3CDTF">2018-03-06T09:48:00Z</dcterms:created>
  <dcterms:modified xsi:type="dcterms:W3CDTF">2018-03-06T09:53:00Z</dcterms:modified>
</cp:coreProperties>
</file>