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D7" w:rsidRDefault="00D361D7" w:rsidP="00D361D7">
      <w:pPr>
        <w:pStyle w:val="Nzev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Smlouva o spolupráci</w:t>
      </w:r>
    </w:p>
    <w:p w:rsidR="00D361D7" w:rsidRDefault="00D361D7" w:rsidP="00D361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:rsidR="00D361D7" w:rsidRDefault="00D361D7" w:rsidP="00D361D7">
      <w:pPr>
        <w:jc w:val="center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strany:</w:t>
      </w:r>
    </w:p>
    <w:p w:rsidR="00D361D7" w:rsidRDefault="00D361D7" w:rsidP="00D361D7">
      <w:pPr>
        <w:jc w:val="both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b/>
          <w:snapToGrid w:val="0"/>
          <w:sz w:val="22"/>
          <w:szCs w:val="22"/>
        </w:rPr>
        <w:t>Národní divadlo Brno, příspěvková organizace</w:t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se sídlem Dvořákova 11, 657 70 Brno</w:t>
      </w:r>
    </w:p>
    <w:p w:rsidR="00D361D7" w:rsidRDefault="00D361D7" w:rsidP="00D361D7">
      <w:pPr>
        <w:widowControl w:val="0"/>
        <w:tabs>
          <w:tab w:val="left" w:pos="5835"/>
        </w:tabs>
        <w:ind w:firstLine="360"/>
        <w:rPr>
          <w:rFonts w:ascii="Segoe UI" w:hAnsi="Segoe UI" w:cs="Segoe UI"/>
          <w:snapToGrid w:val="0"/>
          <w:color w:val="FF000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zastoupené ředitelem MgA. Martinem Glaserem</w:t>
      </w:r>
      <w:r>
        <w:rPr>
          <w:rFonts w:ascii="Segoe UI" w:hAnsi="Segoe UI" w:cs="Segoe UI"/>
          <w:snapToGrid w:val="0"/>
          <w:color w:val="FF0000"/>
          <w:sz w:val="22"/>
          <w:szCs w:val="22"/>
        </w:rPr>
        <w:tab/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IČ: 00094820</w:t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IČ: CZ00094820</w:t>
      </w:r>
    </w:p>
    <w:p w:rsidR="00D361D7" w:rsidRDefault="00D361D7" w:rsidP="00D361D7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Příspěvková organizace je zapsána v obchodním rejstříku vedeném Krajským soudem v Brně, oddíl Pr, vložka 30</w:t>
      </w:r>
    </w:p>
    <w:p w:rsidR="00D361D7" w:rsidRDefault="00D361D7" w:rsidP="00D361D7">
      <w:pPr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Unicreditbank, číslo účtu: 2110126623/2700</w:t>
      </w:r>
    </w:p>
    <w:p w:rsidR="00D361D7" w:rsidRDefault="00D361D7" w:rsidP="00D361D7">
      <w:pPr>
        <w:widowControl w:val="0"/>
        <w:ind w:firstLine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oprávněný zástupce k technickému jednání: Zuzana Žáková</w:t>
      </w:r>
    </w:p>
    <w:p w:rsidR="00D361D7" w:rsidRDefault="00D361D7" w:rsidP="00D361D7">
      <w:pPr>
        <w:ind w:firstLine="39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(</w:t>
      </w:r>
      <w:r w:rsidR="00133AFB">
        <w:rPr>
          <w:rFonts w:ascii="Segoe UI" w:hAnsi="Segoe UI" w:cs="Segoe UI"/>
          <w:sz w:val="22"/>
          <w:szCs w:val="22"/>
        </w:rPr>
        <w:t>dále také „NdB“</w:t>
      </w:r>
      <w:r>
        <w:rPr>
          <w:rFonts w:ascii="Segoe UI" w:hAnsi="Segoe UI" w:cs="Segoe UI"/>
          <w:sz w:val="22"/>
          <w:szCs w:val="22"/>
        </w:rPr>
        <w:t>)</w:t>
      </w:r>
    </w:p>
    <w:p w:rsidR="00D361D7" w:rsidRDefault="00D361D7" w:rsidP="00D361D7">
      <w:pPr>
        <w:ind w:firstLine="397"/>
        <w:jc w:val="both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ind w:firstLine="397"/>
        <w:jc w:val="both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D361D7" w:rsidRDefault="00D361D7" w:rsidP="00D361D7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Magnus Regio s.r.o.</w:t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 xml:space="preserve">se sídlem Brno, </w:t>
      </w:r>
      <w:r w:rsidR="00B50B86">
        <w:rPr>
          <w:rFonts w:ascii="Segoe UI" w:hAnsi="Segoe UI" w:cs="Segoe UI"/>
          <w:snapToGrid w:val="0"/>
          <w:sz w:val="22"/>
          <w:szCs w:val="22"/>
        </w:rPr>
        <w:t>Lipová 906/1</w:t>
      </w:r>
      <w:r>
        <w:rPr>
          <w:rFonts w:ascii="Segoe UI" w:hAnsi="Segoe UI" w:cs="Segoe UI"/>
          <w:snapToGrid w:val="0"/>
          <w:sz w:val="22"/>
          <w:szCs w:val="22"/>
        </w:rPr>
        <w:t>, PSČ 602 00</w:t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zastoupená jednatelkou společnosti Magdou Slaninovou</w:t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IČ: 28346114</w:t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 CZ28346114</w:t>
      </w:r>
    </w:p>
    <w:p w:rsidR="00D361D7" w:rsidRDefault="00D361D7" w:rsidP="00D361D7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Společnost je zapsána v obchodním rejstříku vedeném Krajského soudu v Brně, oddíl C, vložka 62750</w:t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Bankovní spojení: Komerční banka a.s.</w:t>
      </w:r>
    </w:p>
    <w:p w:rsidR="00D361D7" w:rsidRDefault="00D361D7" w:rsidP="00D36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Číslo účtu:</w:t>
      </w:r>
      <w:r w:rsidR="00133AFB">
        <w:rPr>
          <w:rFonts w:ascii="Segoe UI" w:hAnsi="Segoe UI" w:cs="Segoe UI"/>
          <w:snapToGrid w:val="0"/>
          <w:sz w:val="22"/>
          <w:szCs w:val="22"/>
        </w:rPr>
        <w:t xml:space="preserve"> </w:t>
      </w:r>
      <w:r>
        <w:rPr>
          <w:rFonts w:ascii="Segoe UI" w:hAnsi="Segoe UI" w:cs="Segoe UI"/>
          <w:snapToGrid w:val="0"/>
          <w:sz w:val="22"/>
          <w:szCs w:val="22"/>
        </w:rPr>
        <w:t>43-482 553 0207/0100</w:t>
      </w:r>
    </w:p>
    <w:p w:rsidR="00D361D7" w:rsidRDefault="00D361D7" w:rsidP="00D361D7">
      <w:pPr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také „Partner“)</w:t>
      </w:r>
    </w:p>
    <w:p w:rsidR="00D361D7" w:rsidRDefault="00D361D7" w:rsidP="00D361D7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D361D7" w:rsidRDefault="00D361D7" w:rsidP="00D361D7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b/>
          <w:snapToGrid w:val="0"/>
          <w:sz w:val="22"/>
          <w:szCs w:val="22"/>
        </w:rPr>
        <w:t xml:space="preserve">I. </w:t>
      </w:r>
    </w:p>
    <w:p w:rsidR="00D361D7" w:rsidRDefault="00D361D7" w:rsidP="00D361D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Předmět smlouvy</w:t>
      </w:r>
    </w:p>
    <w:p w:rsidR="00D361D7" w:rsidRDefault="00D361D7" w:rsidP="00D36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D361D7" w:rsidRDefault="00D361D7" w:rsidP="00D361D7">
      <w:pPr>
        <w:pStyle w:val="Zkladntext"/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Předmětem smlouvy je vzájemně prospěšná spolupráce a propagace NdB</w:t>
      </w:r>
      <w:r w:rsidR="008815C2">
        <w:rPr>
          <w:rFonts w:ascii="Segoe UI" w:hAnsi="Segoe UI" w:cs="Segoe UI"/>
          <w:sz w:val="22"/>
          <w:szCs w:val="22"/>
        </w:rPr>
        <w:t xml:space="preserve"> a Partnera v roce 2018</w:t>
      </w:r>
      <w:r>
        <w:rPr>
          <w:rFonts w:ascii="Segoe UI" w:hAnsi="Segoe UI" w:cs="Segoe UI"/>
          <w:sz w:val="22"/>
          <w:szCs w:val="22"/>
        </w:rPr>
        <w:t>. Partner poskytne inzerci a redakční prostor v periodiku Moravské</w:t>
      </w:r>
      <w:r w:rsidR="00DE2DC4">
        <w:rPr>
          <w:rFonts w:ascii="Segoe UI" w:hAnsi="Segoe UI" w:cs="Segoe UI"/>
          <w:sz w:val="22"/>
          <w:szCs w:val="22"/>
        </w:rPr>
        <w:t xml:space="preserve"> hospodářství od únor</w:t>
      </w:r>
      <w:r w:rsidR="008815C2">
        <w:rPr>
          <w:rFonts w:ascii="Segoe UI" w:hAnsi="Segoe UI" w:cs="Segoe UI"/>
          <w:sz w:val="22"/>
          <w:szCs w:val="22"/>
        </w:rPr>
        <w:t>a 2018 do prosince 2018</w:t>
      </w:r>
      <w:r>
        <w:rPr>
          <w:rFonts w:ascii="Segoe UI" w:hAnsi="Segoe UI" w:cs="Segoe UI"/>
          <w:sz w:val="22"/>
          <w:szCs w:val="22"/>
        </w:rPr>
        <w:t xml:space="preserve"> a NdB se zavazuje poskytnout </w:t>
      </w:r>
      <w:r w:rsidR="00133AFB">
        <w:rPr>
          <w:rFonts w:ascii="Segoe UI" w:hAnsi="Segoe UI" w:cs="Segoe UI"/>
          <w:sz w:val="22"/>
          <w:szCs w:val="22"/>
        </w:rPr>
        <w:t xml:space="preserve">vstupenky na </w:t>
      </w:r>
      <w:r w:rsidR="008815C2">
        <w:rPr>
          <w:rFonts w:ascii="Segoe UI" w:hAnsi="Segoe UI" w:cs="Segoe UI"/>
          <w:sz w:val="22"/>
          <w:szCs w:val="22"/>
        </w:rPr>
        <w:t>premiéry v</w:t>
      </w:r>
      <w:r w:rsidR="00CA23B0">
        <w:rPr>
          <w:rFonts w:ascii="Segoe UI" w:hAnsi="Segoe UI" w:cs="Segoe UI"/>
          <w:sz w:val="22"/>
          <w:szCs w:val="22"/>
        </w:rPr>
        <w:t> </w:t>
      </w:r>
      <w:r w:rsidR="008815C2">
        <w:rPr>
          <w:rFonts w:ascii="Segoe UI" w:hAnsi="Segoe UI" w:cs="Segoe UI"/>
          <w:sz w:val="22"/>
          <w:szCs w:val="22"/>
        </w:rPr>
        <w:t>Mahenově</w:t>
      </w:r>
      <w:r w:rsidR="00CA23B0">
        <w:rPr>
          <w:rFonts w:ascii="Segoe UI" w:hAnsi="Segoe UI" w:cs="Segoe UI"/>
          <w:sz w:val="22"/>
          <w:szCs w:val="22"/>
        </w:rPr>
        <w:t xml:space="preserve"> divadle</w:t>
      </w:r>
      <w:r w:rsidR="008815C2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Janáčkově divadle</w:t>
      </w:r>
      <w:r w:rsidR="000B6E91">
        <w:rPr>
          <w:rFonts w:ascii="Segoe UI" w:hAnsi="Segoe UI" w:cs="Segoe UI"/>
          <w:sz w:val="22"/>
          <w:szCs w:val="22"/>
        </w:rPr>
        <w:t xml:space="preserve"> a </w:t>
      </w:r>
      <w:r w:rsidR="008815C2">
        <w:rPr>
          <w:rFonts w:ascii="Segoe UI" w:hAnsi="Segoe UI" w:cs="Segoe UI"/>
          <w:sz w:val="22"/>
          <w:szCs w:val="22"/>
        </w:rPr>
        <w:t>v externích scénách (</w:t>
      </w:r>
      <w:r w:rsidR="00CA23B0">
        <w:rPr>
          <w:rFonts w:ascii="Segoe UI" w:hAnsi="Segoe UI" w:cs="Segoe UI"/>
          <w:sz w:val="22"/>
          <w:szCs w:val="22"/>
        </w:rPr>
        <w:t>vyjma divadla</w:t>
      </w:r>
      <w:r w:rsidR="008815C2">
        <w:rPr>
          <w:rFonts w:ascii="Segoe UI" w:hAnsi="Segoe UI" w:cs="Segoe UI"/>
          <w:sz w:val="22"/>
          <w:szCs w:val="22"/>
        </w:rPr>
        <w:t xml:space="preserve"> Reduta) </w:t>
      </w:r>
      <w:r w:rsidR="000B6E91">
        <w:rPr>
          <w:rFonts w:ascii="Segoe UI" w:hAnsi="Segoe UI" w:cs="Segoe UI"/>
          <w:sz w:val="22"/>
          <w:szCs w:val="22"/>
        </w:rPr>
        <w:t>dodat vstupenky</w:t>
      </w:r>
      <w:r>
        <w:rPr>
          <w:rFonts w:ascii="Segoe UI" w:hAnsi="Segoe UI" w:cs="Segoe UI"/>
          <w:sz w:val="22"/>
          <w:szCs w:val="22"/>
        </w:rPr>
        <w:t xml:space="preserve"> na vyb</w:t>
      </w:r>
      <w:r w:rsidR="008815C2">
        <w:rPr>
          <w:rFonts w:ascii="Segoe UI" w:hAnsi="Segoe UI" w:cs="Segoe UI"/>
          <w:sz w:val="22"/>
          <w:szCs w:val="22"/>
        </w:rPr>
        <w:t>raná představení během roku 2018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D361D7" w:rsidRDefault="00D361D7" w:rsidP="00D361D7">
      <w:pPr>
        <w:spacing w:before="120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spacing w:before="120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spacing w:before="120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spacing w:before="120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D361D7" w:rsidRDefault="00D361D7" w:rsidP="00D361D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II.</w:t>
      </w:r>
    </w:p>
    <w:p w:rsidR="00D361D7" w:rsidRDefault="00D361D7" w:rsidP="00D361D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Povinnosti smluvních stran</w:t>
      </w:r>
    </w:p>
    <w:p w:rsidR="00D361D7" w:rsidRDefault="00D361D7" w:rsidP="00D361D7">
      <w:pPr>
        <w:numPr>
          <w:ilvl w:val="0"/>
          <w:numId w:val="2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Partner poskytne:</w:t>
      </w:r>
      <w:r>
        <w:rPr>
          <w:rFonts w:ascii="Segoe UI" w:hAnsi="Segoe UI" w:cs="Segoe UI"/>
          <w:sz w:val="22"/>
          <w:szCs w:val="22"/>
        </w:rPr>
        <w:t xml:space="preserve"> inzerci v Moravském hospodářství, v E-NEWS Moravského hospodářství a na webu</w:t>
      </w:r>
      <w:r w:rsidR="00DE2DC4">
        <w:rPr>
          <w:rFonts w:ascii="Segoe UI" w:hAnsi="Segoe UI" w:cs="Segoe UI"/>
          <w:sz w:val="22"/>
          <w:szCs w:val="22"/>
        </w:rPr>
        <w:t xml:space="preserve"> Moravského hospodářství od únor</w:t>
      </w:r>
      <w:r w:rsidR="008815C2">
        <w:rPr>
          <w:rFonts w:ascii="Segoe UI" w:hAnsi="Segoe UI" w:cs="Segoe UI"/>
          <w:sz w:val="22"/>
          <w:szCs w:val="22"/>
        </w:rPr>
        <w:t>a 2018 do prosince 2018</w:t>
      </w:r>
      <w:r>
        <w:rPr>
          <w:rFonts w:ascii="Segoe UI" w:hAnsi="Segoe UI" w:cs="Segoe UI"/>
          <w:sz w:val="22"/>
          <w:szCs w:val="22"/>
        </w:rPr>
        <w:t xml:space="preserve"> v následujícím rozsahu:</w:t>
      </w:r>
    </w:p>
    <w:p w:rsidR="00D361D7" w:rsidRDefault="00D361D7" w:rsidP="00D361D7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D361D7" w:rsidRPr="00DE2DC4" w:rsidRDefault="00D361D7" w:rsidP="00D361D7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 w:rsidR="00DE2DC4">
        <w:rPr>
          <w:rFonts w:ascii="Segoe UI" w:hAnsi="Segoe UI" w:cs="Segoe UI"/>
          <w:color w:val="000000"/>
          <w:sz w:val="22"/>
          <w:szCs w:val="22"/>
        </w:rPr>
        <w:t>3-4 MH</w:t>
      </w:r>
      <w:r w:rsidR="00DE2DC4">
        <w:rPr>
          <w:rFonts w:ascii="Segoe UI" w:hAnsi="Segoe UI" w:cs="Segoe UI"/>
          <w:color w:val="000000"/>
          <w:sz w:val="22"/>
          <w:szCs w:val="22"/>
        </w:rPr>
        <w:tab/>
      </w:r>
      <w:r w:rsidR="00DE2DC4">
        <w:rPr>
          <w:rFonts w:ascii="Segoe UI" w:hAnsi="Segoe UI" w:cs="Segoe UI"/>
          <w:color w:val="000000"/>
          <w:sz w:val="22"/>
          <w:szCs w:val="22"/>
        </w:rPr>
        <w:tab/>
        <w:t xml:space="preserve">   </w:t>
      </w:r>
      <w:r w:rsidRPr="00DE2DC4">
        <w:rPr>
          <w:rFonts w:ascii="Segoe UI" w:hAnsi="Segoe UI" w:cs="Segoe UI"/>
          <w:color w:val="000000"/>
          <w:sz w:val="22"/>
          <w:szCs w:val="22"/>
        </w:rPr>
        <w:t>¼ A3  v hodnotě 18</w:t>
      </w:r>
      <w:r w:rsidR="000B6E9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23B0">
        <w:rPr>
          <w:rFonts w:ascii="Segoe UI" w:hAnsi="Segoe UI" w:cs="Segoe UI"/>
          <w:color w:val="000000"/>
          <w:sz w:val="22"/>
          <w:szCs w:val="22"/>
        </w:rPr>
        <w:t>40</w:t>
      </w:r>
      <w:r w:rsidRPr="00DE2DC4">
        <w:rPr>
          <w:rFonts w:ascii="Segoe UI" w:hAnsi="Segoe UI" w:cs="Segoe UI"/>
          <w:color w:val="000000"/>
          <w:sz w:val="22"/>
          <w:szCs w:val="22"/>
        </w:rPr>
        <w:t>0 Kč vč. DPH</w:t>
      </w:r>
      <w:r w:rsidRPr="00DE2DC4">
        <w:rPr>
          <w:rFonts w:ascii="Segoe UI" w:hAnsi="Segoe UI" w:cs="Segoe UI"/>
          <w:color w:val="000000"/>
          <w:sz w:val="22"/>
          <w:szCs w:val="22"/>
        </w:rPr>
        <w:tab/>
      </w:r>
    </w:p>
    <w:p w:rsidR="00D361D7" w:rsidRPr="00DE2DC4" w:rsidRDefault="00D361D7" w:rsidP="00D361D7">
      <w:pPr>
        <w:ind w:firstLine="708"/>
        <w:rPr>
          <w:rFonts w:ascii="Segoe UI" w:hAnsi="Segoe UI" w:cs="Segoe UI"/>
          <w:color w:val="000000"/>
          <w:sz w:val="22"/>
          <w:szCs w:val="22"/>
        </w:rPr>
      </w:pPr>
      <w:r w:rsidRPr="00DE2DC4">
        <w:rPr>
          <w:rFonts w:ascii="Segoe UI" w:hAnsi="Segoe UI" w:cs="Segoe UI"/>
          <w:color w:val="000000"/>
          <w:sz w:val="22"/>
          <w:szCs w:val="22"/>
        </w:rPr>
        <w:t>září/E-NEWS č.18</w:t>
      </w:r>
      <w:r w:rsidR="00DE2DC4">
        <w:rPr>
          <w:rFonts w:ascii="Segoe UI" w:hAnsi="Segoe UI" w:cs="Segoe UI"/>
          <w:color w:val="000000"/>
          <w:sz w:val="22"/>
          <w:szCs w:val="22"/>
        </w:rPr>
        <w:t xml:space="preserve">           </w:t>
      </w:r>
      <w:r w:rsidRPr="00DE2DC4">
        <w:rPr>
          <w:rFonts w:ascii="Segoe UI" w:hAnsi="Segoe UI" w:cs="Segoe UI"/>
          <w:color w:val="000000"/>
          <w:sz w:val="22"/>
          <w:szCs w:val="22"/>
        </w:rPr>
        <w:t xml:space="preserve">PR článek s upoutávkou – PR článek v jedné z rubrik </w:t>
      </w:r>
      <w:r w:rsidRPr="00DE2DC4">
        <w:rPr>
          <w:rFonts w:ascii="Segoe UI" w:hAnsi="Segoe UI" w:cs="Segoe UI"/>
          <w:color w:val="000000"/>
          <w:sz w:val="22"/>
          <w:szCs w:val="22"/>
        </w:rPr>
        <w:tab/>
        <w:t xml:space="preserve">zpravodajského portálu </w:t>
      </w:r>
      <w:hyperlink r:id="rId5" w:history="1">
        <w:r w:rsidRPr="00DE2DC4">
          <w:rPr>
            <w:rStyle w:val="Hypertextovodkaz"/>
            <w:rFonts w:ascii="Segoe UI" w:hAnsi="Segoe UI" w:cs="Segoe UI"/>
            <w:sz w:val="22"/>
            <w:szCs w:val="22"/>
          </w:rPr>
          <w:t>www.moravskehospodarstvi</w:t>
        </w:r>
      </w:hyperlink>
      <w:r w:rsidRPr="00DE2DC4">
        <w:rPr>
          <w:rFonts w:ascii="Segoe UI" w:hAnsi="Segoe UI" w:cs="Segoe UI"/>
          <w:color w:val="000000"/>
          <w:sz w:val="22"/>
          <w:szCs w:val="22"/>
        </w:rPr>
        <w:t xml:space="preserve"> s upoutávkou v e-NEWS, </w:t>
      </w:r>
      <w:r w:rsidRPr="00DE2DC4">
        <w:rPr>
          <w:rFonts w:ascii="Segoe UI" w:hAnsi="Segoe UI" w:cs="Segoe UI"/>
          <w:color w:val="000000"/>
          <w:sz w:val="22"/>
          <w:szCs w:val="22"/>
        </w:rPr>
        <w:tab/>
      </w:r>
      <w:r w:rsidR="00DE2DC4">
        <w:rPr>
          <w:rFonts w:ascii="Segoe UI" w:hAnsi="Segoe UI" w:cs="Segoe UI"/>
          <w:color w:val="000000"/>
          <w:sz w:val="22"/>
          <w:szCs w:val="22"/>
        </w:rPr>
        <w:tab/>
      </w:r>
      <w:r w:rsidR="00DE2DC4">
        <w:rPr>
          <w:rFonts w:ascii="Segoe UI" w:hAnsi="Segoe UI" w:cs="Segoe UI"/>
          <w:color w:val="000000"/>
          <w:sz w:val="22"/>
          <w:szCs w:val="22"/>
        </w:rPr>
        <w:tab/>
      </w:r>
      <w:r w:rsidR="00DE2DC4">
        <w:rPr>
          <w:rFonts w:ascii="Segoe UI" w:hAnsi="Segoe UI" w:cs="Segoe UI"/>
          <w:color w:val="000000"/>
          <w:sz w:val="22"/>
          <w:szCs w:val="22"/>
        </w:rPr>
        <w:tab/>
      </w:r>
      <w:r w:rsidR="00DE2DC4">
        <w:rPr>
          <w:rFonts w:ascii="Segoe UI" w:hAnsi="Segoe UI" w:cs="Segoe UI"/>
          <w:color w:val="000000"/>
          <w:sz w:val="22"/>
          <w:szCs w:val="22"/>
        </w:rPr>
        <w:tab/>
        <w:t xml:space="preserve">   </w:t>
      </w:r>
      <w:r w:rsidRPr="00DE2DC4">
        <w:rPr>
          <w:rFonts w:ascii="Segoe UI" w:hAnsi="Segoe UI" w:cs="Segoe UI"/>
          <w:color w:val="000000"/>
          <w:sz w:val="22"/>
          <w:szCs w:val="22"/>
        </w:rPr>
        <w:t>v hodnotě 17</w:t>
      </w:r>
      <w:r w:rsidR="000B6E9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E2DC4">
        <w:rPr>
          <w:rFonts w:ascii="Segoe UI" w:hAnsi="Segoe UI" w:cs="Segoe UI"/>
          <w:color w:val="000000"/>
          <w:sz w:val="22"/>
          <w:szCs w:val="22"/>
        </w:rPr>
        <w:t>650 Kč vč. DPH.   </w:t>
      </w:r>
    </w:p>
    <w:p w:rsidR="00D361D7" w:rsidRPr="00DE2DC4" w:rsidRDefault="00D361D7" w:rsidP="00D361D7">
      <w:pPr>
        <w:ind w:firstLine="708"/>
        <w:rPr>
          <w:rFonts w:ascii="Segoe UI" w:hAnsi="Segoe UI" w:cs="Segoe UI"/>
          <w:color w:val="000000"/>
          <w:sz w:val="22"/>
          <w:szCs w:val="22"/>
        </w:rPr>
      </w:pPr>
      <w:r w:rsidRPr="00DE2DC4">
        <w:rPr>
          <w:rFonts w:ascii="Segoe UI" w:hAnsi="Segoe UI" w:cs="Segoe UI"/>
          <w:color w:val="000000"/>
          <w:sz w:val="22"/>
          <w:szCs w:val="22"/>
        </w:rPr>
        <w:t xml:space="preserve">11-12/MH                   </w:t>
      </w:r>
      <w:r w:rsidR="00DE2DC4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DE2DC4">
        <w:rPr>
          <w:rFonts w:ascii="Segoe UI" w:hAnsi="Segoe UI" w:cs="Segoe UI"/>
          <w:color w:val="000000"/>
          <w:sz w:val="22"/>
          <w:szCs w:val="22"/>
        </w:rPr>
        <w:t>1/4 A3 v hodnotě 18</w:t>
      </w:r>
      <w:r w:rsidR="000B6E9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23B0">
        <w:rPr>
          <w:rFonts w:ascii="Segoe UI" w:hAnsi="Segoe UI" w:cs="Segoe UI"/>
          <w:color w:val="000000"/>
          <w:sz w:val="22"/>
          <w:szCs w:val="22"/>
        </w:rPr>
        <w:t>400</w:t>
      </w:r>
      <w:r w:rsidRPr="00DE2DC4">
        <w:rPr>
          <w:rFonts w:ascii="Segoe UI" w:hAnsi="Segoe UI" w:cs="Segoe UI"/>
          <w:color w:val="000000"/>
          <w:sz w:val="22"/>
          <w:szCs w:val="22"/>
        </w:rPr>
        <w:t xml:space="preserve"> Kč vč. DPH</w:t>
      </w:r>
    </w:p>
    <w:p w:rsidR="00D361D7" w:rsidRDefault="00DE2DC4" w:rsidP="00D361D7">
      <w:pPr>
        <w:ind w:left="70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Celoroční umístění loga Nd</w:t>
      </w:r>
      <w:r w:rsidR="00D361D7" w:rsidRPr="00DE2DC4">
        <w:rPr>
          <w:rFonts w:ascii="Segoe UI" w:hAnsi="Segoe UI" w:cs="Segoe UI"/>
          <w:color w:val="000000"/>
          <w:sz w:val="22"/>
          <w:szCs w:val="22"/>
        </w:rPr>
        <w:t xml:space="preserve">B s prolinkem na webu </w:t>
      </w:r>
      <w:r w:rsidR="00D361D7" w:rsidRPr="00DE2DC4">
        <w:rPr>
          <w:rFonts w:ascii="Segoe UI" w:hAnsi="Segoe UI" w:cs="Segoe UI"/>
          <w:color w:val="000000"/>
          <w:sz w:val="22"/>
          <w:szCs w:val="22"/>
        </w:rPr>
        <w:tab/>
        <w:t>MH </w:t>
      </w:r>
      <w:hyperlink r:id="rId6" w:history="1">
        <w:r w:rsidR="00D361D7" w:rsidRPr="00DE2DC4">
          <w:rPr>
            <w:rStyle w:val="Hypertextovodkaz"/>
            <w:rFonts w:ascii="Segoe UI" w:hAnsi="Segoe UI" w:cs="Segoe UI"/>
            <w:sz w:val="22"/>
            <w:szCs w:val="22"/>
          </w:rPr>
          <w:t>www.moravskehospodarstvi.cz</w:t>
        </w:r>
      </w:hyperlink>
      <w:r w:rsidR="00D361D7" w:rsidRPr="00DE2DC4">
        <w:rPr>
          <w:rFonts w:ascii="Segoe UI" w:hAnsi="Segoe UI" w:cs="Segoe UI"/>
          <w:color w:val="000000"/>
          <w:sz w:val="22"/>
          <w:szCs w:val="22"/>
        </w:rPr>
        <w:t xml:space="preserve">      a webu vydavatele </w:t>
      </w:r>
      <w:r w:rsidR="00D361D7" w:rsidRPr="00DE2DC4">
        <w:rPr>
          <w:rFonts w:ascii="Segoe UI" w:hAnsi="Segoe UI" w:cs="Segoe UI"/>
          <w:color w:val="000000"/>
          <w:sz w:val="22"/>
          <w:szCs w:val="22"/>
        </w:rPr>
        <w:tab/>
      </w:r>
      <w:hyperlink r:id="rId7" w:history="1">
        <w:r w:rsidR="00D361D7" w:rsidRPr="00DE2DC4">
          <w:rPr>
            <w:rStyle w:val="Hypertextovodkaz"/>
            <w:rFonts w:ascii="Segoe UI" w:hAnsi="Segoe UI" w:cs="Segoe UI"/>
            <w:sz w:val="22"/>
            <w:szCs w:val="22"/>
          </w:rPr>
          <w:t>www.magnusregio.cz</w:t>
        </w:r>
      </w:hyperlink>
      <w:r w:rsidR="00D361D7" w:rsidRPr="00DE2DC4">
        <w:rPr>
          <w:rFonts w:ascii="Segoe UI" w:hAnsi="Segoe UI" w:cs="Segoe UI"/>
          <w:color w:val="000000"/>
          <w:sz w:val="22"/>
          <w:szCs w:val="22"/>
        </w:rPr>
        <w:t xml:space="preserve"> v hodnotě </w:t>
      </w:r>
      <w:r w:rsidR="00D361D7" w:rsidRPr="00DE2DC4">
        <w:rPr>
          <w:rFonts w:ascii="Segoe UI" w:hAnsi="Segoe UI" w:cs="Segoe UI"/>
          <w:color w:val="000000"/>
          <w:sz w:val="22"/>
          <w:szCs w:val="22"/>
        </w:rPr>
        <w:tab/>
        <w:t>10</w:t>
      </w:r>
      <w:r w:rsidR="000B6E9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361D7" w:rsidRPr="00DE2DC4">
        <w:rPr>
          <w:rFonts w:ascii="Segoe UI" w:hAnsi="Segoe UI" w:cs="Segoe UI"/>
          <w:color w:val="000000"/>
          <w:sz w:val="22"/>
          <w:szCs w:val="22"/>
        </w:rPr>
        <w:t>000 Kč vč. DPH</w:t>
      </w:r>
    </w:p>
    <w:p w:rsidR="00D361D7" w:rsidRDefault="00D361D7" w:rsidP="00D361D7">
      <w:pPr>
        <w:ind w:firstLine="708"/>
        <w:rPr>
          <w:rFonts w:ascii="Segoe UI" w:hAnsi="Segoe UI" w:cs="Segoe UI"/>
          <w:color w:val="000000"/>
          <w:sz w:val="22"/>
          <w:szCs w:val="22"/>
        </w:rPr>
      </w:pPr>
    </w:p>
    <w:p w:rsidR="00D361D7" w:rsidRDefault="00D361D7" w:rsidP="00D361D7">
      <w:pPr>
        <w:spacing w:before="120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</w:t>
      </w:r>
      <w:r>
        <w:rPr>
          <w:rFonts w:ascii="Segoe UI" w:hAnsi="Segoe UI" w:cs="Segoe UI"/>
          <w:b/>
          <w:sz w:val="22"/>
          <w:szCs w:val="22"/>
        </w:rPr>
        <w:t xml:space="preserve">      </w:t>
      </w:r>
    </w:p>
    <w:p w:rsidR="00D361D7" w:rsidRDefault="00D361D7" w:rsidP="00D361D7">
      <w:pPr>
        <w:ind w:left="360"/>
        <w:rPr>
          <w:rFonts w:ascii="Segoe UI" w:hAnsi="Segoe UI" w:cs="Segoe UI"/>
          <w:b/>
          <w:sz w:val="22"/>
          <w:szCs w:val="22"/>
        </w:rPr>
      </w:pPr>
    </w:p>
    <w:p w:rsidR="00D361D7" w:rsidRDefault="00D361D7" w:rsidP="00D361D7">
      <w:pPr>
        <w:pStyle w:val="Zkladntext"/>
        <w:widowControl/>
        <w:numPr>
          <w:ilvl w:val="0"/>
          <w:numId w:val="2"/>
        </w:numPr>
        <w:autoSpaceDE w:val="0"/>
        <w:autoSpaceDN w:val="0"/>
        <w:ind w:right="14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NdB se zavazuje</w:t>
      </w:r>
      <w:r>
        <w:rPr>
          <w:rFonts w:ascii="Segoe UI" w:hAnsi="Segoe UI" w:cs="Segoe UI"/>
          <w:sz w:val="22"/>
          <w:szCs w:val="22"/>
        </w:rPr>
        <w:t>:</w:t>
      </w:r>
    </w:p>
    <w:p w:rsidR="00D361D7" w:rsidRDefault="00D361D7" w:rsidP="00D361D7">
      <w:pPr>
        <w:pStyle w:val="Zkladntext"/>
        <w:ind w:left="720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pStyle w:val="Zkladntext"/>
        <w:widowControl/>
        <w:numPr>
          <w:ilvl w:val="0"/>
          <w:numId w:val="3"/>
        </w:numPr>
        <w:autoSpaceDE w:val="0"/>
        <w:autoSpaceDN w:val="0"/>
        <w:ind w:right="14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Uvádět Magnus jako mediálního partnera prostřednictvím:</w:t>
      </w:r>
    </w:p>
    <w:p w:rsidR="00D361D7" w:rsidRDefault="00D361D7" w:rsidP="00D361D7">
      <w:pPr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loga na měsíčních programových skládačkách </w:t>
      </w:r>
    </w:p>
    <w:p w:rsidR="00D361D7" w:rsidRDefault="00D361D7" w:rsidP="00D361D7">
      <w:pPr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v časopise DIVA</w:t>
      </w:r>
    </w:p>
    <w:p w:rsidR="00D361D7" w:rsidRDefault="00D361D7" w:rsidP="00D361D7">
      <w:pPr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partnera s aktivním prolinkem na stránkách </w:t>
      </w:r>
      <w:hyperlink r:id="rId8" w:tgtFrame="_parent" w:history="1">
        <w:r>
          <w:rPr>
            <w:rStyle w:val="Hypertextovodkaz"/>
            <w:rFonts w:ascii="Segoe UI" w:hAnsi="Segoe UI" w:cs="Segoe UI"/>
            <w:sz w:val="22"/>
            <w:szCs w:val="22"/>
          </w:rPr>
          <w:t>www.ndbrno.cz</w:t>
        </w:r>
      </w:hyperlink>
    </w:p>
    <w:p w:rsidR="00D361D7" w:rsidRDefault="008815C2" w:rsidP="00D361D7">
      <w:pPr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v katalogu 2018/2019</w:t>
      </w:r>
      <w:r w:rsidR="00D361D7">
        <w:rPr>
          <w:rFonts w:ascii="Segoe UI" w:hAnsi="Segoe UI" w:cs="Segoe UI"/>
          <w:sz w:val="22"/>
          <w:szCs w:val="22"/>
        </w:rPr>
        <w:t xml:space="preserve">      </w:t>
      </w:r>
    </w:p>
    <w:p w:rsidR="00D361D7" w:rsidRDefault="005C5A69" w:rsidP="00D361D7">
      <w:pPr>
        <w:pStyle w:val="Zkladntext"/>
        <w:widowControl/>
        <w:numPr>
          <w:ilvl w:val="0"/>
          <w:numId w:val="4"/>
        </w:numPr>
        <w:autoSpaceDE w:val="0"/>
        <w:autoSpaceDN w:val="0"/>
        <w:ind w:right="14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Poskytnout vstupen</w:t>
      </w:r>
      <w:r w:rsidR="00D361D7">
        <w:rPr>
          <w:rFonts w:ascii="Segoe UI" w:hAnsi="Segoe UI" w:cs="Segoe UI"/>
          <w:sz w:val="22"/>
          <w:szCs w:val="22"/>
        </w:rPr>
        <w:t>ky na vybrané inscenace NdB, vstupenky na představení NdB budou čerp</w:t>
      </w:r>
      <w:r w:rsidR="008815C2">
        <w:rPr>
          <w:rFonts w:ascii="Segoe UI" w:hAnsi="Segoe UI" w:cs="Segoe UI"/>
          <w:sz w:val="22"/>
          <w:szCs w:val="22"/>
        </w:rPr>
        <w:t>ány postupně v průběhu roku 2018</w:t>
      </w:r>
      <w:r w:rsidR="00D361D7">
        <w:rPr>
          <w:rFonts w:ascii="Segoe UI" w:hAnsi="Segoe UI" w:cs="Segoe UI"/>
          <w:sz w:val="22"/>
          <w:szCs w:val="22"/>
        </w:rPr>
        <w:t xml:space="preserve"> ve smluvené hodnotě 10 000 Kč osvobozeno od DPH dle § 61 písm. e) zákona č. 235/2004 Sb. Vstupenky bude Magnus používat výhradně pro reklamní účely spojené s prezentací společnosti.</w:t>
      </w:r>
    </w:p>
    <w:p w:rsidR="00D361D7" w:rsidRDefault="00D361D7" w:rsidP="00D361D7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Poskytnout 2 kusy vstupenek na</w:t>
      </w:r>
      <w:r w:rsidR="00CA23B0">
        <w:rPr>
          <w:rFonts w:ascii="Segoe UI" w:hAnsi="Segoe UI" w:cs="Segoe UI"/>
          <w:sz w:val="22"/>
          <w:szCs w:val="22"/>
        </w:rPr>
        <w:t xml:space="preserve"> 10</w:t>
      </w:r>
      <w:r>
        <w:rPr>
          <w:rFonts w:ascii="Segoe UI" w:hAnsi="Segoe UI" w:cs="Segoe UI"/>
          <w:sz w:val="22"/>
          <w:szCs w:val="22"/>
        </w:rPr>
        <w:t xml:space="preserve"> premiér</w:t>
      </w:r>
      <w:r w:rsidR="008815C2">
        <w:rPr>
          <w:rFonts w:ascii="Segoe UI" w:hAnsi="Segoe UI" w:cs="Segoe UI"/>
          <w:sz w:val="22"/>
          <w:szCs w:val="22"/>
        </w:rPr>
        <w:t>, které se uskuteční v Mahenově diva</w:t>
      </w:r>
      <w:r w:rsidR="00CA23B0">
        <w:rPr>
          <w:rFonts w:ascii="Segoe UI" w:hAnsi="Segoe UI" w:cs="Segoe UI"/>
          <w:sz w:val="22"/>
          <w:szCs w:val="22"/>
        </w:rPr>
        <w:t>dle</w:t>
      </w:r>
      <w:r w:rsidR="008815C2">
        <w:rPr>
          <w:rFonts w:ascii="Segoe UI" w:hAnsi="Segoe UI" w:cs="Segoe UI"/>
          <w:sz w:val="22"/>
          <w:szCs w:val="22"/>
        </w:rPr>
        <w:t>, Janáčkově divadle a v externích scénách (vyjma  divadl</w:t>
      </w:r>
      <w:r w:rsidR="006C1B0D">
        <w:rPr>
          <w:rFonts w:ascii="Segoe UI" w:hAnsi="Segoe UI" w:cs="Segoe UI"/>
          <w:sz w:val="22"/>
          <w:szCs w:val="22"/>
        </w:rPr>
        <w:t>a</w:t>
      </w:r>
      <w:r w:rsidR="008815C2">
        <w:rPr>
          <w:rFonts w:ascii="Segoe UI" w:hAnsi="Segoe UI" w:cs="Segoe UI"/>
          <w:sz w:val="22"/>
          <w:szCs w:val="22"/>
        </w:rPr>
        <w:t xml:space="preserve"> Reduta) v roce 2018</w:t>
      </w:r>
      <w:r w:rsidR="00CA23B0">
        <w:rPr>
          <w:rFonts w:ascii="Segoe UI" w:hAnsi="Segoe UI" w:cs="Segoe UI"/>
          <w:sz w:val="22"/>
          <w:szCs w:val="22"/>
        </w:rPr>
        <w:t>, a to na 6 premiér v 1. polovině roku 2018 a na 4 premiéry ve 2. polovině roku 2018</w:t>
      </w:r>
      <w:r>
        <w:rPr>
          <w:rFonts w:ascii="Segoe UI" w:hAnsi="Segoe UI" w:cs="Segoe UI"/>
          <w:sz w:val="22"/>
          <w:szCs w:val="22"/>
        </w:rPr>
        <w:t xml:space="preserve"> ve smluvené hodnotě 250 Kč za vstupenku osvobozeno od DPH dle § 61 písm. e) zákona č. 235/2004 Sb.</w:t>
      </w:r>
    </w:p>
    <w:p w:rsidR="00D361D7" w:rsidRDefault="00D361D7" w:rsidP="00D361D7">
      <w:pPr>
        <w:pStyle w:val="Zkladntext"/>
        <w:ind w:left="717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pStyle w:val="Zkladntext"/>
        <w:ind w:left="357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pStyle w:val="Zkladntextodsazen1"/>
        <w:ind w:left="28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Částka za poskytnutou reklamu (článek II., bod 2, a)činí 45 000 Kč + 21% DPH, částka za vstupenky na představení činí 10 000 Kč osvobozeno od DPH, a částka z</w:t>
      </w:r>
      <w:r w:rsidR="00CA23B0">
        <w:rPr>
          <w:rFonts w:ascii="Segoe UI" w:hAnsi="Segoe UI" w:cs="Segoe UI"/>
          <w:b/>
          <w:sz w:val="22"/>
          <w:szCs w:val="22"/>
        </w:rPr>
        <w:t>a vstupenky na premiéry činí 5 0</w:t>
      </w:r>
      <w:r>
        <w:rPr>
          <w:rFonts w:ascii="Segoe UI" w:hAnsi="Segoe UI" w:cs="Segoe UI"/>
          <w:b/>
          <w:sz w:val="22"/>
          <w:szCs w:val="22"/>
        </w:rPr>
        <w:t>00 Kč osvobozeno od DPH. C</w:t>
      </w:r>
      <w:r w:rsidR="00CA23B0">
        <w:rPr>
          <w:rFonts w:ascii="Segoe UI" w:hAnsi="Segoe UI" w:cs="Segoe UI"/>
          <w:b/>
          <w:sz w:val="22"/>
          <w:szCs w:val="22"/>
        </w:rPr>
        <w:t>elkové plnění je tedy ve výši 69 4</w:t>
      </w:r>
      <w:r>
        <w:rPr>
          <w:rFonts w:ascii="Segoe UI" w:hAnsi="Segoe UI" w:cs="Segoe UI"/>
          <w:b/>
          <w:sz w:val="22"/>
          <w:szCs w:val="22"/>
        </w:rPr>
        <w:t>50 Kč vč. DPH.</w:t>
      </w:r>
    </w:p>
    <w:p w:rsidR="00D361D7" w:rsidRDefault="00D361D7" w:rsidP="00D36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D361D7" w:rsidRDefault="00D361D7" w:rsidP="00D36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D361D7" w:rsidRDefault="00D361D7" w:rsidP="00D361D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III.</w:t>
      </w:r>
    </w:p>
    <w:p w:rsidR="00D361D7" w:rsidRDefault="00D361D7" w:rsidP="00D361D7">
      <w:pPr>
        <w:pStyle w:val="Zkladntext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Cena a platební podmínky</w:t>
      </w:r>
    </w:p>
    <w:p w:rsidR="00D361D7" w:rsidRDefault="00D361D7" w:rsidP="00D361D7">
      <w:pPr>
        <w:pStyle w:val="Zkladntext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D361D7" w:rsidRDefault="00D361D7" w:rsidP="00D361D7">
      <w:pPr>
        <w:numPr>
          <w:ilvl w:val="0"/>
          <w:numId w:val="5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II. bodu 1. je stanovena ve výši </w:t>
      </w:r>
      <w:r w:rsidR="00CA23B0">
        <w:rPr>
          <w:rFonts w:ascii="Segoe UI" w:hAnsi="Segoe UI" w:cs="Segoe UI"/>
          <w:b/>
          <w:sz w:val="22"/>
          <w:szCs w:val="22"/>
        </w:rPr>
        <w:t>69</w:t>
      </w:r>
      <w:r w:rsidR="00133AFB">
        <w:rPr>
          <w:rFonts w:ascii="Segoe UI" w:hAnsi="Segoe UI" w:cs="Segoe UI"/>
          <w:b/>
          <w:sz w:val="22"/>
          <w:szCs w:val="22"/>
        </w:rPr>
        <w:t xml:space="preserve"> </w:t>
      </w:r>
      <w:r w:rsidR="00CA23B0">
        <w:rPr>
          <w:rFonts w:ascii="Segoe UI" w:hAnsi="Segoe UI" w:cs="Segoe UI"/>
          <w:b/>
          <w:sz w:val="22"/>
          <w:szCs w:val="22"/>
        </w:rPr>
        <w:t>4</w:t>
      </w:r>
      <w:r>
        <w:rPr>
          <w:rFonts w:ascii="Segoe UI" w:hAnsi="Segoe UI" w:cs="Segoe UI"/>
          <w:b/>
          <w:sz w:val="22"/>
          <w:szCs w:val="22"/>
        </w:rPr>
        <w:t>50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Kč vč. DPH</w:t>
      </w:r>
      <w:r>
        <w:rPr>
          <w:rFonts w:ascii="Segoe UI" w:hAnsi="Segoe UI" w:cs="Segoe UI"/>
          <w:sz w:val="22"/>
          <w:szCs w:val="22"/>
        </w:rPr>
        <w:t>.</w:t>
      </w:r>
    </w:p>
    <w:p w:rsidR="00D361D7" w:rsidRDefault="00D361D7" w:rsidP="00D361D7">
      <w:pPr>
        <w:numPr>
          <w:ilvl w:val="0"/>
          <w:numId w:val="5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II. bodu 2. je stanovena ve výši </w:t>
      </w:r>
      <w:r w:rsidR="00CA23B0">
        <w:rPr>
          <w:rFonts w:ascii="Segoe UI" w:hAnsi="Segoe UI" w:cs="Segoe UI"/>
          <w:b/>
          <w:sz w:val="22"/>
          <w:szCs w:val="22"/>
        </w:rPr>
        <w:t>69</w:t>
      </w:r>
      <w:r w:rsidR="00133AFB">
        <w:rPr>
          <w:rFonts w:ascii="Segoe UI" w:hAnsi="Segoe UI" w:cs="Segoe UI"/>
          <w:b/>
          <w:sz w:val="22"/>
          <w:szCs w:val="22"/>
        </w:rPr>
        <w:t xml:space="preserve"> </w:t>
      </w:r>
      <w:r w:rsidR="00CA23B0">
        <w:rPr>
          <w:rFonts w:ascii="Segoe UI" w:hAnsi="Segoe UI" w:cs="Segoe UI"/>
          <w:b/>
          <w:sz w:val="22"/>
          <w:szCs w:val="22"/>
        </w:rPr>
        <w:t>4</w:t>
      </w:r>
      <w:r>
        <w:rPr>
          <w:rFonts w:ascii="Segoe UI" w:hAnsi="Segoe UI" w:cs="Segoe UI"/>
          <w:b/>
          <w:sz w:val="22"/>
          <w:szCs w:val="22"/>
        </w:rPr>
        <w:t>50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Kč vč. DPH.</w:t>
      </w:r>
    </w:p>
    <w:p w:rsidR="00D361D7" w:rsidRDefault="00D361D7" w:rsidP="00D361D7">
      <w:pPr>
        <w:numPr>
          <w:ilvl w:val="0"/>
          <w:numId w:val="5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Vstupenky dle čl. II. odst.2) bod. b) v celkové hodnotě Kč 10</w:t>
      </w:r>
      <w:r w:rsidR="000B6E9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000,- Kč musí Magnus od</w:t>
      </w:r>
      <w:r w:rsidR="00CA23B0">
        <w:rPr>
          <w:rFonts w:ascii="Segoe UI" w:hAnsi="Segoe UI" w:cs="Segoe UI"/>
          <w:sz w:val="22"/>
          <w:szCs w:val="22"/>
        </w:rPr>
        <w:t>ebrat nejpozději do 15. 12. 2018</w:t>
      </w:r>
      <w:r>
        <w:rPr>
          <w:rFonts w:ascii="Segoe UI" w:hAnsi="Segoe UI" w:cs="Segoe UI"/>
          <w:sz w:val="22"/>
          <w:szCs w:val="22"/>
        </w:rPr>
        <w:t>. Pokud vstupenky n</w:t>
      </w:r>
      <w:r w:rsidR="00CA23B0">
        <w:rPr>
          <w:rFonts w:ascii="Segoe UI" w:hAnsi="Segoe UI" w:cs="Segoe UI"/>
          <w:sz w:val="22"/>
          <w:szCs w:val="22"/>
        </w:rPr>
        <w:t>ebudou vyčerpány do 15. 12. 2018</w:t>
      </w:r>
      <w:r>
        <w:rPr>
          <w:rFonts w:ascii="Segoe UI" w:hAnsi="Segoe UI" w:cs="Segoe UI"/>
          <w:sz w:val="22"/>
          <w:szCs w:val="22"/>
        </w:rPr>
        <w:t>, vyhrazuje si NdB právo vyfakturovat a zaslat pro Magnus zbylou část vstupenek podle vlastního výběru</w:t>
      </w:r>
    </w:p>
    <w:p w:rsidR="00D361D7" w:rsidRDefault="002A254C" w:rsidP="00D361D7">
      <w:pPr>
        <w:numPr>
          <w:ilvl w:val="0"/>
          <w:numId w:val="5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Partner</w:t>
      </w:r>
      <w:r w:rsidR="00CA23B0">
        <w:rPr>
          <w:rFonts w:ascii="Segoe UI" w:hAnsi="Segoe UI" w:cs="Segoe UI"/>
          <w:sz w:val="22"/>
          <w:szCs w:val="22"/>
        </w:rPr>
        <w:t xml:space="preserve"> vystaví nejpozději k </w:t>
      </w:r>
      <w:r w:rsidR="000B6E91">
        <w:rPr>
          <w:rFonts w:ascii="Segoe UI" w:hAnsi="Segoe UI" w:cs="Segoe UI"/>
          <w:sz w:val="22"/>
          <w:szCs w:val="22"/>
        </w:rPr>
        <w:t>1</w:t>
      </w:r>
      <w:r w:rsidR="005A20DB">
        <w:rPr>
          <w:rFonts w:ascii="Segoe UI" w:hAnsi="Segoe UI" w:cs="Segoe UI"/>
          <w:sz w:val="22"/>
          <w:szCs w:val="22"/>
        </w:rPr>
        <w:t>5</w:t>
      </w:r>
      <w:r w:rsidR="00CA23B0">
        <w:rPr>
          <w:rFonts w:ascii="Segoe UI" w:hAnsi="Segoe UI" w:cs="Segoe UI"/>
          <w:sz w:val="22"/>
          <w:szCs w:val="22"/>
        </w:rPr>
        <w:t xml:space="preserve">. </w:t>
      </w:r>
      <w:r w:rsidR="000B6E91">
        <w:rPr>
          <w:rFonts w:ascii="Segoe UI" w:hAnsi="Segoe UI" w:cs="Segoe UI"/>
          <w:sz w:val="22"/>
          <w:szCs w:val="22"/>
        </w:rPr>
        <w:t xml:space="preserve">2. </w:t>
      </w:r>
      <w:r w:rsidR="00CA23B0">
        <w:rPr>
          <w:rFonts w:ascii="Segoe UI" w:hAnsi="Segoe UI" w:cs="Segoe UI"/>
          <w:sz w:val="22"/>
          <w:szCs w:val="22"/>
        </w:rPr>
        <w:t>2018</w:t>
      </w:r>
      <w:r>
        <w:rPr>
          <w:rFonts w:ascii="Segoe UI" w:hAnsi="Segoe UI" w:cs="Segoe UI"/>
          <w:sz w:val="22"/>
          <w:szCs w:val="22"/>
        </w:rPr>
        <w:t xml:space="preserve"> fakturu </w:t>
      </w:r>
      <w:r w:rsidR="00D361D7">
        <w:rPr>
          <w:rFonts w:ascii="Segoe UI" w:hAnsi="Segoe UI" w:cs="Segoe UI"/>
          <w:sz w:val="22"/>
          <w:szCs w:val="22"/>
        </w:rPr>
        <w:t>na poskytnutí reklamy. Splatnost faktur</w:t>
      </w:r>
      <w:r>
        <w:rPr>
          <w:rFonts w:ascii="Segoe UI" w:hAnsi="Segoe UI" w:cs="Segoe UI"/>
          <w:sz w:val="22"/>
          <w:szCs w:val="22"/>
        </w:rPr>
        <w:t>y</w:t>
      </w:r>
      <w:r w:rsidR="00CA23B0">
        <w:rPr>
          <w:rFonts w:ascii="Segoe UI" w:hAnsi="Segoe UI" w:cs="Segoe UI"/>
          <w:sz w:val="22"/>
          <w:szCs w:val="22"/>
        </w:rPr>
        <w:t xml:space="preserve"> bude 31. 12. 2018</w:t>
      </w:r>
      <w:r w:rsidR="00D361D7">
        <w:rPr>
          <w:rFonts w:ascii="Segoe UI" w:hAnsi="Segoe UI" w:cs="Segoe UI"/>
          <w:sz w:val="22"/>
          <w:szCs w:val="22"/>
        </w:rPr>
        <w:t xml:space="preserve">.  </w:t>
      </w:r>
    </w:p>
    <w:p w:rsidR="002A254C" w:rsidRPr="002A254C" w:rsidRDefault="002A254C" w:rsidP="002A254C">
      <w:pPr>
        <w:numPr>
          <w:ilvl w:val="0"/>
          <w:numId w:val="5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 w:rsidR="00CA23B0">
        <w:rPr>
          <w:rFonts w:ascii="Segoe UI" w:hAnsi="Segoe UI" w:cs="Segoe UI"/>
          <w:sz w:val="22"/>
          <w:szCs w:val="22"/>
        </w:rPr>
        <w:t xml:space="preserve"> vystaví k 1</w:t>
      </w:r>
      <w:r w:rsidR="006C1B0D">
        <w:rPr>
          <w:rFonts w:ascii="Segoe UI" w:hAnsi="Segoe UI" w:cs="Segoe UI"/>
          <w:sz w:val="22"/>
          <w:szCs w:val="22"/>
        </w:rPr>
        <w:t>5</w:t>
      </w:r>
      <w:r w:rsidR="00CA23B0">
        <w:rPr>
          <w:rFonts w:ascii="Segoe UI" w:hAnsi="Segoe UI" w:cs="Segoe UI"/>
          <w:sz w:val="22"/>
          <w:szCs w:val="22"/>
        </w:rPr>
        <w:t>. 2. 2018</w:t>
      </w:r>
      <w:r>
        <w:rPr>
          <w:rFonts w:ascii="Segoe UI" w:hAnsi="Segoe UI" w:cs="Segoe UI"/>
          <w:sz w:val="22"/>
          <w:szCs w:val="22"/>
        </w:rPr>
        <w:t xml:space="preserve"> fakturu na poskytnutí reklamy. Spl</w:t>
      </w:r>
      <w:r w:rsidR="00CA23B0">
        <w:rPr>
          <w:rFonts w:ascii="Segoe UI" w:hAnsi="Segoe UI" w:cs="Segoe UI"/>
          <w:sz w:val="22"/>
          <w:szCs w:val="22"/>
        </w:rPr>
        <w:t>atnost faktury bude 31. 12. 2018</w:t>
      </w:r>
      <w:r>
        <w:rPr>
          <w:rFonts w:ascii="Segoe UI" w:hAnsi="Segoe UI" w:cs="Segoe UI"/>
          <w:sz w:val="22"/>
          <w:szCs w:val="22"/>
        </w:rPr>
        <w:t xml:space="preserve">.  </w:t>
      </w:r>
    </w:p>
    <w:p w:rsidR="00D361D7" w:rsidRDefault="00D361D7" w:rsidP="00D361D7">
      <w:pPr>
        <w:numPr>
          <w:ilvl w:val="0"/>
          <w:numId w:val="5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Fakturace za dohodnutý počet vstupenek bude probíhat postupně po každém odběru vstupenek až do vyčerpání stanovené částky. Sp</w:t>
      </w:r>
      <w:r w:rsidR="00CA23B0">
        <w:rPr>
          <w:rFonts w:ascii="Segoe UI" w:hAnsi="Segoe UI" w:cs="Segoe UI"/>
          <w:sz w:val="22"/>
          <w:szCs w:val="22"/>
        </w:rPr>
        <w:t>latnost faktur bude 31. 12. 2018</w:t>
      </w:r>
      <w:r>
        <w:rPr>
          <w:rFonts w:ascii="Segoe UI" w:hAnsi="Segoe UI" w:cs="Segoe UI"/>
          <w:sz w:val="22"/>
          <w:szCs w:val="22"/>
        </w:rPr>
        <w:t>.</w:t>
      </w:r>
    </w:p>
    <w:p w:rsidR="00D361D7" w:rsidRDefault="00D361D7" w:rsidP="00D361D7">
      <w:pPr>
        <w:numPr>
          <w:ilvl w:val="0"/>
          <w:numId w:val="5"/>
        </w:numPr>
        <w:suppressAutoHyphens/>
        <w:autoSpaceDN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na premiéry budou účtovány ve dvou fakturách. P</w:t>
      </w:r>
      <w:r w:rsidR="00CA23B0">
        <w:rPr>
          <w:rFonts w:ascii="Segoe UI" w:hAnsi="Segoe UI" w:cs="Segoe UI"/>
          <w:sz w:val="22"/>
          <w:szCs w:val="22"/>
        </w:rPr>
        <w:t>remiéry na 1. pololetí roku 2018</w:t>
      </w:r>
      <w:r>
        <w:rPr>
          <w:rFonts w:ascii="Segoe UI" w:hAnsi="Segoe UI" w:cs="Segoe UI"/>
          <w:sz w:val="22"/>
          <w:szCs w:val="22"/>
        </w:rPr>
        <w:t xml:space="preserve"> bude </w:t>
      </w: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účtovat do </w:t>
      </w:r>
      <w:r w:rsidR="003569A5">
        <w:rPr>
          <w:rFonts w:ascii="Segoe UI" w:hAnsi="Segoe UI" w:cs="Segoe UI"/>
          <w:sz w:val="22"/>
          <w:szCs w:val="22"/>
        </w:rPr>
        <w:t>1</w:t>
      </w:r>
      <w:r w:rsidR="006C1B0D">
        <w:rPr>
          <w:rFonts w:ascii="Segoe UI" w:hAnsi="Segoe UI" w:cs="Segoe UI"/>
          <w:sz w:val="22"/>
          <w:szCs w:val="22"/>
        </w:rPr>
        <w:t>5</w:t>
      </w:r>
      <w:r w:rsidR="000B6E91">
        <w:rPr>
          <w:rFonts w:ascii="Segoe UI" w:hAnsi="Segoe UI" w:cs="Segoe UI"/>
          <w:sz w:val="22"/>
          <w:szCs w:val="22"/>
        </w:rPr>
        <w:t>. 2</w:t>
      </w:r>
      <w:r w:rsidR="00CA23B0">
        <w:rPr>
          <w:rFonts w:ascii="Segoe UI" w:hAnsi="Segoe UI" w:cs="Segoe UI"/>
          <w:sz w:val="22"/>
          <w:szCs w:val="22"/>
        </w:rPr>
        <w:t>. 2018</w:t>
      </w:r>
      <w:r>
        <w:rPr>
          <w:rFonts w:ascii="Segoe UI" w:hAnsi="Segoe UI" w:cs="Segoe UI"/>
          <w:sz w:val="22"/>
          <w:szCs w:val="22"/>
        </w:rPr>
        <w:t>. Vs</w:t>
      </w:r>
      <w:r w:rsidR="00CA23B0">
        <w:rPr>
          <w:rFonts w:ascii="Segoe UI" w:hAnsi="Segoe UI" w:cs="Segoe UI"/>
          <w:sz w:val="22"/>
          <w:szCs w:val="22"/>
        </w:rPr>
        <w:t>tupenky na 2. pololetí roku 2018 bude NdB účtovat do 5</w:t>
      </w:r>
      <w:r>
        <w:rPr>
          <w:rFonts w:ascii="Segoe UI" w:hAnsi="Segoe UI" w:cs="Segoe UI"/>
          <w:sz w:val="22"/>
          <w:szCs w:val="22"/>
        </w:rPr>
        <w:t>. 9. 201</w:t>
      </w:r>
      <w:r w:rsidR="00CA23B0">
        <w:rPr>
          <w:rFonts w:ascii="Segoe UI" w:hAnsi="Segoe UI" w:cs="Segoe UI"/>
          <w:sz w:val="22"/>
          <w:szCs w:val="22"/>
        </w:rPr>
        <w:t>8</w:t>
      </w:r>
      <w:r>
        <w:rPr>
          <w:rFonts w:ascii="Segoe UI" w:hAnsi="Segoe UI" w:cs="Segoe UI"/>
          <w:sz w:val="22"/>
          <w:szCs w:val="22"/>
        </w:rPr>
        <w:t>. Splatnost</w:t>
      </w:r>
      <w:r w:rsidR="00CA23B0">
        <w:rPr>
          <w:rFonts w:ascii="Segoe UI" w:hAnsi="Segoe UI" w:cs="Segoe UI"/>
          <w:sz w:val="22"/>
          <w:szCs w:val="22"/>
        </w:rPr>
        <w:t xml:space="preserve"> těchto faktur bude 31. 12. 2018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D361D7" w:rsidRDefault="00D361D7" w:rsidP="00D361D7">
      <w:pPr>
        <w:numPr>
          <w:ilvl w:val="0"/>
          <w:numId w:val="5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Faktury budou mít veškeré náležitosti daňového dokladu dle zákona č. 235/2004 Sb. o dani z přidané hodnoty. Smluvní strany souhlasí se vzájemným zápočtem faktur. Faktury budou opatřeny dodatkem: „Neproplácet – reciproce“.</w:t>
      </w:r>
    </w:p>
    <w:p w:rsidR="00D361D7" w:rsidRDefault="00D361D7" w:rsidP="00D361D7">
      <w:pPr>
        <w:numPr>
          <w:ilvl w:val="0"/>
          <w:numId w:val="5"/>
        </w:numPr>
        <w:autoSpaceDE w:val="0"/>
        <w:autoSpaceDN w:val="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Vznikne-li při plnění dle této smlouvy kterékoliv ze stran škoda, má tato nárok na náhradu škody ve výši dohodnuté mezi smluvními stranami, kterou nepochybně prokáže.</w:t>
      </w:r>
    </w:p>
    <w:p w:rsidR="00D361D7" w:rsidRDefault="00D361D7" w:rsidP="00D361D7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D361D7" w:rsidRDefault="00D361D7" w:rsidP="00D361D7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D361D7" w:rsidRDefault="00D361D7" w:rsidP="00D361D7">
      <w:pPr>
        <w:rPr>
          <w:rFonts w:ascii="Segoe UI" w:hAnsi="Segoe UI" w:cs="Segoe UI"/>
          <w:b/>
          <w:bCs/>
          <w:sz w:val="22"/>
          <w:szCs w:val="22"/>
        </w:rPr>
      </w:pPr>
    </w:p>
    <w:p w:rsidR="00D361D7" w:rsidRDefault="00D361D7" w:rsidP="00D361D7">
      <w:pPr>
        <w:pStyle w:val="Zkladntext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Čl. IV.</w:t>
      </w:r>
    </w:p>
    <w:p w:rsidR="00D361D7" w:rsidRDefault="00D361D7" w:rsidP="00D361D7">
      <w:pPr>
        <w:pStyle w:val="Zkladntext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Ostatní ujednání</w:t>
      </w:r>
    </w:p>
    <w:p w:rsidR="00D361D7" w:rsidRDefault="00D361D7" w:rsidP="00D361D7">
      <w:pPr>
        <w:pStyle w:val="Zkladntext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D361D7" w:rsidRDefault="00D361D7" w:rsidP="00D361D7">
      <w:pPr>
        <w:pStyle w:val="Zkladntext"/>
        <w:widowControl/>
        <w:numPr>
          <w:ilvl w:val="0"/>
          <w:numId w:val="6"/>
        </w:numPr>
        <w:autoSpaceDE w:val="0"/>
        <w:autoSpaceDN w:val="0"/>
        <w:ind w:right="14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Smlouva se uzavírá na dobu určitou, a to s platností ode dne podpisu oběma smluvn</w:t>
      </w:r>
      <w:r w:rsidR="00CA23B0">
        <w:rPr>
          <w:rFonts w:ascii="Segoe UI" w:hAnsi="Segoe UI" w:cs="Segoe UI"/>
          <w:sz w:val="22"/>
          <w:szCs w:val="22"/>
        </w:rPr>
        <w:t>ími stranami do dne 31. 12. 2018</w:t>
      </w:r>
      <w:r>
        <w:rPr>
          <w:rFonts w:ascii="Segoe UI" w:hAnsi="Segoe UI" w:cs="Segoe UI"/>
          <w:sz w:val="22"/>
          <w:szCs w:val="22"/>
        </w:rPr>
        <w:t>.</w:t>
      </w:r>
    </w:p>
    <w:p w:rsidR="00930412" w:rsidRPr="00930412" w:rsidRDefault="00930412" w:rsidP="00930412">
      <w:pPr>
        <w:pStyle w:val="Zkladntextodsazen2"/>
        <w:numPr>
          <w:ilvl w:val="0"/>
          <w:numId w:val="6"/>
        </w:numPr>
        <w:suppressAutoHyphens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 w:rsidRPr="00237880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D361D7" w:rsidRDefault="00D361D7" w:rsidP="00930412">
      <w:pPr>
        <w:pStyle w:val="Zkladntext"/>
        <w:widowControl/>
        <w:numPr>
          <w:ilvl w:val="0"/>
          <w:numId w:val="6"/>
        </w:numPr>
        <w:autoSpaceDE w:val="0"/>
        <w:autoSpaceDN w:val="0"/>
        <w:ind w:right="14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Veškeré změny a doplňky smlouvy musí mít písemnou formu, odsouhlasenou a podepsanou oběma smluvními stranami.</w:t>
      </w:r>
    </w:p>
    <w:p w:rsidR="00D361D7" w:rsidRPr="00930412" w:rsidRDefault="00D361D7" w:rsidP="00930412">
      <w:pPr>
        <w:pStyle w:val="Zkladntext"/>
        <w:widowControl/>
        <w:numPr>
          <w:ilvl w:val="0"/>
          <w:numId w:val="6"/>
        </w:numPr>
        <w:autoSpaceDE w:val="0"/>
        <w:autoSpaceDN w:val="0"/>
        <w:ind w:right="142"/>
        <w:rPr>
          <w:rFonts w:ascii="Segoe UI" w:hAnsi="Segoe UI" w:cs="Segoe UI"/>
          <w:sz w:val="22"/>
          <w:szCs w:val="22"/>
        </w:rPr>
      </w:pPr>
      <w:r w:rsidRPr="00930412">
        <w:rPr>
          <w:rFonts w:ascii="Segoe UI" w:hAnsi="Segoe UI" w:cs="Segoe UI"/>
          <w:sz w:val="22"/>
          <w:szCs w:val="22"/>
        </w:rPr>
        <w:t>Magnus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:rsidR="00D361D7" w:rsidRDefault="00930412" w:rsidP="00930412">
      <w:pPr>
        <w:pStyle w:val="Zkladntext"/>
        <w:widowControl/>
        <w:autoSpaceDE w:val="0"/>
        <w:autoSpaceDN w:val="0"/>
        <w:ind w:right="14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5. </w:t>
      </w:r>
      <w:r w:rsidR="00D361D7">
        <w:rPr>
          <w:rFonts w:ascii="Segoe UI" w:hAnsi="Segoe UI" w:cs="Segoe UI"/>
          <w:sz w:val="22"/>
          <w:szCs w:val="22"/>
        </w:rPr>
        <w:t>Smluvní strany prohlašují, že si Smlouvu řádně přečetly, jejímu obsahu rozumějí a smlouvu podepisují z vlastní svobodné vůle, nikoli v tísni nebo za nápadně nevýhodných podmínek.</w:t>
      </w:r>
    </w:p>
    <w:p w:rsidR="00D361D7" w:rsidRDefault="00D361D7" w:rsidP="00D361D7">
      <w:pPr>
        <w:pStyle w:val="Zkladntext"/>
        <w:tabs>
          <w:tab w:val="left" w:pos="5670"/>
        </w:tabs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pStyle w:val="Zkladntext"/>
        <w:tabs>
          <w:tab w:val="left" w:pos="567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Brně dne</w:t>
      </w:r>
      <w:r>
        <w:rPr>
          <w:rFonts w:ascii="Segoe UI" w:hAnsi="Segoe UI" w:cs="Segoe UI"/>
          <w:sz w:val="22"/>
          <w:szCs w:val="22"/>
        </w:rPr>
        <w:tab/>
        <w:t>V Brně dne</w:t>
      </w:r>
      <w:r>
        <w:rPr>
          <w:rFonts w:ascii="Segoe UI" w:hAnsi="Segoe UI" w:cs="Segoe UI"/>
          <w:sz w:val="22"/>
          <w:szCs w:val="22"/>
        </w:rPr>
        <w:tab/>
      </w:r>
    </w:p>
    <w:p w:rsidR="00D361D7" w:rsidRDefault="00D361D7" w:rsidP="00D361D7">
      <w:pPr>
        <w:pStyle w:val="Zkladntext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pStyle w:val="Zkladntext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pStyle w:val="Zkladntext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pStyle w:val="Zkladntext"/>
        <w:rPr>
          <w:rFonts w:ascii="Segoe UI" w:hAnsi="Segoe UI" w:cs="Segoe UI"/>
          <w:sz w:val="22"/>
          <w:szCs w:val="22"/>
        </w:rPr>
      </w:pPr>
    </w:p>
    <w:p w:rsidR="00D361D7" w:rsidRDefault="00D361D7" w:rsidP="00D361D7">
      <w:pPr>
        <w:pStyle w:val="Zkladn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-------------------------------------------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------------------------------------------</w:t>
      </w:r>
      <w:r>
        <w:rPr>
          <w:rFonts w:ascii="Segoe UI" w:hAnsi="Segoe UI" w:cs="Segoe UI"/>
          <w:sz w:val="22"/>
          <w:szCs w:val="22"/>
        </w:rPr>
        <w:tab/>
        <w:t xml:space="preserve"> MgA. Martin Glaser</w:t>
      </w:r>
      <w:r>
        <w:rPr>
          <w:rFonts w:ascii="Segoe UI" w:hAnsi="Segoe UI" w:cs="Segoe UI"/>
          <w:sz w:val="22"/>
          <w:szCs w:val="22"/>
        </w:rPr>
        <w:tab/>
        <w:t xml:space="preserve">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Magda Slaninová</w:t>
      </w:r>
    </w:p>
    <w:p w:rsidR="00D361D7" w:rsidRDefault="00D361D7" w:rsidP="00D361D7">
      <w:pPr>
        <w:pStyle w:val="Zkladntext"/>
        <w:tabs>
          <w:tab w:val="left" w:pos="567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Národní divadlo Brno,                                                Magnus Regio s.r.o.</w:t>
      </w:r>
    </w:p>
    <w:p w:rsidR="00D361D7" w:rsidRDefault="00D361D7" w:rsidP="00D361D7">
      <w:pPr>
        <w:pStyle w:val="Zkladntext"/>
        <w:tabs>
          <w:tab w:val="left" w:pos="567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příspěvková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:rsidR="00D361D7" w:rsidRDefault="00D361D7" w:rsidP="00D361D7">
      <w:pPr>
        <w:rPr>
          <w:rFonts w:ascii="Segoe UI" w:hAnsi="Segoe UI" w:cs="Segoe UI"/>
          <w:sz w:val="22"/>
          <w:szCs w:val="22"/>
        </w:rPr>
      </w:pPr>
    </w:p>
    <w:sectPr w:rsidR="00D361D7" w:rsidSect="00D0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C073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27"/>
    <w:multiLevelType w:val="singleLevel"/>
    <w:tmpl w:val="2DDEF36E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/>
        <w:b w:val="0"/>
        <w:i w:val="0"/>
      </w:rPr>
    </w:lvl>
  </w:abstractNum>
  <w:abstractNum w:abstractNumId="1">
    <w:nsid w:val="2E5A65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339920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4195231"/>
    <w:multiLevelType w:val="hybridMultilevel"/>
    <w:tmpl w:val="78FE4A58"/>
    <w:lvl w:ilvl="0" w:tplc="0A7C70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6FA4F59"/>
    <w:multiLevelType w:val="hybridMultilevel"/>
    <w:tmpl w:val="9C526170"/>
    <w:lvl w:ilvl="0" w:tplc="7A2A1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70310F4"/>
    <w:multiLevelType w:val="hybridMultilevel"/>
    <w:tmpl w:val="37A4E4F8"/>
    <w:lvl w:ilvl="0" w:tplc="0FDCE5AA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7A945D80"/>
    <w:multiLevelType w:val="multilevel"/>
    <w:tmpl w:val="56EAC5C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D4A5F"/>
    <w:multiLevelType w:val="multilevel"/>
    <w:tmpl w:val="97BC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D361D7"/>
    <w:rsid w:val="000B6E91"/>
    <w:rsid w:val="000D5734"/>
    <w:rsid w:val="00133AFB"/>
    <w:rsid w:val="00193792"/>
    <w:rsid w:val="002A254C"/>
    <w:rsid w:val="003569A5"/>
    <w:rsid w:val="005A20DB"/>
    <w:rsid w:val="005C5A69"/>
    <w:rsid w:val="006C1B0D"/>
    <w:rsid w:val="007F38F3"/>
    <w:rsid w:val="00845CF4"/>
    <w:rsid w:val="008815C2"/>
    <w:rsid w:val="008874D1"/>
    <w:rsid w:val="008A3485"/>
    <w:rsid w:val="009267C0"/>
    <w:rsid w:val="00930412"/>
    <w:rsid w:val="009F4263"/>
    <w:rsid w:val="00AF05D9"/>
    <w:rsid w:val="00B50B86"/>
    <w:rsid w:val="00CA23B0"/>
    <w:rsid w:val="00D029D4"/>
    <w:rsid w:val="00D361D7"/>
    <w:rsid w:val="00DE2DC4"/>
    <w:rsid w:val="00E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361D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361D7"/>
    <w:pPr>
      <w:spacing w:before="100" w:beforeAutospacing="1" w:after="100" w:afterAutospacing="1"/>
    </w:pPr>
    <w:rPr>
      <w:szCs w:val="24"/>
    </w:rPr>
  </w:style>
  <w:style w:type="character" w:customStyle="1" w:styleId="NzevChar">
    <w:name w:val="Název Char"/>
    <w:basedOn w:val="Standardnpsmoodstavce"/>
    <w:link w:val="Nzev"/>
    <w:rsid w:val="00D361D7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D361D7"/>
    <w:pPr>
      <w:widowControl w:val="0"/>
      <w:snapToGrid w:val="0"/>
    </w:pPr>
  </w:style>
  <w:style w:type="character" w:customStyle="1" w:styleId="ZkladntextChar">
    <w:name w:val="Základní text Char"/>
    <w:basedOn w:val="Standardnpsmoodstavce"/>
    <w:link w:val="Zkladntext"/>
    <w:rsid w:val="00D361D7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361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361D7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361D7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D361D7"/>
    <w:pPr>
      <w:autoSpaceDE w:val="0"/>
      <w:autoSpaceDN w:val="0"/>
      <w:spacing w:after="120"/>
      <w:ind w:left="283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67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7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7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7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brno.cz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magnusregio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vskehospodarstvi.cz" TargetMode="External"/><Relationship Id="rId5" Type="http://schemas.openxmlformats.org/officeDocument/2006/relationships/hyperlink" Target="http://www.moravskehospodarst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3</cp:revision>
  <dcterms:created xsi:type="dcterms:W3CDTF">2018-02-08T14:28:00Z</dcterms:created>
  <dcterms:modified xsi:type="dcterms:W3CDTF">2018-02-08T14:31:00Z</dcterms:modified>
</cp:coreProperties>
</file>