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6B" w:rsidRDefault="002674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6"/>
        <w:gridCol w:w="160"/>
        <w:gridCol w:w="4938"/>
      </w:tblGrid>
      <w:tr w:rsidR="0026746B" w:rsidRPr="0026746B" w:rsidTr="004C60F8">
        <w:trPr>
          <w:trHeight w:val="420"/>
        </w:trPr>
        <w:tc>
          <w:tcPr>
            <w:tcW w:w="2500" w:type="pct"/>
            <w:shd w:val="clear" w:color="auto" w:fill="auto"/>
            <w:vAlign w:val="center"/>
            <w:hideMark/>
          </w:tcPr>
          <w:p w:rsidR="0026746B" w:rsidRPr="0026746B" w:rsidRDefault="0026746B" w:rsidP="0026746B">
            <w:pPr>
              <w:spacing w:after="0" w:line="240" w:lineRule="auto"/>
              <w:jc w:val="center"/>
              <w:rPr>
                <w:rFonts w:ascii="Calibri" w:eastAsia="Times New Roman" w:hAnsi="Calibri" w:cs="Calibri"/>
                <w:b/>
                <w:bCs/>
                <w:color w:val="000000"/>
                <w:sz w:val="32"/>
                <w:szCs w:val="32"/>
                <w:lang w:eastAsia="cs-CZ"/>
              </w:rPr>
            </w:pPr>
            <w:r w:rsidRPr="0026746B">
              <w:rPr>
                <w:rFonts w:ascii="Calibri" w:eastAsia="Times New Roman" w:hAnsi="Calibri" w:cs="Calibri"/>
                <w:b/>
                <w:bCs/>
                <w:color w:val="000000"/>
                <w:sz w:val="32"/>
                <w:szCs w:val="32"/>
                <w:lang w:val="en-US" w:eastAsia="cs-CZ"/>
              </w:rPr>
              <w:t>PURCHASE CONTRACT</w:t>
            </w:r>
          </w:p>
        </w:tc>
        <w:tc>
          <w:tcPr>
            <w:tcW w:w="78" w:type="pct"/>
            <w:shd w:val="clear" w:color="auto" w:fill="auto"/>
            <w:vAlign w:val="center"/>
            <w:hideMark/>
          </w:tcPr>
          <w:p w:rsidR="0026746B" w:rsidRPr="0026746B" w:rsidRDefault="0026746B" w:rsidP="0026746B">
            <w:pPr>
              <w:spacing w:after="0" w:line="240" w:lineRule="auto"/>
              <w:jc w:val="center"/>
              <w:rPr>
                <w:rFonts w:ascii="Calibri" w:eastAsia="Times New Roman" w:hAnsi="Calibri" w:cs="Calibri"/>
                <w:b/>
                <w:bCs/>
                <w:color w:val="000000"/>
                <w:sz w:val="32"/>
                <w:szCs w:val="32"/>
                <w:lang w:eastAsia="cs-CZ"/>
              </w:rPr>
            </w:pPr>
          </w:p>
        </w:tc>
        <w:tc>
          <w:tcPr>
            <w:tcW w:w="2422" w:type="pct"/>
            <w:shd w:val="clear" w:color="auto" w:fill="auto"/>
            <w:vAlign w:val="center"/>
            <w:hideMark/>
          </w:tcPr>
          <w:p w:rsidR="0026746B" w:rsidRPr="0026746B" w:rsidRDefault="0026746B" w:rsidP="0026746B">
            <w:pPr>
              <w:spacing w:after="0" w:line="240" w:lineRule="auto"/>
              <w:jc w:val="center"/>
              <w:rPr>
                <w:rFonts w:ascii="Calibri" w:eastAsia="Times New Roman" w:hAnsi="Calibri" w:cs="Calibri"/>
                <w:b/>
                <w:bCs/>
                <w:color w:val="000000"/>
                <w:sz w:val="32"/>
                <w:szCs w:val="32"/>
                <w:lang w:eastAsia="cs-CZ"/>
              </w:rPr>
            </w:pPr>
            <w:r w:rsidRPr="0026746B">
              <w:rPr>
                <w:rFonts w:ascii="Calibri" w:eastAsia="Times New Roman" w:hAnsi="Calibri" w:cs="Calibri"/>
                <w:b/>
                <w:bCs/>
                <w:color w:val="000000"/>
                <w:sz w:val="32"/>
                <w:szCs w:val="32"/>
                <w:lang w:eastAsia="cs-CZ"/>
              </w:rPr>
              <w:t>KUPNÍ SMLOUVA</w:t>
            </w:r>
          </w:p>
        </w:tc>
      </w:tr>
      <w:tr w:rsidR="0026746B" w:rsidRPr="0026746B" w:rsidTr="004C60F8">
        <w:trPr>
          <w:trHeight w:val="1260"/>
        </w:trPr>
        <w:tc>
          <w:tcPr>
            <w:tcW w:w="2500" w:type="pct"/>
            <w:shd w:val="clear" w:color="auto" w:fill="auto"/>
            <w:vAlign w:val="center"/>
            <w:hideMark/>
          </w:tcPr>
          <w:p w:rsidR="0026746B" w:rsidRPr="0026746B" w:rsidRDefault="0026746B" w:rsidP="0026746B">
            <w:pPr>
              <w:spacing w:after="0" w:line="240" w:lineRule="auto"/>
              <w:jc w:val="center"/>
              <w:rPr>
                <w:rFonts w:ascii="Calibri" w:eastAsia="Times New Roman" w:hAnsi="Calibri" w:cs="Calibri"/>
                <w:color w:val="000000"/>
                <w:lang w:eastAsia="cs-CZ"/>
              </w:rPr>
            </w:pPr>
            <w:r w:rsidRPr="0026746B">
              <w:rPr>
                <w:rFonts w:ascii="Calibri" w:eastAsia="Times New Roman" w:hAnsi="Calibri" w:cs="Calibri"/>
                <w:color w:val="000000"/>
                <w:lang w:val="en-US" w:eastAsia="cs-CZ"/>
              </w:rPr>
              <w:t>Entered into pursuant to Section 2079 et seq. of Act no. 89/2012 Coll., Civil Code (the “Civil Code”) on the below-mentioned day, month and year and under the following conditions by the following parties</w:t>
            </w:r>
          </w:p>
        </w:tc>
        <w:tc>
          <w:tcPr>
            <w:tcW w:w="78" w:type="pct"/>
            <w:shd w:val="clear" w:color="auto" w:fill="auto"/>
            <w:vAlign w:val="center"/>
            <w:hideMark/>
          </w:tcPr>
          <w:p w:rsidR="0026746B" w:rsidRPr="0026746B" w:rsidRDefault="0026746B" w:rsidP="0026746B">
            <w:pPr>
              <w:spacing w:after="0" w:line="240" w:lineRule="auto"/>
              <w:jc w:val="center"/>
              <w:rPr>
                <w:rFonts w:ascii="Calibri" w:eastAsia="Times New Roman" w:hAnsi="Calibri" w:cs="Calibri"/>
                <w:color w:val="000000"/>
                <w:lang w:eastAsia="cs-CZ"/>
              </w:rPr>
            </w:pPr>
          </w:p>
        </w:tc>
        <w:tc>
          <w:tcPr>
            <w:tcW w:w="2422" w:type="pct"/>
            <w:shd w:val="clear" w:color="auto" w:fill="auto"/>
            <w:vAlign w:val="center"/>
            <w:hideMark/>
          </w:tcPr>
          <w:p w:rsidR="0026746B" w:rsidRPr="0026746B" w:rsidRDefault="0026746B" w:rsidP="0026746B">
            <w:pPr>
              <w:spacing w:after="0" w:line="240" w:lineRule="auto"/>
              <w:jc w:val="center"/>
              <w:rPr>
                <w:rFonts w:ascii="Calibri" w:eastAsia="Times New Roman" w:hAnsi="Calibri" w:cs="Calibri"/>
                <w:color w:val="000000"/>
                <w:lang w:eastAsia="cs-CZ"/>
              </w:rPr>
            </w:pPr>
            <w:r w:rsidRPr="0026746B">
              <w:rPr>
                <w:rFonts w:ascii="Calibri" w:eastAsia="Times New Roman" w:hAnsi="Calibri" w:cs="Calibri"/>
                <w:color w:val="000000"/>
                <w:lang w:eastAsia="cs-CZ"/>
              </w:rPr>
              <w:t>kterou ve smyslu § 2079 a násl. zákona č. 89/2012 Sb., občanského zákoníku (dále jen „občanský zákoník“) uzavřely níže uvedeného dne, měsíce a roku a za následujících podmínek tyto smluvní strany</w:t>
            </w:r>
          </w:p>
        </w:tc>
      </w:tr>
      <w:tr w:rsidR="00A73819" w:rsidRPr="0026746B" w:rsidTr="004C60F8">
        <w:trPr>
          <w:trHeight w:val="300"/>
        </w:trPr>
        <w:tc>
          <w:tcPr>
            <w:tcW w:w="5000" w:type="pct"/>
            <w:gridSpan w:val="3"/>
            <w:shd w:val="clear" w:color="auto" w:fill="auto"/>
            <w:vAlign w:val="center"/>
            <w:hideMark/>
          </w:tcPr>
          <w:p w:rsidR="00A73819" w:rsidRPr="00A73819" w:rsidRDefault="00A73819" w:rsidP="00A73819">
            <w:pPr>
              <w:spacing w:before="120" w:after="0" w:line="240" w:lineRule="auto"/>
              <w:jc w:val="center"/>
              <w:rPr>
                <w:rFonts w:ascii="Calibri" w:hAnsi="Calibri"/>
              </w:rPr>
            </w:pPr>
            <w:r w:rsidRPr="00A73819">
              <w:rPr>
                <w:rFonts w:ascii="Calibri" w:hAnsi="Calibri"/>
                <w:caps/>
              </w:rPr>
              <w:t>č</w:t>
            </w:r>
            <w:r w:rsidRPr="00A73819">
              <w:rPr>
                <w:rFonts w:ascii="Calibri" w:hAnsi="Calibri"/>
              </w:rPr>
              <w:t>íslo</w:t>
            </w:r>
            <w:r w:rsidRPr="00A73819">
              <w:rPr>
                <w:rFonts w:ascii="Calibri" w:hAnsi="Calibri"/>
                <w:caps/>
              </w:rPr>
              <w:t xml:space="preserve"> </w:t>
            </w:r>
            <w:r w:rsidRPr="00A73819">
              <w:rPr>
                <w:rFonts w:ascii="Calibri" w:hAnsi="Calibri"/>
              </w:rPr>
              <w:t xml:space="preserve">kupujícího / </w:t>
            </w:r>
            <w:proofErr w:type="spellStart"/>
            <w:r w:rsidRPr="00A73819">
              <w:rPr>
                <w:rFonts w:ascii="Calibri" w:hAnsi="Calibri"/>
                <w:caps/>
              </w:rPr>
              <w:t>B</w:t>
            </w:r>
            <w:r w:rsidRPr="00A73819">
              <w:rPr>
                <w:rFonts w:ascii="Calibri" w:hAnsi="Calibri"/>
              </w:rPr>
              <w:t>uyer's</w:t>
            </w:r>
            <w:proofErr w:type="spellEnd"/>
            <w:r w:rsidRPr="00A73819">
              <w:rPr>
                <w:rFonts w:ascii="Calibri" w:hAnsi="Calibri"/>
                <w:caps/>
              </w:rPr>
              <w:t xml:space="preserve"> </w:t>
            </w:r>
            <w:proofErr w:type="spellStart"/>
            <w:r w:rsidRPr="00A73819">
              <w:rPr>
                <w:rFonts w:ascii="Calibri" w:hAnsi="Calibri"/>
              </w:rPr>
              <w:t>number</w:t>
            </w:r>
            <w:proofErr w:type="spellEnd"/>
            <w:r w:rsidRPr="00A73819">
              <w:rPr>
                <w:rFonts w:ascii="Calibri" w:hAnsi="Calibri"/>
              </w:rPr>
              <w:t xml:space="preserve">: </w:t>
            </w:r>
            <w:r w:rsidR="004C60F8">
              <w:rPr>
                <w:rFonts w:ascii="Calibri" w:hAnsi="Calibri"/>
              </w:rPr>
              <w:t>02734/</w:t>
            </w:r>
            <w:r w:rsidRPr="00A73819">
              <w:rPr>
                <w:rFonts w:ascii="Calibri" w:hAnsi="Calibri"/>
              </w:rPr>
              <w:t>201</w:t>
            </w:r>
            <w:r w:rsidR="004C60F8">
              <w:rPr>
                <w:rFonts w:ascii="Calibri" w:hAnsi="Calibri"/>
              </w:rPr>
              <w:t>8</w:t>
            </w:r>
            <w:r w:rsidRPr="00A73819">
              <w:rPr>
                <w:rFonts w:ascii="Calibri" w:hAnsi="Calibri"/>
              </w:rPr>
              <w:t>/00</w:t>
            </w:r>
          </w:p>
          <w:p w:rsidR="00A73819" w:rsidRPr="0026746B" w:rsidRDefault="00A73819" w:rsidP="00A73819">
            <w:pPr>
              <w:spacing w:after="120" w:line="240" w:lineRule="auto"/>
              <w:jc w:val="center"/>
              <w:rPr>
                <w:rFonts w:ascii="Times New Roman" w:eastAsia="Times New Roman" w:hAnsi="Times New Roman" w:cs="Times New Roman"/>
                <w:sz w:val="20"/>
                <w:szCs w:val="20"/>
                <w:lang w:eastAsia="cs-CZ"/>
              </w:rPr>
            </w:pPr>
            <w:r w:rsidRPr="00A73819">
              <w:rPr>
                <w:rFonts w:ascii="Calibri" w:hAnsi="Calibri"/>
              </w:rPr>
              <w:t xml:space="preserve">Číslo prodávajícího / </w:t>
            </w:r>
            <w:proofErr w:type="spellStart"/>
            <w:r w:rsidRPr="00A73819">
              <w:rPr>
                <w:rFonts w:ascii="Calibri" w:hAnsi="Calibri"/>
              </w:rPr>
              <w:t>Seller's</w:t>
            </w:r>
            <w:proofErr w:type="spellEnd"/>
            <w:r w:rsidRPr="00A73819">
              <w:rPr>
                <w:rFonts w:ascii="Calibri" w:hAnsi="Calibri"/>
              </w:rPr>
              <w:t xml:space="preserve"> </w:t>
            </w:r>
            <w:proofErr w:type="spellStart"/>
            <w:r w:rsidRPr="00A73819">
              <w:rPr>
                <w:rFonts w:ascii="Calibri" w:hAnsi="Calibri"/>
              </w:rPr>
              <w:t>number</w:t>
            </w:r>
            <w:proofErr w:type="spellEnd"/>
            <w:r w:rsidRPr="00A73819">
              <w:rPr>
                <w:rFonts w:ascii="Calibri" w:hAnsi="Calibri"/>
              </w:rPr>
              <w:t>:</w:t>
            </w:r>
          </w:p>
        </w:tc>
      </w:tr>
      <w:tr w:rsidR="00A73819" w:rsidRPr="0026746B" w:rsidTr="004C60F8">
        <w:trPr>
          <w:trHeight w:val="300"/>
        </w:trPr>
        <w:tc>
          <w:tcPr>
            <w:tcW w:w="2500" w:type="pct"/>
            <w:shd w:val="clear" w:color="auto" w:fill="auto"/>
            <w:vAlign w:val="center"/>
          </w:tcPr>
          <w:p w:rsidR="00A73819" w:rsidRPr="0026746B" w:rsidRDefault="00A73819" w:rsidP="0026746B">
            <w:pPr>
              <w:spacing w:after="0" w:line="240" w:lineRule="auto"/>
              <w:rPr>
                <w:rFonts w:ascii="Calibri" w:eastAsia="Times New Roman" w:hAnsi="Calibri" w:cs="Calibri"/>
                <w:b/>
                <w:bCs/>
                <w:color w:val="000000"/>
                <w:lang w:val="en-US" w:eastAsia="cs-CZ"/>
              </w:rPr>
            </w:pPr>
          </w:p>
        </w:tc>
        <w:tc>
          <w:tcPr>
            <w:tcW w:w="78" w:type="pct"/>
            <w:shd w:val="clear" w:color="auto" w:fill="auto"/>
            <w:vAlign w:val="center"/>
          </w:tcPr>
          <w:p w:rsidR="00A73819" w:rsidRPr="0026746B" w:rsidRDefault="00A73819" w:rsidP="0026746B">
            <w:pPr>
              <w:spacing w:after="0" w:line="240" w:lineRule="auto"/>
              <w:rPr>
                <w:rFonts w:ascii="Calibri" w:eastAsia="Times New Roman" w:hAnsi="Calibri" w:cs="Calibri"/>
                <w:b/>
                <w:bCs/>
                <w:color w:val="000000"/>
                <w:lang w:eastAsia="cs-CZ"/>
              </w:rPr>
            </w:pPr>
          </w:p>
        </w:tc>
        <w:tc>
          <w:tcPr>
            <w:tcW w:w="2422" w:type="pct"/>
            <w:shd w:val="clear" w:color="auto" w:fill="auto"/>
            <w:vAlign w:val="center"/>
          </w:tcPr>
          <w:p w:rsidR="00A73819" w:rsidRPr="0026746B" w:rsidRDefault="00A73819" w:rsidP="0026746B">
            <w:pPr>
              <w:spacing w:after="0" w:line="240" w:lineRule="auto"/>
              <w:rPr>
                <w:rFonts w:ascii="Calibri" w:eastAsia="Times New Roman" w:hAnsi="Calibri" w:cs="Calibri"/>
                <w:b/>
                <w:bCs/>
                <w:color w:val="000000"/>
                <w:lang w:eastAsia="cs-CZ"/>
              </w:rPr>
            </w:pPr>
          </w:p>
        </w:tc>
      </w:tr>
      <w:tr w:rsidR="0026746B" w:rsidRPr="0026746B" w:rsidTr="004C60F8">
        <w:trPr>
          <w:trHeight w:val="300"/>
        </w:trPr>
        <w:tc>
          <w:tcPr>
            <w:tcW w:w="2500" w:type="pct"/>
            <w:shd w:val="clear" w:color="auto" w:fill="auto"/>
            <w:vAlign w:val="center"/>
            <w:hideMark/>
          </w:tcPr>
          <w:p w:rsidR="0026746B" w:rsidRPr="0026746B" w:rsidRDefault="0026746B" w:rsidP="0026746B">
            <w:pPr>
              <w:spacing w:after="0" w:line="240" w:lineRule="auto"/>
              <w:rPr>
                <w:rFonts w:ascii="Calibri" w:eastAsia="Times New Roman" w:hAnsi="Calibri" w:cs="Calibri"/>
                <w:b/>
                <w:bCs/>
                <w:color w:val="000000"/>
                <w:lang w:eastAsia="cs-CZ"/>
              </w:rPr>
            </w:pPr>
            <w:r w:rsidRPr="0026746B">
              <w:rPr>
                <w:rFonts w:ascii="Calibri" w:eastAsia="Times New Roman" w:hAnsi="Calibri" w:cs="Calibri"/>
                <w:b/>
                <w:bCs/>
                <w:color w:val="000000"/>
                <w:lang w:val="en-US" w:eastAsia="cs-CZ"/>
              </w:rPr>
              <w:t>BUYER</w:t>
            </w:r>
          </w:p>
        </w:tc>
        <w:tc>
          <w:tcPr>
            <w:tcW w:w="78" w:type="pct"/>
            <w:shd w:val="clear" w:color="auto" w:fill="auto"/>
            <w:vAlign w:val="center"/>
            <w:hideMark/>
          </w:tcPr>
          <w:p w:rsidR="0026746B" w:rsidRPr="0026746B" w:rsidRDefault="0026746B" w:rsidP="0026746B">
            <w:pPr>
              <w:spacing w:after="0" w:line="240" w:lineRule="auto"/>
              <w:rPr>
                <w:rFonts w:ascii="Calibri" w:eastAsia="Times New Roman" w:hAnsi="Calibri" w:cs="Calibri"/>
                <w:b/>
                <w:bCs/>
                <w:color w:val="000000"/>
                <w:lang w:eastAsia="cs-CZ"/>
              </w:rPr>
            </w:pPr>
          </w:p>
        </w:tc>
        <w:tc>
          <w:tcPr>
            <w:tcW w:w="2422" w:type="pct"/>
            <w:shd w:val="clear" w:color="auto" w:fill="auto"/>
            <w:vAlign w:val="center"/>
            <w:hideMark/>
          </w:tcPr>
          <w:p w:rsidR="0026746B" w:rsidRPr="0026746B" w:rsidRDefault="0026746B" w:rsidP="0026746B">
            <w:pPr>
              <w:spacing w:after="0" w:line="240" w:lineRule="auto"/>
              <w:rPr>
                <w:rFonts w:ascii="Calibri" w:eastAsia="Times New Roman" w:hAnsi="Calibri" w:cs="Calibri"/>
                <w:b/>
                <w:bCs/>
                <w:color w:val="000000"/>
                <w:lang w:eastAsia="cs-CZ"/>
              </w:rPr>
            </w:pPr>
            <w:r w:rsidRPr="0026746B">
              <w:rPr>
                <w:rFonts w:ascii="Calibri" w:eastAsia="Times New Roman" w:hAnsi="Calibri" w:cs="Calibri"/>
                <w:b/>
                <w:bCs/>
                <w:color w:val="000000"/>
                <w:lang w:eastAsia="cs-CZ"/>
              </w:rPr>
              <w:t>KUPUJÍCÍ</w:t>
            </w:r>
          </w:p>
        </w:tc>
      </w:tr>
      <w:tr w:rsidR="0026746B" w:rsidRPr="0026746B" w:rsidTr="004C60F8">
        <w:trPr>
          <w:trHeight w:val="600"/>
        </w:trPr>
        <w:tc>
          <w:tcPr>
            <w:tcW w:w="2500"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proofErr w:type="spellStart"/>
            <w:r w:rsidRPr="0026746B">
              <w:rPr>
                <w:rFonts w:ascii="Calibri" w:eastAsia="Times New Roman" w:hAnsi="Calibri" w:cs="Calibri"/>
                <w:color w:val="000000"/>
                <w:lang w:val="en-GB" w:eastAsia="cs-CZ"/>
              </w:rPr>
              <w:t>Vysoké</w:t>
            </w:r>
            <w:proofErr w:type="spellEnd"/>
            <w:r w:rsidRPr="0026746B">
              <w:rPr>
                <w:rFonts w:ascii="Calibri" w:eastAsia="Times New Roman" w:hAnsi="Calibri" w:cs="Calibri"/>
                <w:color w:val="000000"/>
                <w:lang w:val="en-GB" w:eastAsia="cs-CZ"/>
              </w:rPr>
              <w:t xml:space="preserve"> </w:t>
            </w:r>
            <w:proofErr w:type="spellStart"/>
            <w:r w:rsidRPr="0026746B">
              <w:rPr>
                <w:rFonts w:ascii="Calibri" w:eastAsia="Times New Roman" w:hAnsi="Calibri" w:cs="Calibri"/>
                <w:color w:val="000000"/>
                <w:lang w:val="en-GB" w:eastAsia="cs-CZ"/>
              </w:rPr>
              <w:t>učení</w:t>
            </w:r>
            <w:proofErr w:type="spellEnd"/>
            <w:r w:rsidRPr="0026746B">
              <w:rPr>
                <w:rFonts w:ascii="Calibri" w:eastAsia="Times New Roman" w:hAnsi="Calibri" w:cs="Calibri"/>
                <w:color w:val="000000"/>
                <w:lang w:val="en-GB" w:eastAsia="cs-CZ"/>
              </w:rPr>
              <w:t xml:space="preserve"> </w:t>
            </w:r>
            <w:proofErr w:type="spellStart"/>
            <w:r w:rsidRPr="0026746B">
              <w:rPr>
                <w:rFonts w:ascii="Calibri" w:eastAsia="Times New Roman" w:hAnsi="Calibri" w:cs="Calibri"/>
                <w:color w:val="000000"/>
                <w:lang w:val="en-GB" w:eastAsia="cs-CZ"/>
              </w:rPr>
              <w:t>technické</w:t>
            </w:r>
            <w:proofErr w:type="spellEnd"/>
            <w:r w:rsidRPr="0026746B">
              <w:rPr>
                <w:rFonts w:ascii="Calibri" w:eastAsia="Times New Roman" w:hAnsi="Calibri" w:cs="Calibri"/>
                <w:color w:val="000000"/>
                <w:lang w:val="en-GB" w:eastAsia="cs-CZ"/>
              </w:rPr>
              <w:t xml:space="preserve"> v </w:t>
            </w:r>
            <w:proofErr w:type="spellStart"/>
            <w:r w:rsidRPr="0026746B">
              <w:rPr>
                <w:rFonts w:ascii="Calibri" w:eastAsia="Times New Roman" w:hAnsi="Calibri" w:cs="Calibri"/>
                <w:color w:val="000000"/>
                <w:lang w:val="en-GB" w:eastAsia="cs-CZ"/>
              </w:rPr>
              <w:t>Brně</w:t>
            </w:r>
            <w:proofErr w:type="spellEnd"/>
            <w:r w:rsidRPr="0026746B">
              <w:rPr>
                <w:rFonts w:ascii="Calibri" w:eastAsia="Times New Roman" w:hAnsi="Calibri" w:cs="Calibri"/>
                <w:color w:val="000000"/>
                <w:lang w:val="en-GB" w:eastAsia="cs-CZ"/>
              </w:rPr>
              <w:t xml:space="preserve"> </w:t>
            </w:r>
            <w:r w:rsidRPr="0026746B">
              <w:rPr>
                <w:rFonts w:ascii="Calibri" w:eastAsia="Times New Roman" w:hAnsi="Calibri" w:cs="Calibri"/>
                <w:color w:val="000000"/>
                <w:lang w:val="en-GB" w:eastAsia="cs-CZ"/>
              </w:rPr>
              <w:br/>
              <w:t xml:space="preserve">Registered office: </w:t>
            </w:r>
            <w:proofErr w:type="spellStart"/>
            <w:r w:rsidRPr="0026746B">
              <w:rPr>
                <w:rFonts w:ascii="Calibri" w:eastAsia="Times New Roman" w:hAnsi="Calibri" w:cs="Calibri"/>
                <w:color w:val="000000"/>
                <w:lang w:val="en-GB" w:eastAsia="cs-CZ"/>
              </w:rPr>
              <w:t>Antonínská</w:t>
            </w:r>
            <w:proofErr w:type="spellEnd"/>
            <w:r w:rsidRPr="0026746B">
              <w:rPr>
                <w:rFonts w:ascii="Calibri" w:eastAsia="Times New Roman" w:hAnsi="Calibri" w:cs="Calibri"/>
                <w:color w:val="000000"/>
                <w:lang w:val="en-GB" w:eastAsia="cs-CZ"/>
              </w:rPr>
              <w:t xml:space="preserve"> 548/1, 601 90 Brno</w:t>
            </w:r>
          </w:p>
        </w:tc>
        <w:tc>
          <w:tcPr>
            <w:tcW w:w="78"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r w:rsidRPr="0026746B">
              <w:rPr>
                <w:rFonts w:ascii="Calibri" w:eastAsia="Times New Roman" w:hAnsi="Calibri" w:cs="Calibri"/>
                <w:color w:val="000000"/>
                <w:lang w:eastAsia="cs-CZ"/>
              </w:rPr>
              <w:t xml:space="preserve">Vysoké učení technické v Brně </w:t>
            </w:r>
            <w:r w:rsidRPr="0026746B">
              <w:rPr>
                <w:rFonts w:ascii="Calibri" w:eastAsia="Times New Roman" w:hAnsi="Calibri" w:cs="Calibri"/>
                <w:color w:val="000000"/>
                <w:lang w:eastAsia="cs-CZ"/>
              </w:rPr>
              <w:br/>
              <w:t>Sídlem: Antonínská 548/1, 601 90 Brno</w:t>
            </w:r>
          </w:p>
        </w:tc>
      </w:tr>
      <w:tr w:rsidR="0026746B" w:rsidRPr="0026746B" w:rsidTr="004C60F8">
        <w:trPr>
          <w:trHeight w:val="600"/>
        </w:trPr>
        <w:tc>
          <w:tcPr>
            <w:tcW w:w="2500"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r w:rsidRPr="0026746B">
              <w:rPr>
                <w:rFonts w:ascii="Calibri" w:eastAsia="Times New Roman" w:hAnsi="Calibri" w:cs="Calibri"/>
                <w:color w:val="000000"/>
                <w:lang w:val="en-GB" w:eastAsia="cs-CZ"/>
              </w:rPr>
              <w:t>Company ID: 00216305</w:t>
            </w:r>
            <w:r w:rsidRPr="0026746B">
              <w:rPr>
                <w:rFonts w:ascii="Calibri" w:eastAsia="Times New Roman" w:hAnsi="Calibri" w:cs="Calibri"/>
                <w:color w:val="000000"/>
                <w:lang w:val="en-GB" w:eastAsia="cs-CZ"/>
              </w:rPr>
              <w:br/>
              <w:t>VAT ID: CZ00216305</w:t>
            </w:r>
          </w:p>
        </w:tc>
        <w:tc>
          <w:tcPr>
            <w:tcW w:w="78"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r w:rsidRPr="0026746B">
              <w:rPr>
                <w:rFonts w:ascii="Calibri" w:eastAsia="Times New Roman" w:hAnsi="Calibri" w:cs="Calibri"/>
                <w:color w:val="000000"/>
                <w:lang w:eastAsia="cs-CZ"/>
              </w:rPr>
              <w:t>IČ: 00216305</w:t>
            </w:r>
            <w:r w:rsidRPr="0026746B">
              <w:rPr>
                <w:rFonts w:ascii="Calibri" w:eastAsia="Times New Roman" w:hAnsi="Calibri" w:cs="Calibri"/>
                <w:color w:val="000000"/>
                <w:lang w:eastAsia="cs-CZ"/>
              </w:rPr>
              <w:br/>
              <w:t>DIČ: CZ00216305</w:t>
            </w:r>
          </w:p>
        </w:tc>
      </w:tr>
      <w:tr w:rsidR="0026746B" w:rsidRPr="0026746B" w:rsidTr="004C60F8">
        <w:trPr>
          <w:trHeight w:val="600"/>
        </w:trPr>
        <w:tc>
          <w:tcPr>
            <w:tcW w:w="2500" w:type="pct"/>
            <w:shd w:val="clear" w:color="auto" w:fill="auto"/>
            <w:vAlign w:val="center"/>
            <w:hideMark/>
          </w:tcPr>
          <w:p w:rsidR="0026746B" w:rsidRPr="0026746B" w:rsidRDefault="0026746B" w:rsidP="00D271BB">
            <w:pPr>
              <w:spacing w:after="0" w:line="240" w:lineRule="auto"/>
              <w:rPr>
                <w:rFonts w:ascii="Calibri" w:eastAsia="Times New Roman" w:hAnsi="Calibri" w:cs="Calibri"/>
                <w:color w:val="000000"/>
                <w:lang w:eastAsia="cs-CZ"/>
              </w:rPr>
            </w:pPr>
            <w:r w:rsidRPr="0026746B">
              <w:rPr>
                <w:rFonts w:ascii="Calibri" w:eastAsia="Times New Roman" w:hAnsi="Calibri" w:cs="Calibri"/>
                <w:color w:val="000000"/>
                <w:lang w:eastAsia="cs-CZ"/>
              </w:rPr>
              <w:t xml:space="preserve">Bank </w:t>
            </w:r>
            <w:proofErr w:type="spellStart"/>
            <w:r w:rsidRPr="0026746B">
              <w:rPr>
                <w:rFonts w:ascii="Calibri" w:eastAsia="Times New Roman" w:hAnsi="Calibri" w:cs="Calibri"/>
                <w:color w:val="000000"/>
                <w:lang w:eastAsia="cs-CZ"/>
              </w:rPr>
              <w:t>details</w:t>
            </w:r>
            <w:proofErr w:type="spellEnd"/>
            <w:r w:rsidRPr="0026746B">
              <w:rPr>
                <w:rFonts w:ascii="Calibri" w:eastAsia="Times New Roman" w:hAnsi="Calibri" w:cs="Calibri"/>
                <w:color w:val="000000"/>
                <w:lang w:eastAsia="cs-CZ"/>
              </w:rPr>
              <w:t xml:space="preserve">: </w:t>
            </w:r>
            <w:r w:rsidRPr="0026746B">
              <w:rPr>
                <w:rFonts w:ascii="Calibri" w:eastAsia="Times New Roman" w:hAnsi="Calibri" w:cs="Calibri"/>
                <w:color w:val="000000"/>
                <w:lang w:eastAsia="cs-CZ"/>
              </w:rPr>
              <w:br/>
            </w:r>
            <w:proofErr w:type="spellStart"/>
            <w:r w:rsidRPr="0026746B">
              <w:rPr>
                <w:rFonts w:ascii="Calibri" w:eastAsia="Times New Roman" w:hAnsi="Calibri" w:cs="Calibri"/>
                <w:color w:val="000000"/>
                <w:lang w:eastAsia="cs-CZ"/>
              </w:rPr>
              <w:t>Account</w:t>
            </w:r>
            <w:proofErr w:type="spellEnd"/>
            <w:r w:rsidRPr="0026746B">
              <w:rPr>
                <w:rFonts w:ascii="Calibri" w:eastAsia="Times New Roman" w:hAnsi="Calibri" w:cs="Calibri"/>
                <w:color w:val="000000"/>
                <w:lang w:eastAsia="cs-CZ"/>
              </w:rPr>
              <w:t xml:space="preserve"> No. </w:t>
            </w:r>
          </w:p>
        </w:tc>
        <w:tc>
          <w:tcPr>
            <w:tcW w:w="78"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vAlign w:val="center"/>
            <w:hideMark/>
          </w:tcPr>
          <w:p w:rsidR="0026746B" w:rsidRPr="0026746B" w:rsidRDefault="0026746B" w:rsidP="00D271BB">
            <w:pPr>
              <w:spacing w:after="0" w:line="240" w:lineRule="auto"/>
              <w:rPr>
                <w:rFonts w:ascii="Calibri" w:eastAsia="Times New Roman" w:hAnsi="Calibri" w:cs="Calibri"/>
                <w:color w:val="000000"/>
                <w:lang w:eastAsia="cs-CZ"/>
              </w:rPr>
            </w:pPr>
            <w:r w:rsidRPr="0026746B">
              <w:rPr>
                <w:rFonts w:ascii="Calibri" w:eastAsia="Times New Roman" w:hAnsi="Calibri" w:cs="Calibri"/>
                <w:color w:val="000000"/>
                <w:lang w:eastAsia="cs-CZ"/>
              </w:rPr>
              <w:t xml:space="preserve">Bankovní spojení: </w:t>
            </w:r>
            <w:r w:rsidRPr="0026746B">
              <w:rPr>
                <w:rFonts w:ascii="Calibri" w:eastAsia="Times New Roman" w:hAnsi="Calibri" w:cs="Calibri"/>
                <w:color w:val="000000"/>
                <w:lang w:eastAsia="cs-CZ"/>
              </w:rPr>
              <w:br/>
              <w:t xml:space="preserve">účet č. </w:t>
            </w:r>
          </w:p>
        </w:tc>
      </w:tr>
      <w:tr w:rsidR="0026746B" w:rsidRPr="0026746B" w:rsidTr="004C60F8">
        <w:trPr>
          <w:trHeight w:val="600"/>
        </w:trPr>
        <w:tc>
          <w:tcPr>
            <w:tcW w:w="2500"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r w:rsidRPr="0026746B">
              <w:rPr>
                <w:rFonts w:ascii="Calibri" w:eastAsia="Times New Roman" w:hAnsi="Calibri" w:cs="Calibri"/>
                <w:color w:val="000000"/>
                <w:lang w:eastAsia="cs-CZ"/>
              </w:rPr>
              <w:t xml:space="preserve">Public </w:t>
            </w:r>
            <w:proofErr w:type="spellStart"/>
            <w:r w:rsidRPr="0026746B">
              <w:rPr>
                <w:rFonts w:ascii="Calibri" w:eastAsia="Times New Roman" w:hAnsi="Calibri" w:cs="Calibri"/>
                <w:color w:val="000000"/>
                <w:lang w:eastAsia="cs-CZ"/>
              </w:rPr>
              <w:t>college</w:t>
            </w:r>
            <w:proofErr w:type="spellEnd"/>
            <w:r w:rsidRPr="0026746B">
              <w:rPr>
                <w:rFonts w:ascii="Calibri" w:eastAsia="Times New Roman" w:hAnsi="Calibri" w:cs="Calibri"/>
                <w:color w:val="000000"/>
                <w:lang w:eastAsia="cs-CZ"/>
              </w:rPr>
              <w:t xml:space="preserve">, not </w:t>
            </w:r>
            <w:proofErr w:type="spellStart"/>
            <w:r w:rsidRPr="0026746B">
              <w:rPr>
                <w:rFonts w:ascii="Calibri" w:eastAsia="Times New Roman" w:hAnsi="Calibri" w:cs="Calibri"/>
                <w:color w:val="000000"/>
                <w:lang w:eastAsia="cs-CZ"/>
              </w:rPr>
              <w:t>subject</w:t>
            </w:r>
            <w:proofErr w:type="spellEnd"/>
            <w:r w:rsidRPr="0026746B">
              <w:rPr>
                <w:rFonts w:ascii="Calibri" w:eastAsia="Times New Roman" w:hAnsi="Calibri" w:cs="Calibri"/>
                <w:color w:val="000000"/>
                <w:lang w:eastAsia="cs-CZ"/>
              </w:rPr>
              <w:t xml:space="preserve"> to </w:t>
            </w:r>
            <w:proofErr w:type="spellStart"/>
            <w:r w:rsidRPr="0026746B">
              <w:rPr>
                <w:rFonts w:ascii="Calibri" w:eastAsia="Times New Roman" w:hAnsi="Calibri" w:cs="Calibri"/>
                <w:color w:val="000000"/>
                <w:lang w:eastAsia="cs-CZ"/>
              </w:rPr>
              <w:t>registration</w:t>
            </w:r>
            <w:proofErr w:type="spellEnd"/>
            <w:r w:rsidRPr="0026746B">
              <w:rPr>
                <w:rFonts w:ascii="Calibri" w:eastAsia="Times New Roman" w:hAnsi="Calibri" w:cs="Calibri"/>
                <w:color w:val="000000"/>
                <w:lang w:eastAsia="cs-CZ"/>
              </w:rPr>
              <w:t xml:space="preserve"> in </w:t>
            </w:r>
            <w:proofErr w:type="spellStart"/>
            <w:r w:rsidRPr="0026746B">
              <w:rPr>
                <w:rFonts w:ascii="Calibri" w:eastAsia="Times New Roman" w:hAnsi="Calibri" w:cs="Calibri"/>
                <w:color w:val="000000"/>
                <w:lang w:eastAsia="cs-CZ"/>
              </w:rPr>
              <w:t>the</w:t>
            </w:r>
            <w:proofErr w:type="spellEnd"/>
            <w:r w:rsidRPr="0026746B">
              <w:rPr>
                <w:rFonts w:ascii="Calibri" w:eastAsia="Times New Roman" w:hAnsi="Calibri" w:cs="Calibri"/>
                <w:color w:val="000000"/>
                <w:lang w:eastAsia="cs-CZ"/>
              </w:rPr>
              <w:t xml:space="preserve"> </w:t>
            </w:r>
            <w:proofErr w:type="spellStart"/>
            <w:r w:rsidRPr="0026746B">
              <w:rPr>
                <w:rFonts w:ascii="Calibri" w:eastAsia="Times New Roman" w:hAnsi="Calibri" w:cs="Calibri"/>
                <w:color w:val="000000"/>
                <w:lang w:eastAsia="cs-CZ"/>
              </w:rPr>
              <w:t>Company</w:t>
            </w:r>
            <w:proofErr w:type="spellEnd"/>
            <w:r w:rsidRPr="0026746B">
              <w:rPr>
                <w:rFonts w:ascii="Calibri" w:eastAsia="Times New Roman" w:hAnsi="Calibri" w:cs="Calibri"/>
                <w:color w:val="000000"/>
                <w:lang w:eastAsia="cs-CZ"/>
              </w:rPr>
              <w:t xml:space="preserve"> </w:t>
            </w:r>
            <w:proofErr w:type="spellStart"/>
            <w:r w:rsidRPr="0026746B">
              <w:rPr>
                <w:rFonts w:ascii="Calibri" w:eastAsia="Times New Roman" w:hAnsi="Calibri" w:cs="Calibri"/>
                <w:color w:val="000000"/>
                <w:lang w:eastAsia="cs-CZ"/>
              </w:rPr>
              <w:t>Register</w:t>
            </w:r>
            <w:proofErr w:type="spellEnd"/>
          </w:p>
        </w:tc>
        <w:tc>
          <w:tcPr>
            <w:tcW w:w="78"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r w:rsidRPr="0026746B">
              <w:rPr>
                <w:rFonts w:ascii="Calibri" w:eastAsia="Times New Roman" w:hAnsi="Calibri" w:cs="Calibri"/>
                <w:color w:val="000000"/>
                <w:lang w:eastAsia="cs-CZ"/>
              </w:rPr>
              <w:t>Veřejná vysoká škola, nezapisuje se do obchodního rejstříku</w:t>
            </w:r>
          </w:p>
        </w:tc>
      </w:tr>
      <w:tr w:rsidR="0026746B" w:rsidRPr="0026746B" w:rsidTr="004C60F8">
        <w:trPr>
          <w:trHeight w:val="300"/>
        </w:trPr>
        <w:tc>
          <w:tcPr>
            <w:tcW w:w="2500" w:type="pct"/>
            <w:shd w:val="clear" w:color="auto" w:fill="auto"/>
            <w:noWrap/>
            <w:vAlign w:val="bottom"/>
            <w:hideMark/>
          </w:tcPr>
          <w:p w:rsidR="0026746B" w:rsidRPr="0026746B" w:rsidRDefault="0026746B" w:rsidP="0026746B">
            <w:pPr>
              <w:spacing w:after="0" w:line="240" w:lineRule="auto"/>
              <w:rPr>
                <w:rFonts w:ascii="Calibri" w:eastAsia="Times New Roman" w:hAnsi="Calibri" w:cs="Calibri"/>
                <w:color w:val="000000"/>
                <w:u w:val="single"/>
                <w:lang w:eastAsia="cs-CZ"/>
              </w:rPr>
            </w:pPr>
            <w:r w:rsidRPr="0026746B">
              <w:rPr>
                <w:rFonts w:ascii="Calibri" w:eastAsia="Times New Roman" w:hAnsi="Calibri" w:cs="Calibri"/>
                <w:color w:val="000000"/>
                <w:u w:val="single"/>
                <w:lang w:val="en-GB" w:eastAsia="cs-CZ"/>
              </w:rPr>
              <w:t>Mailing address:</w:t>
            </w:r>
          </w:p>
        </w:tc>
        <w:tc>
          <w:tcPr>
            <w:tcW w:w="78"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u w:val="single"/>
                <w:lang w:eastAsia="cs-CZ"/>
              </w:rPr>
            </w:pPr>
          </w:p>
        </w:tc>
        <w:tc>
          <w:tcPr>
            <w:tcW w:w="2422" w:type="pct"/>
            <w:shd w:val="clear" w:color="auto" w:fill="auto"/>
            <w:noWrap/>
            <w:vAlign w:val="bottom"/>
            <w:hideMark/>
          </w:tcPr>
          <w:p w:rsidR="0026746B" w:rsidRPr="0026746B" w:rsidRDefault="0026746B" w:rsidP="0026746B">
            <w:pPr>
              <w:spacing w:after="0" w:line="240" w:lineRule="auto"/>
              <w:rPr>
                <w:rFonts w:ascii="Calibri" w:eastAsia="Times New Roman" w:hAnsi="Calibri" w:cs="Calibri"/>
                <w:color w:val="000000"/>
                <w:u w:val="single"/>
                <w:lang w:eastAsia="cs-CZ"/>
              </w:rPr>
            </w:pPr>
            <w:r w:rsidRPr="0026746B">
              <w:rPr>
                <w:rFonts w:ascii="Calibri" w:eastAsia="Times New Roman" w:hAnsi="Calibri" w:cs="Calibri"/>
                <w:color w:val="000000"/>
                <w:u w:val="single"/>
                <w:lang w:eastAsia="cs-CZ"/>
              </w:rPr>
              <w:t>Korespondenční adresa:</w:t>
            </w:r>
          </w:p>
        </w:tc>
      </w:tr>
      <w:tr w:rsidR="0026746B" w:rsidRPr="0026746B" w:rsidTr="004C60F8">
        <w:trPr>
          <w:trHeight w:val="1200"/>
        </w:trPr>
        <w:tc>
          <w:tcPr>
            <w:tcW w:w="2500" w:type="pct"/>
            <w:shd w:val="clear" w:color="auto" w:fill="auto"/>
            <w:vAlign w:val="center"/>
            <w:hideMark/>
          </w:tcPr>
          <w:p w:rsidR="0026746B" w:rsidRDefault="0026746B" w:rsidP="0026746B">
            <w:pPr>
              <w:spacing w:after="0" w:line="240" w:lineRule="auto"/>
              <w:rPr>
                <w:rFonts w:ascii="Calibri" w:eastAsia="Times New Roman" w:hAnsi="Calibri" w:cs="Calibri"/>
                <w:b/>
                <w:bCs/>
                <w:color w:val="000000"/>
                <w:lang w:eastAsia="cs-CZ"/>
              </w:rPr>
            </w:pPr>
            <w:r w:rsidRPr="0026746B">
              <w:rPr>
                <w:rFonts w:ascii="Calibri" w:eastAsia="Times New Roman" w:hAnsi="Calibri" w:cs="Calibri"/>
                <w:b/>
                <w:bCs/>
                <w:color w:val="000000"/>
                <w:lang w:eastAsia="cs-CZ"/>
              </w:rPr>
              <w:t>Vysoké učení technické v Brně</w:t>
            </w:r>
            <w:r w:rsidRPr="0026746B">
              <w:rPr>
                <w:rFonts w:ascii="Calibri" w:eastAsia="Times New Roman" w:hAnsi="Calibri" w:cs="Calibri"/>
                <w:b/>
                <w:bCs/>
                <w:color w:val="000000"/>
                <w:lang w:eastAsia="cs-CZ"/>
              </w:rPr>
              <w:br/>
            </w:r>
            <w:proofErr w:type="spellStart"/>
            <w:r w:rsidRPr="0026746B">
              <w:rPr>
                <w:rFonts w:ascii="Calibri" w:eastAsia="Times New Roman" w:hAnsi="Calibri" w:cs="Calibri"/>
                <w:b/>
                <w:bCs/>
                <w:color w:val="000000"/>
                <w:lang w:eastAsia="cs-CZ"/>
              </w:rPr>
              <w:t>Central</w:t>
            </w:r>
            <w:proofErr w:type="spellEnd"/>
            <w:r w:rsidRPr="0026746B">
              <w:rPr>
                <w:rFonts w:ascii="Calibri" w:eastAsia="Times New Roman" w:hAnsi="Calibri" w:cs="Calibri"/>
                <w:b/>
                <w:bCs/>
                <w:color w:val="000000"/>
                <w:lang w:eastAsia="cs-CZ"/>
              </w:rPr>
              <w:t xml:space="preserve"> </w:t>
            </w:r>
            <w:proofErr w:type="spellStart"/>
            <w:r w:rsidRPr="0026746B">
              <w:rPr>
                <w:rFonts w:ascii="Calibri" w:eastAsia="Times New Roman" w:hAnsi="Calibri" w:cs="Calibri"/>
                <w:b/>
                <w:bCs/>
                <w:color w:val="000000"/>
                <w:lang w:eastAsia="cs-CZ"/>
              </w:rPr>
              <w:t>European</w:t>
            </w:r>
            <w:proofErr w:type="spellEnd"/>
            <w:r w:rsidRPr="0026746B">
              <w:rPr>
                <w:rFonts w:ascii="Calibri" w:eastAsia="Times New Roman" w:hAnsi="Calibri" w:cs="Calibri"/>
                <w:b/>
                <w:bCs/>
                <w:color w:val="000000"/>
                <w:lang w:eastAsia="cs-CZ"/>
              </w:rPr>
              <w:t xml:space="preserve"> Institute </w:t>
            </w:r>
            <w:proofErr w:type="spellStart"/>
            <w:r w:rsidRPr="0026746B">
              <w:rPr>
                <w:rFonts w:ascii="Calibri" w:eastAsia="Times New Roman" w:hAnsi="Calibri" w:cs="Calibri"/>
                <w:b/>
                <w:bCs/>
                <w:color w:val="000000"/>
                <w:lang w:eastAsia="cs-CZ"/>
              </w:rPr>
              <w:t>of</w:t>
            </w:r>
            <w:proofErr w:type="spellEnd"/>
            <w:r w:rsidRPr="0026746B">
              <w:rPr>
                <w:rFonts w:ascii="Calibri" w:eastAsia="Times New Roman" w:hAnsi="Calibri" w:cs="Calibri"/>
                <w:b/>
                <w:bCs/>
                <w:color w:val="000000"/>
                <w:lang w:eastAsia="cs-CZ"/>
              </w:rPr>
              <w:t xml:space="preserve"> Technology</w:t>
            </w:r>
            <w:r w:rsidRPr="0026746B">
              <w:rPr>
                <w:rFonts w:ascii="Calibri" w:eastAsia="Times New Roman" w:hAnsi="Calibri" w:cs="Calibri"/>
                <w:b/>
                <w:bCs/>
                <w:color w:val="000000"/>
                <w:lang w:eastAsia="cs-CZ"/>
              </w:rPr>
              <w:br/>
              <w:t>Purkyňova 123</w:t>
            </w:r>
            <w:r w:rsidRPr="0026746B">
              <w:rPr>
                <w:rFonts w:ascii="Calibri" w:eastAsia="Times New Roman" w:hAnsi="Calibri" w:cs="Calibri"/>
                <w:b/>
                <w:bCs/>
                <w:color w:val="000000"/>
                <w:lang w:eastAsia="cs-CZ"/>
              </w:rPr>
              <w:br/>
              <w:t>612 00 Brno</w:t>
            </w:r>
          </w:p>
          <w:p w:rsidR="00FC7A93" w:rsidRPr="0026746B" w:rsidRDefault="00FC7A93" w:rsidP="0026746B">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Czech Republic</w:t>
            </w:r>
          </w:p>
        </w:tc>
        <w:tc>
          <w:tcPr>
            <w:tcW w:w="78" w:type="pct"/>
            <w:shd w:val="clear" w:color="auto" w:fill="auto"/>
            <w:vAlign w:val="center"/>
            <w:hideMark/>
          </w:tcPr>
          <w:p w:rsidR="0026746B" w:rsidRPr="0026746B" w:rsidRDefault="0026746B" w:rsidP="0026746B">
            <w:pPr>
              <w:spacing w:after="0" w:line="240" w:lineRule="auto"/>
              <w:rPr>
                <w:rFonts w:ascii="Calibri" w:eastAsia="Times New Roman" w:hAnsi="Calibri" w:cs="Calibri"/>
                <w:b/>
                <w:bCs/>
                <w:color w:val="000000"/>
                <w:lang w:eastAsia="cs-CZ"/>
              </w:rPr>
            </w:pPr>
          </w:p>
        </w:tc>
        <w:tc>
          <w:tcPr>
            <w:tcW w:w="2422" w:type="pct"/>
            <w:shd w:val="clear" w:color="auto" w:fill="auto"/>
            <w:vAlign w:val="center"/>
            <w:hideMark/>
          </w:tcPr>
          <w:p w:rsidR="0026746B" w:rsidRDefault="0026746B" w:rsidP="0026746B">
            <w:pPr>
              <w:spacing w:after="0" w:line="240" w:lineRule="auto"/>
              <w:rPr>
                <w:rFonts w:ascii="Calibri" w:eastAsia="Times New Roman" w:hAnsi="Calibri" w:cs="Calibri"/>
                <w:b/>
                <w:bCs/>
                <w:color w:val="000000"/>
                <w:lang w:eastAsia="cs-CZ"/>
              </w:rPr>
            </w:pPr>
            <w:r w:rsidRPr="0026746B">
              <w:rPr>
                <w:rFonts w:ascii="Calibri" w:eastAsia="Times New Roman" w:hAnsi="Calibri" w:cs="Calibri"/>
                <w:b/>
                <w:bCs/>
                <w:color w:val="000000"/>
                <w:lang w:eastAsia="cs-CZ"/>
              </w:rPr>
              <w:t>Vysoké učení technické v Brně</w:t>
            </w:r>
            <w:r w:rsidRPr="0026746B">
              <w:rPr>
                <w:rFonts w:ascii="Calibri" w:eastAsia="Times New Roman" w:hAnsi="Calibri" w:cs="Calibri"/>
                <w:b/>
                <w:bCs/>
                <w:color w:val="000000"/>
                <w:lang w:eastAsia="cs-CZ"/>
              </w:rPr>
              <w:br/>
              <w:t>Středoevropský technologický institut</w:t>
            </w:r>
            <w:r w:rsidRPr="0026746B">
              <w:rPr>
                <w:rFonts w:ascii="Calibri" w:eastAsia="Times New Roman" w:hAnsi="Calibri" w:cs="Calibri"/>
                <w:b/>
                <w:bCs/>
                <w:color w:val="000000"/>
                <w:lang w:eastAsia="cs-CZ"/>
              </w:rPr>
              <w:br/>
              <w:t>Purkyňova 123</w:t>
            </w:r>
            <w:r w:rsidRPr="0026746B">
              <w:rPr>
                <w:rFonts w:ascii="Calibri" w:eastAsia="Times New Roman" w:hAnsi="Calibri" w:cs="Calibri"/>
                <w:b/>
                <w:bCs/>
                <w:color w:val="000000"/>
                <w:lang w:eastAsia="cs-CZ"/>
              </w:rPr>
              <w:br/>
              <w:t>612 00 Brno</w:t>
            </w:r>
          </w:p>
          <w:p w:rsidR="00FC7A93" w:rsidRPr="0026746B" w:rsidRDefault="00FC7A93" w:rsidP="0026746B">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Česká republika</w:t>
            </w:r>
          </w:p>
        </w:tc>
      </w:tr>
      <w:tr w:rsidR="0026746B" w:rsidRPr="0026746B" w:rsidTr="004C60F8">
        <w:trPr>
          <w:trHeight w:val="600"/>
        </w:trPr>
        <w:tc>
          <w:tcPr>
            <w:tcW w:w="2500"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proofErr w:type="spellStart"/>
            <w:r w:rsidRPr="0026746B">
              <w:rPr>
                <w:rFonts w:ascii="Calibri" w:eastAsia="Times New Roman" w:hAnsi="Calibri" w:cs="Calibri"/>
                <w:color w:val="000000"/>
                <w:lang w:eastAsia="cs-CZ"/>
              </w:rPr>
              <w:t>Represented</w:t>
            </w:r>
            <w:proofErr w:type="spellEnd"/>
            <w:r w:rsidRPr="0026746B">
              <w:rPr>
                <w:rFonts w:ascii="Calibri" w:eastAsia="Times New Roman" w:hAnsi="Calibri" w:cs="Calibri"/>
                <w:color w:val="000000"/>
                <w:lang w:eastAsia="cs-CZ"/>
              </w:rPr>
              <w:t xml:space="preserve"> by: prof. Ing. </w:t>
            </w:r>
            <w:proofErr w:type="spellStart"/>
            <w:r w:rsidRPr="0026746B">
              <w:rPr>
                <w:rFonts w:ascii="Calibri" w:eastAsia="Times New Roman" w:hAnsi="Calibri" w:cs="Calibri"/>
                <w:color w:val="000000"/>
                <w:lang w:eastAsia="cs-CZ"/>
              </w:rPr>
              <w:t>Radimír</w:t>
            </w:r>
            <w:proofErr w:type="spellEnd"/>
            <w:r w:rsidRPr="0026746B">
              <w:rPr>
                <w:rFonts w:ascii="Calibri" w:eastAsia="Times New Roman" w:hAnsi="Calibri" w:cs="Calibri"/>
                <w:color w:val="000000"/>
                <w:lang w:eastAsia="cs-CZ"/>
              </w:rPr>
              <w:t xml:space="preserve"> Vrba, CSc., </w:t>
            </w:r>
            <w:proofErr w:type="spellStart"/>
            <w:r w:rsidRPr="0026746B">
              <w:rPr>
                <w:rFonts w:ascii="Calibri" w:eastAsia="Times New Roman" w:hAnsi="Calibri" w:cs="Calibri"/>
                <w:color w:val="000000"/>
                <w:lang w:eastAsia="cs-CZ"/>
              </w:rPr>
              <w:t>Director</w:t>
            </w:r>
            <w:proofErr w:type="spellEnd"/>
            <w:r w:rsidRPr="0026746B">
              <w:rPr>
                <w:rFonts w:ascii="Calibri" w:eastAsia="Times New Roman" w:hAnsi="Calibri" w:cs="Calibri"/>
                <w:color w:val="000000"/>
                <w:lang w:eastAsia="cs-CZ"/>
              </w:rPr>
              <w:t xml:space="preserve"> </w:t>
            </w:r>
            <w:proofErr w:type="spellStart"/>
            <w:r w:rsidRPr="0026746B">
              <w:rPr>
                <w:rFonts w:ascii="Calibri" w:eastAsia="Times New Roman" w:hAnsi="Calibri" w:cs="Calibri"/>
                <w:color w:val="000000"/>
                <w:lang w:eastAsia="cs-CZ"/>
              </w:rPr>
              <w:t>of</w:t>
            </w:r>
            <w:proofErr w:type="spellEnd"/>
            <w:r w:rsidRPr="0026746B">
              <w:rPr>
                <w:rFonts w:ascii="Calibri" w:eastAsia="Times New Roman" w:hAnsi="Calibri" w:cs="Calibri"/>
                <w:color w:val="000000"/>
                <w:lang w:eastAsia="cs-CZ"/>
              </w:rPr>
              <w:t xml:space="preserve"> </w:t>
            </w:r>
            <w:proofErr w:type="spellStart"/>
            <w:r w:rsidRPr="0026746B">
              <w:rPr>
                <w:rFonts w:ascii="Calibri" w:eastAsia="Times New Roman" w:hAnsi="Calibri" w:cs="Calibri"/>
                <w:color w:val="000000"/>
                <w:lang w:eastAsia="cs-CZ"/>
              </w:rPr>
              <w:t>the</w:t>
            </w:r>
            <w:proofErr w:type="spellEnd"/>
            <w:r w:rsidRPr="0026746B">
              <w:rPr>
                <w:rFonts w:ascii="Calibri" w:eastAsia="Times New Roman" w:hAnsi="Calibri" w:cs="Calibri"/>
                <w:color w:val="000000"/>
                <w:lang w:eastAsia="cs-CZ"/>
              </w:rPr>
              <w:t xml:space="preserve"> </w:t>
            </w:r>
            <w:proofErr w:type="spellStart"/>
            <w:r w:rsidRPr="0026746B">
              <w:rPr>
                <w:rFonts w:ascii="Calibri" w:eastAsia="Times New Roman" w:hAnsi="Calibri" w:cs="Calibri"/>
                <w:color w:val="000000"/>
                <w:lang w:eastAsia="cs-CZ"/>
              </w:rPr>
              <w:t>Central</w:t>
            </w:r>
            <w:proofErr w:type="spellEnd"/>
            <w:r w:rsidRPr="0026746B">
              <w:rPr>
                <w:rFonts w:ascii="Calibri" w:eastAsia="Times New Roman" w:hAnsi="Calibri" w:cs="Calibri"/>
                <w:color w:val="000000"/>
                <w:lang w:eastAsia="cs-CZ"/>
              </w:rPr>
              <w:t xml:space="preserve"> </w:t>
            </w:r>
            <w:proofErr w:type="spellStart"/>
            <w:r w:rsidRPr="0026746B">
              <w:rPr>
                <w:rFonts w:ascii="Calibri" w:eastAsia="Times New Roman" w:hAnsi="Calibri" w:cs="Calibri"/>
                <w:color w:val="000000"/>
                <w:lang w:eastAsia="cs-CZ"/>
              </w:rPr>
              <w:t>European</w:t>
            </w:r>
            <w:proofErr w:type="spellEnd"/>
            <w:r w:rsidRPr="0026746B">
              <w:rPr>
                <w:rFonts w:ascii="Calibri" w:eastAsia="Times New Roman" w:hAnsi="Calibri" w:cs="Calibri"/>
                <w:color w:val="000000"/>
                <w:lang w:eastAsia="cs-CZ"/>
              </w:rPr>
              <w:t xml:space="preserve"> Institute </w:t>
            </w:r>
            <w:proofErr w:type="spellStart"/>
            <w:r w:rsidRPr="0026746B">
              <w:rPr>
                <w:rFonts w:ascii="Calibri" w:eastAsia="Times New Roman" w:hAnsi="Calibri" w:cs="Calibri"/>
                <w:color w:val="000000"/>
                <w:lang w:eastAsia="cs-CZ"/>
              </w:rPr>
              <w:t>of</w:t>
            </w:r>
            <w:proofErr w:type="spellEnd"/>
            <w:r w:rsidRPr="0026746B">
              <w:rPr>
                <w:rFonts w:ascii="Calibri" w:eastAsia="Times New Roman" w:hAnsi="Calibri" w:cs="Calibri"/>
                <w:color w:val="000000"/>
                <w:lang w:eastAsia="cs-CZ"/>
              </w:rPr>
              <w:t xml:space="preserve"> Technology,</w:t>
            </w:r>
          </w:p>
        </w:tc>
        <w:tc>
          <w:tcPr>
            <w:tcW w:w="78"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r w:rsidRPr="0026746B">
              <w:rPr>
                <w:rFonts w:ascii="Calibri" w:eastAsia="Times New Roman" w:hAnsi="Calibri" w:cs="Calibri"/>
                <w:color w:val="000000"/>
                <w:lang w:eastAsia="cs-CZ"/>
              </w:rPr>
              <w:t xml:space="preserve">Zastoupené: prof. Ing. </w:t>
            </w:r>
            <w:proofErr w:type="spellStart"/>
            <w:r w:rsidRPr="0026746B">
              <w:rPr>
                <w:rFonts w:ascii="Calibri" w:eastAsia="Times New Roman" w:hAnsi="Calibri" w:cs="Calibri"/>
                <w:color w:val="000000"/>
                <w:lang w:eastAsia="cs-CZ"/>
              </w:rPr>
              <w:t>Radimírem</w:t>
            </w:r>
            <w:proofErr w:type="spellEnd"/>
            <w:r w:rsidRPr="0026746B">
              <w:rPr>
                <w:rFonts w:ascii="Calibri" w:eastAsia="Times New Roman" w:hAnsi="Calibri" w:cs="Calibri"/>
                <w:color w:val="000000"/>
                <w:lang w:eastAsia="cs-CZ"/>
              </w:rPr>
              <w:t xml:space="preserve"> Vrbou, CSc., ředitelem Středoevropského technologického institutu</w:t>
            </w:r>
          </w:p>
        </w:tc>
      </w:tr>
      <w:tr w:rsidR="0026746B" w:rsidRPr="0026746B" w:rsidTr="00D271BB">
        <w:trPr>
          <w:trHeight w:val="300"/>
        </w:trPr>
        <w:tc>
          <w:tcPr>
            <w:tcW w:w="2500" w:type="pct"/>
            <w:shd w:val="clear" w:color="auto" w:fill="auto"/>
            <w:noWrap/>
            <w:vAlign w:val="bottom"/>
            <w:hideMark/>
          </w:tcPr>
          <w:p w:rsidR="0026746B" w:rsidRDefault="0026746B" w:rsidP="00D271BB">
            <w:pPr>
              <w:spacing w:after="0" w:line="240" w:lineRule="auto"/>
              <w:rPr>
                <w:rFonts w:ascii="Calibri" w:eastAsia="Times New Roman" w:hAnsi="Calibri" w:cs="Calibri"/>
                <w:color w:val="000000"/>
                <w:lang w:val="en-GB" w:eastAsia="cs-CZ"/>
              </w:rPr>
            </w:pPr>
            <w:r w:rsidRPr="0026746B">
              <w:rPr>
                <w:rFonts w:ascii="Calibri" w:eastAsia="Times New Roman" w:hAnsi="Calibri" w:cs="Calibri"/>
                <w:color w:val="000000"/>
                <w:lang w:val="en-GB" w:eastAsia="cs-CZ"/>
              </w:rPr>
              <w:t>Representative for material negotiations:</w:t>
            </w:r>
            <w:r w:rsidR="00086449">
              <w:rPr>
                <w:rFonts w:ascii="Calibri" w:eastAsia="Times New Roman" w:hAnsi="Calibri" w:cs="Calibri"/>
                <w:color w:val="000000"/>
                <w:lang w:val="en-GB" w:eastAsia="cs-CZ"/>
              </w:rPr>
              <w:t xml:space="preserve"> </w:t>
            </w:r>
          </w:p>
          <w:p w:rsidR="00D271BB" w:rsidRDefault="00D271BB" w:rsidP="00D271BB">
            <w:pPr>
              <w:spacing w:after="0" w:line="240" w:lineRule="auto"/>
              <w:rPr>
                <w:rFonts w:ascii="Calibri" w:eastAsia="Times New Roman" w:hAnsi="Calibri" w:cs="Calibri"/>
                <w:color w:val="000000"/>
                <w:lang w:val="en-GB" w:eastAsia="cs-CZ"/>
              </w:rPr>
            </w:pPr>
          </w:p>
          <w:p w:rsidR="00D271BB" w:rsidRPr="0026746B" w:rsidRDefault="00D271BB" w:rsidP="00D271BB">
            <w:pPr>
              <w:spacing w:after="0" w:line="240" w:lineRule="auto"/>
              <w:rPr>
                <w:rFonts w:ascii="Calibri" w:eastAsia="Times New Roman" w:hAnsi="Calibri" w:cs="Calibri"/>
                <w:color w:val="000000"/>
                <w:lang w:eastAsia="cs-CZ"/>
              </w:rPr>
            </w:pPr>
          </w:p>
        </w:tc>
        <w:tc>
          <w:tcPr>
            <w:tcW w:w="78"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noWrap/>
            <w:hideMark/>
          </w:tcPr>
          <w:p w:rsidR="0026746B" w:rsidRPr="0026746B" w:rsidRDefault="0026746B" w:rsidP="00D271BB">
            <w:pPr>
              <w:spacing w:after="0" w:line="240" w:lineRule="auto"/>
              <w:rPr>
                <w:rFonts w:ascii="Calibri" w:eastAsia="Times New Roman" w:hAnsi="Calibri" w:cs="Calibri"/>
                <w:color w:val="000000"/>
                <w:lang w:eastAsia="cs-CZ"/>
              </w:rPr>
            </w:pPr>
            <w:r w:rsidRPr="0026746B">
              <w:rPr>
                <w:rFonts w:ascii="Calibri" w:eastAsia="Times New Roman" w:hAnsi="Calibri" w:cs="Calibri"/>
                <w:color w:val="000000"/>
                <w:lang w:eastAsia="cs-CZ"/>
              </w:rPr>
              <w:t>Zástupce pro věcná jednání:</w:t>
            </w:r>
            <w:r w:rsidR="00086449">
              <w:rPr>
                <w:rFonts w:ascii="Calibri" w:eastAsia="Times New Roman" w:hAnsi="Calibri" w:cs="Calibri"/>
                <w:color w:val="000000"/>
                <w:lang w:eastAsia="cs-CZ"/>
              </w:rPr>
              <w:t xml:space="preserve"> </w:t>
            </w:r>
          </w:p>
        </w:tc>
      </w:tr>
      <w:tr w:rsidR="0026746B" w:rsidRPr="0026746B" w:rsidTr="004C60F8">
        <w:trPr>
          <w:trHeight w:val="300"/>
        </w:trPr>
        <w:tc>
          <w:tcPr>
            <w:tcW w:w="2500"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p>
        </w:tc>
        <w:tc>
          <w:tcPr>
            <w:tcW w:w="78"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r>
      <w:tr w:rsidR="0026746B" w:rsidRPr="0026746B" w:rsidTr="004C60F8">
        <w:trPr>
          <w:trHeight w:val="300"/>
        </w:trPr>
        <w:tc>
          <w:tcPr>
            <w:tcW w:w="2500"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val="en-GB" w:eastAsia="cs-CZ"/>
              </w:rPr>
              <w:t>and</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eastAsia="cs-CZ"/>
              </w:rPr>
              <w:t>a</w:t>
            </w:r>
          </w:p>
        </w:tc>
      </w:tr>
      <w:tr w:rsidR="0026746B" w:rsidRPr="0026746B" w:rsidTr="004C60F8">
        <w:trPr>
          <w:trHeight w:val="300"/>
        </w:trPr>
        <w:tc>
          <w:tcPr>
            <w:tcW w:w="2500"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78"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r>
      <w:tr w:rsidR="0026746B" w:rsidRPr="0026746B" w:rsidTr="004C60F8">
        <w:trPr>
          <w:trHeight w:val="300"/>
        </w:trPr>
        <w:tc>
          <w:tcPr>
            <w:tcW w:w="2500"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b/>
                <w:bCs/>
                <w:color w:val="000000"/>
                <w:lang w:eastAsia="cs-CZ"/>
              </w:rPr>
            </w:pPr>
            <w:r w:rsidRPr="0026746B">
              <w:rPr>
                <w:rFonts w:ascii="Calibri" w:eastAsia="Times New Roman" w:hAnsi="Calibri" w:cs="Calibri"/>
                <w:b/>
                <w:bCs/>
                <w:color w:val="000000"/>
                <w:lang w:val="en-GB" w:eastAsia="cs-CZ"/>
              </w:rPr>
              <w:t>SELLER</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b/>
                <w:bCs/>
                <w:color w:val="000000"/>
                <w:lang w:eastAsia="cs-CZ"/>
              </w:rPr>
            </w:pPr>
          </w:p>
        </w:tc>
        <w:tc>
          <w:tcPr>
            <w:tcW w:w="2422"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b/>
                <w:bCs/>
                <w:color w:val="000000"/>
                <w:lang w:eastAsia="cs-CZ"/>
              </w:rPr>
            </w:pPr>
            <w:r w:rsidRPr="0026746B">
              <w:rPr>
                <w:rFonts w:ascii="Calibri" w:eastAsia="Times New Roman" w:hAnsi="Calibri" w:cs="Calibri"/>
                <w:b/>
                <w:bCs/>
                <w:color w:val="000000"/>
                <w:lang w:eastAsia="cs-CZ"/>
              </w:rPr>
              <w:t>PRODÁVAJÍCÍ</w:t>
            </w:r>
          </w:p>
        </w:tc>
      </w:tr>
      <w:tr w:rsidR="0026746B" w:rsidRPr="00303335" w:rsidTr="004C60F8">
        <w:trPr>
          <w:trHeight w:val="300"/>
        </w:trPr>
        <w:tc>
          <w:tcPr>
            <w:tcW w:w="2500" w:type="pct"/>
            <w:shd w:val="clear" w:color="auto" w:fill="auto"/>
            <w:noWrap/>
            <w:vAlign w:val="center"/>
            <w:hideMark/>
          </w:tcPr>
          <w:p w:rsidR="0026746B" w:rsidRPr="00303335" w:rsidRDefault="004C60F8" w:rsidP="0026746B">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val="en-GB" w:eastAsia="cs-CZ"/>
              </w:rPr>
              <w:t>Thomas Keating Ltd.</w:t>
            </w:r>
          </w:p>
        </w:tc>
        <w:tc>
          <w:tcPr>
            <w:tcW w:w="78" w:type="pct"/>
            <w:shd w:val="clear" w:color="auto" w:fill="auto"/>
            <w:noWrap/>
            <w:vAlign w:val="bottom"/>
            <w:hideMark/>
          </w:tcPr>
          <w:p w:rsidR="0026746B" w:rsidRPr="00303335" w:rsidRDefault="0026746B" w:rsidP="0026746B">
            <w:pPr>
              <w:spacing w:after="0" w:line="240" w:lineRule="auto"/>
              <w:rPr>
                <w:rFonts w:ascii="Calibri" w:eastAsia="Times New Roman" w:hAnsi="Calibri" w:cs="Calibri"/>
                <w:b/>
                <w:bCs/>
                <w:color w:val="000000"/>
                <w:lang w:eastAsia="cs-CZ"/>
              </w:rPr>
            </w:pPr>
          </w:p>
        </w:tc>
        <w:tc>
          <w:tcPr>
            <w:tcW w:w="2422" w:type="pct"/>
            <w:shd w:val="clear" w:color="auto" w:fill="auto"/>
            <w:noWrap/>
            <w:vAlign w:val="center"/>
            <w:hideMark/>
          </w:tcPr>
          <w:p w:rsidR="0026746B" w:rsidRPr="00303335" w:rsidRDefault="004C60F8" w:rsidP="0026746B">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val="en-GB" w:eastAsia="cs-CZ"/>
              </w:rPr>
              <w:t>Thomas Keating Ltd.</w:t>
            </w:r>
          </w:p>
        </w:tc>
      </w:tr>
      <w:tr w:rsidR="0026746B" w:rsidRPr="00303335" w:rsidTr="004C60F8">
        <w:trPr>
          <w:trHeight w:val="300"/>
        </w:trPr>
        <w:tc>
          <w:tcPr>
            <w:tcW w:w="2500" w:type="pct"/>
            <w:shd w:val="clear" w:color="auto" w:fill="auto"/>
            <w:noWrap/>
            <w:vAlign w:val="center"/>
            <w:hideMark/>
          </w:tcPr>
          <w:p w:rsidR="0026746B" w:rsidRPr="00303335" w:rsidRDefault="0026746B" w:rsidP="0026746B">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val="en-GB" w:eastAsia="cs-CZ"/>
              </w:rPr>
              <w:t xml:space="preserve">Registered office: </w:t>
            </w:r>
            <w:r w:rsidR="004C60F8">
              <w:rPr>
                <w:rFonts w:ascii="Calibri" w:eastAsia="Times New Roman" w:hAnsi="Calibri" w:cs="Calibri"/>
                <w:color w:val="000000"/>
                <w:lang w:val="en-GB" w:eastAsia="cs-CZ"/>
              </w:rPr>
              <w:t xml:space="preserve">Station Mills, </w:t>
            </w:r>
            <w:proofErr w:type="spellStart"/>
            <w:r w:rsidR="004C60F8">
              <w:rPr>
                <w:rFonts w:ascii="Calibri" w:eastAsia="Times New Roman" w:hAnsi="Calibri" w:cs="Calibri"/>
                <w:color w:val="000000"/>
                <w:lang w:val="en-GB" w:eastAsia="cs-CZ"/>
              </w:rPr>
              <w:t>Daux</w:t>
            </w:r>
            <w:proofErr w:type="spellEnd"/>
            <w:r w:rsidR="004C60F8">
              <w:rPr>
                <w:rFonts w:ascii="Calibri" w:eastAsia="Times New Roman" w:hAnsi="Calibri" w:cs="Calibri"/>
                <w:color w:val="000000"/>
                <w:lang w:val="en-GB" w:eastAsia="cs-CZ"/>
              </w:rPr>
              <w:t xml:space="preserve"> Road, </w:t>
            </w:r>
            <w:proofErr w:type="spellStart"/>
            <w:r w:rsidR="004C60F8">
              <w:rPr>
                <w:rFonts w:ascii="Calibri" w:eastAsia="Times New Roman" w:hAnsi="Calibri" w:cs="Calibri"/>
                <w:color w:val="000000"/>
                <w:lang w:val="en-GB" w:eastAsia="cs-CZ"/>
              </w:rPr>
              <w:t>Billingshurst</w:t>
            </w:r>
            <w:proofErr w:type="spellEnd"/>
            <w:r w:rsidR="004C60F8">
              <w:rPr>
                <w:rFonts w:ascii="Calibri" w:eastAsia="Times New Roman" w:hAnsi="Calibri" w:cs="Calibri"/>
                <w:color w:val="000000"/>
                <w:lang w:val="en-GB" w:eastAsia="cs-CZ"/>
              </w:rPr>
              <w:t>, RH 14 9SH, UK</w:t>
            </w:r>
          </w:p>
        </w:tc>
        <w:tc>
          <w:tcPr>
            <w:tcW w:w="78" w:type="pct"/>
            <w:shd w:val="clear" w:color="auto" w:fill="auto"/>
            <w:noWrap/>
            <w:vAlign w:val="bottom"/>
            <w:hideMark/>
          </w:tcPr>
          <w:p w:rsidR="0026746B" w:rsidRPr="00303335"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noWrap/>
            <w:vAlign w:val="center"/>
            <w:hideMark/>
          </w:tcPr>
          <w:p w:rsidR="0026746B" w:rsidRPr="00303335" w:rsidRDefault="0026746B" w:rsidP="0026746B">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eastAsia="cs-CZ"/>
              </w:rPr>
              <w:t xml:space="preserve">Sídlem: </w:t>
            </w:r>
            <w:r w:rsidR="004C60F8">
              <w:rPr>
                <w:rFonts w:ascii="Calibri" w:eastAsia="Times New Roman" w:hAnsi="Calibri" w:cs="Calibri"/>
                <w:color w:val="000000"/>
                <w:lang w:val="en-GB" w:eastAsia="cs-CZ"/>
              </w:rPr>
              <w:t xml:space="preserve">Station Mills, </w:t>
            </w:r>
            <w:proofErr w:type="spellStart"/>
            <w:r w:rsidR="004C60F8">
              <w:rPr>
                <w:rFonts w:ascii="Calibri" w:eastAsia="Times New Roman" w:hAnsi="Calibri" w:cs="Calibri"/>
                <w:color w:val="000000"/>
                <w:lang w:val="en-GB" w:eastAsia="cs-CZ"/>
              </w:rPr>
              <w:t>Daux</w:t>
            </w:r>
            <w:proofErr w:type="spellEnd"/>
            <w:r w:rsidR="004C60F8">
              <w:rPr>
                <w:rFonts w:ascii="Calibri" w:eastAsia="Times New Roman" w:hAnsi="Calibri" w:cs="Calibri"/>
                <w:color w:val="000000"/>
                <w:lang w:val="en-GB" w:eastAsia="cs-CZ"/>
              </w:rPr>
              <w:t xml:space="preserve"> Road, </w:t>
            </w:r>
            <w:proofErr w:type="spellStart"/>
            <w:r w:rsidR="004C60F8">
              <w:rPr>
                <w:rFonts w:ascii="Calibri" w:eastAsia="Times New Roman" w:hAnsi="Calibri" w:cs="Calibri"/>
                <w:color w:val="000000"/>
                <w:lang w:val="en-GB" w:eastAsia="cs-CZ"/>
              </w:rPr>
              <w:t>Billingshurst</w:t>
            </w:r>
            <w:proofErr w:type="spellEnd"/>
            <w:r w:rsidR="004C60F8">
              <w:rPr>
                <w:rFonts w:ascii="Calibri" w:eastAsia="Times New Roman" w:hAnsi="Calibri" w:cs="Calibri"/>
                <w:color w:val="000000"/>
                <w:lang w:val="en-GB" w:eastAsia="cs-CZ"/>
              </w:rPr>
              <w:t>, RH 14 9SH, UK</w:t>
            </w:r>
          </w:p>
        </w:tc>
      </w:tr>
      <w:tr w:rsidR="0026746B" w:rsidRPr="00303335" w:rsidTr="004C60F8">
        <w:trPr>
          <w:trHeight w:val="300"/>
        </w:trPr>
        <w:tc>
          <w:tcPr>
            <w:tcW w:w="2500" w:type="pct"/>
            <w:shd w:val="clear" w:color="auto" w:fill="auto"/>
            <w:noWrap/>
            <w:vAlign w:val="center"/>
            <w:hideMark/>
          </w:tcPr>
          <w:p w:rsidR="0026746B" w:rsidRPr="00303335" w:rsidRDefault="0026746B" w:rsidP="0026746B">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val="en-GB" w:eastAsia="cs-CZ"/>
              </w:rPr>
              <w:t xml:space="preserve">Company ID: </w:t>
            </w:r>
            <w:r w:rsidR="004C60F8">
              <w:rPr>
                <w:rFonts w:ascii="Calibri" w:eastAsia="Times New Roman" w:hAnsi="Calibri" w:cs="Calibri"/>
                <w:color w:val="000000"/>
                <w:lang w:val="en-GB" w:eastAsia="cs-CZ"/>
              </w:rPr>
              <w:t>00203511</w:t>
            </w:r>
          </w:p>
        </w:tc>
        <w:tc>
          <w:tcPr>
            <w:tcW w:w="78" w:type="pct"/>
            <w:shd w:val="clear" w:color="auto" w:fill="auto"/>
            <w:noWrap/>
            <w:vAlign w:val="bottom"/>
            <w:hideMark/>
          </w:tcPr>
          <w:p w:rsidR="0026746B" w:rsidRPr="00303335"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noWrap/>
            <w:vAlign w:val="center"/>
            <w:hideMark/>
          </w:tcPr>
          <w:p w:rsidR="0026746B" w:rsidRPr="00303335" w:rsidRDefault="0026746B" w:rsidP="0026746B">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eastAsia="cs-CZ"/>
              </w:rPr>
              <w:t xml:space="preserve">IČ: </w:t>
            </w:r>
            <w:r w:rsidR="004C60F8">
              <w:rPr>
                <w:rFonts w:ascii="Calibri" w:eastAsia="Times New Roman" w:hAnsi="Calibri" w:cs="Calibri"/>
                <w:color w:val="000000"/>
                <w:lang w:val="en-GB" w:eastAsia="cs-CZ"/>
              </w:rPr>
              <w:t>00203511</w:t>
            </w:r>
          </w:p>
        </w:tc>
      </w:tr>
      <w:tr w:rsidR="0026746B" w:rsidRPr="00303335" w:rsidTr="004C60F8">
        <w:trPr>
          <w:trHeight w:val="300"/>
        </w:trPr>
        <w:tc>
          <w:tcPr>
            <w:tcW w:w="2500" w:type="pct"/>
            <w:shd w:val="clear" w:color="auto" w:fill="auto"/>
            <w:noWrap/>
            <w:vAlign w:val="center"/>
            <w:hideMark/>
          </w:tcPr>
          <w:p w:rsidR="0026746B" w:rsidRPr="00303335" w:rsidRDefault="0026746B" w:rsidP="0026746B">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val="en-GB" w:eastAsia="cs-CZ"/>
              </w:rPr>
              <w:t xml:space="preserve">VAT ID: </w:t>
            </w:r>
            <w:r w:rsidR="004C60F8">
              <w:rPr>
                <w:rFonts w:ascii="Calibri" w:eastAsia="Times New Roman" w:hAnsi="Calibri" w:cs="Calibri"/>
                <w:color w:val="000000"/>
                <w:lang w:val="en-GB" w:eastAsia="cs-CZ"/>
              </w:rPr>
              <w:t>GB 193 0815 60</w:t>
            </w:r>
          </w:p>
        </w:tc>
        <w:tc>
          <w:tcPr>
            <w:tcW w:w="78" w:type="pct"/>
            <w:shd w:val="clear" w:color="auto" w:fill="auto"/>
            <w:noWrap/>
            <w:vAlign w:val="bottom"/>
            <w:hideMark/>
          </w:tcPr>
          <w:p w:rsidR="0026746B" w:rsidRPr="00303335"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noWrap/>
            <w:vAlign w:val="center"/>
            <w:hideMark/>
          </w:tcPr>
          <w:p w:rsidR="0026746B" w:rsidRPr="00303335" w:rsidRDefault="0026746B" w:rsidP="0026746B">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eastAsia="cs-CZ"/>
              </w:rPr>
              <w:t xml:space="preserve">DIČ: </w:t>
            </w:r>
            <w:r w:rsidR="004C60F8">
              <w:rPr>
                <w:rFonts w:ascii="Calibri" w:eastAsia="Times New Roman" w:hAnsi="Calibri" w:cs="Calibri"/>
                <w:color w:val="000000"/>
                <w:lang w:val="en-GB" w:eastAsia="cs-CZ"/>
              </w:rPr>
              <w:t>GB 193 0815 60</w:t>
            </w:r>
          </w:p>
        </w:tc>
      </w:tr>
      <w:tr w:rsidR="0026746B" w:rsidRPr="00303335" w:rsidTr="004C60F8">
        <w:trPr>
          <w:trHeight w:val="300"/>
        </w:trPr>
        <w:tc>
          <w:tcPr>
            <w:tcW w:w="2500" w:type="pct"/>
            <w:shd w:val="clear" w:color="auto" w:fill="auto"/>
            <w:noWrap/>
            <w:vAlign w:val="center"/>
            <w:hideMark/>
          </w:tcPr>
          <w:p w:rsidR="0026746B" w:rsidRPr="00303335" w:rsidRDefault="0026746B" w:rsidP="00D271BB">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val="en-GB" w:eastAsia="cs-CZ"/>
              </w:rPr>
              <w:t>Bank details: Account No</w:t>
            </w:r>
            <w:r w:rsidR="004C60F8">
              <w:rPr>
                <w:rFonts w:ascii="Calibri" w:eastAsia="Times New Roman" w:hAnsi="Calibri" w:cs="Calibri"/>
                <w:color w:val="000000"/>
                <w:lang w:val="en-GB" w:eastAsia="cs-CZ"/>
              </w:rPr>
              <w:t xml:space="preserve">. </w:t>
            </w:r>
          </w:p>
        </w:tc>
        <w:tc>
          <w:tcPr>
            <w:tcW w:w="78" w:type="pct"/>
            <w:shd w:val="clear" w:color="auto" w:fill="auto"/>
            <w:noWrap/>
            <w:vAlign w:val="bottom"/>
            <w:hideMark/>
          </w:tcPr>
          <w:p w:rsidR="0026746B" w:rsidRPr="00303335"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noWrap/>
            <w:vAlign w:val="center"/>
            <w:hideMark/>
          </w:tcPr>
          <w:p w:rsidR="0026746B" w:rsidRDefault="0026746B" w:rsidP="00D271BB">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eastAsia="cs-CZ"/>
              </w:rPr>
              <w:t xml:space="preserve">Bankovní spojení: </w:t>
            </w:r>
          </w:p>
          <w:p w:rsidR="00D271BB" w:rsidRPr="00303335" w:rsidRDefault="00D271BB" w:rsidP="00D271BB">
            <w:pPr>
              <w:spacing w:after="0" w:line="240" w:lineRule="auto"/>
              <w:rPr>
                <w:rFonts w:ascii="Calibri" w:eastAsia="Times New Roman" w:hAnsi="Calibri" w:cs="Calibri"/>
                <w:color w:val="000000"/>
                <w:lang w:eastAsia="cs-CZ"/>
              </w:rPr>
            </w:pPr>
          </w:p>
        </w:tc>
      </w:tr>
      <w:tr w:rsidR="0026746B" w:rsidRPr="00303335" w:rsidTr="004C60F8">
        <w:trPr>
          <w:trHeight w:val="600"/>
        </w:trPr>
        <w:tc>
          <w:tcPr>
            <w:tcW w:w="2500" w:type="pct"/>
            <w:shd w:val="clear" w:color="auto" w:fill="auto"/>
            <w:vAlign w:val="center"/>
            <w:hideMark/>
          </w:tcPr>
          <w:p w:rsidR="0026746B" w:rsidRPr="00303335" w:rsidRDefault="0026746B" w:rsidP="004C60F8">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val="en-GB" w:eastAsia="cs-CZ"/>
              </w:rPr>
              <w:lastRenderedPageBreak/>
              <w:t xml:space="preserve">incorporated in the Company Register kept by </w:t>
            </w:r>
            <w:r w:rsidR="004C60F8">
              <w:rPr>
                <w:rFonts w:ascii="Calibri" w:eastAsia="Times New Roman" w:hAnsi="Calibri" w:cs="Calibri"/>
                <w:color w:val="000000"/>
                <w:lang w:val="en-GB" w:eastAsia="cs-CZ"/>
              </w:rPr>
              <w:t>Registrar of Companies (England &amp; Wales),</w:t>
            </w:r>
            <w:r w:rsidRPr="00303335">
              <w:rPr>
                <w:rFonts w:ascii="Calibri" w:eastAsia="Times New Roman" w:hAnsi="Calibri" w:cs="Calibri"/>
                <w:color w:val="000000"/>
                <w:lang w:val="en-GB" w:eastAsia="cs-CZ"/>
              </w:rPr>
              <w:t xml:space="preserve"> In Section </w:t>
            </w:r>
            <w:r w:rsidR="004C60F8">
              <w:rPr>
                <w:rFonts w:ascii="Calibri" w:eastAsia="Times New Roman" w:hAnsi="Calibri" w:cs="Calibri"/>
                <w:color w:val="000000"/>
                <w:lang w:val="en-GB" w:eastAsia="cs-CZ"/>
              </w:rPr>
              <w:t>32990</w:t>
            </w:r>
          </w:p>
        </w:tc>
        <w:tc>
          <w:tcPr>
            <w:tcW w:w="78" w:type="pct"/>
            <w:shd w:val="clear" w:color="auto" w:fill="auto"/>
            <w:vAlign w:val="bottom"/>
            <w:hideMark/>
          </w:tcPr>
          <w:p w:rsidR="0026746B" w:rsidRPr="00303335"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vAlign w:val="center"/>
            <w:hideMark/>
          </w:tcPr>
          <w:p w:rsidR="0026746B" w:rsidRPr="00303335" w:rsidRDefault="0026746B" w:rsidP="004C60F8">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eastAsia="cs-CZ"/>
              </w:rPr>
              <w:t xml:space="preserve">V obchodním rejstříku vedeném </w:t>
            </w:r>
            <w:r w:rsidR="004C60F8">
              <w:rPr>
                <w:rFonts w:ascii="Calibri" w:eastAsia="Times New Roman" w:hAnsi="Calibri" w:cs="Calibri"/>
                <w:color w:val="000000"/>
                <w:lang w:val="en-GB" w:eastAsia="cs-CZ"/>
              </w:rPr>
              <w:t>Registrar of Companies (England &amp; Wales)</w:t>
            </w:r>
            <w:r w:rsidRPr="00303335">
              <w:rPr>
                <w:rFonts w:ascii="Calibri" w:eastAsia="Times New Roman" w:hAnsi="Calibri" w:cs="Calibri"/>
                <w:color w:val="000000"/>
                <w:lang w:eastAsia="cs-CZ"/>
              </w:rPr>
              <w:t xml:space="preserve"> zapsaná v oddílu </w:t>
            </w:r>
            <w:r w:rsidR="004C60F8">
              <w:rPr>
                <w:rFonts w:ascii="Calibri" w:eastAsia="Times New Roman" w:hAnsi="Calibri" w:cs="Calibri"/>
                <w:color w:val="000000"/>
                <w:lang w:val="en-GB" w:eastAsia="cs-CZ"/>
              </w:rPr>
              <w:t>32990</w:t>
            </w:r>
            <w:r w:rsidRPr="00303335">
              <w:rPr>
                <w:rFonts w:ascii="Calibri" w:eastAsia="Times New Roman" w:hAnsi="Calibri" w:cs="Calibri"/>
                <w:color w:val="000000"/>
                <w:lang w:eastAsia="cs-CZ"/>
              </w:rPr>
              <w:t xml:space="preserve"> </w:t>
            </w:r>
          </w:p>
        </w:tc>
      </w:tr>
      <w:tr w:rsidR="0026746B" w:rsidRPr="0026746B" w:rsidTr="004C60F8">
        <w:trPr>
          <w:trHeight w:val="300"/>
        </w:trPr>
        <w:tc>
          <w:tcPr>
            <w:tcW w:w="2500" w:type="pct"/>
            <w:shd w:val="clear" w:color="auto" w:fill="auto"/>
            <w:noWrap/>
            <w:vAlign w:val="bottom"/>
            <w:hideMark/>
          </w:tcPr>
          <w:p w:rsidR="0026746B" w:rsidRPr="00303335" w:rsidRDefault="0026746B" w:rsidP="0026746B">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val="en-GB" w:eastAsia="cs-CZ"/>
              </w:rPr>
              <w:t xml:space="preserve">Represented by: </w:t>
            </w:r>
            <w:proofErr w:type="spellStart"/>
            <w:r w:rsidR="004C60F8">
              <w:rPr>
                <w:rFonts w:ascii="Calibri" w:eastAsia="Times New Roman" w:hAnsi="Calibri" w:cs="Calibri"/>
                <w:color w:val="000000"/>
                <w:lang w:val="en-GB" w:eastAsia="cs-CZ"/>
              </w:rPr>
              <w:t>Dr.</w:t>
            </w:r>
            <w:proofErr w:type="spellEnd"/>
            <w:r w:rsidR="004C60F8">
              <w:rPr>
                <w:rFonts w:ascii="Calibri" w:eastAsia="Times New Roman" w:hAnsi="Calibri" w:cs="Calibri"/>
                <w:color w:val="000000"/>
                <w:lang w:val="en-GB" w:eastAsia="cs-CZ"/>
              </w:rPr>
              <w:t xml:space="preserve"> Richard J. </w:t>
            </w:r>
            <w:proofErr w:type="spellStart"/>
            <w:r w:rsidR="004C60F8">
              <w:rPr>
                <w:rFonts w:ascii="Calibri" w:eastAsia="Times New Roman" w:hAnsi="Calibri" w:cs="Calibri"/>
                <w:color w:val="000000"/>
                <w:lang w:val="en-GB" w:eastAsia="cs-CZ"/>
              </w:rPr>
              <w:t>Wylde</w:t>
            </w:r>
            <w:proofErr w:type="spellEnd"/>
          </w:p>
        </w:tc>
        <w:tc>
          <w:tcPr>
            <w:tcW w:w="78" w:type="pct"/>
            <w:shd w:val="clear" w:color="auto" w:fill="auto"/>
            <w:noWrap/>
            <w:vAlign w:val="bottom"/>
            <w:hideMark/>
          </w:tcPr>
          <w:p w:rsidR="0026746B" w:rsidRPr="00303335" w:rsidRDefault="0026746B" w:rsidP="0026746B">
            <w:pPr>
              <w:spacing w:after="0" w:line="240" w:lineRule="auto"/>
              <w:rPr>
                <w:rFonts w:ascii="Calibri" w:eastAsia="Times New Roman" w:hAnsi="Calibri" w:cs="Calibri"/>
                <w:color w:val="000000"/>
                <w:lang w:eastAsia="cs-CZ"/>
              </w:rPr>
            </w:pPr>
          </w:p>
        </w:tc>
        <w:tc>
          <w:tcPr>
            <w:tcW w:w="2422" w:type="pct"/>
            <w:shd w:val="clear" w:color="auto" w:fill="auto"/>
            <w:noWrap/>
            <w:vAlign w:val="bottom"/>
            <w:hideMark/>
          </w:tcPr>
          <w:p w:rsidR="0026746B" w:rsidRPr="0026746B" w:rsidRDefault="0026746B" w:rsidP="0026746B">
            <w:pPr>
              <w:spacing w:after="0" w:line="240" w:lineRule="auto"/>
              <w:rPr>
                <w:rFonts w:ascii="Calibri" w:eastAsia="Times New Roman" w:hAnsi="Calibri" w:cs="Calibri"/>
                <w:color w:val="000000"/>
                <w:lang w:eastAsia="cs-CZ"/>
              </w:rPr>
            </w:pPr>
            <w:r w:rsidRPr="00303335">
              <w:rPr>
                <w:rFonts w:ascii="Calibri" w:eastAsia="Times New Roman" w:hAnsi="Calibri" w:cs="Calibri"/>
                <w:color w:val="000000"/>
                <w:lang w:eastAsia="cs-CZ"/>
              </w:rPr>
              <w:t>Zastoupena:</w:t>
            </w:r>
            <w:r w:rsidR="004C60F8">
              <w:rPr>
                <w:rFonts w:ascii="Calibri" w:eastAsia="Times New Roman" w:hAnsi="Calibri" w:cs="Calibri"/>
                <w:color w:val="000000"/>
                <w:lang w:eastAsia="cs-CZ"/>
              </w:rPr>
              <w:t xml:space="preserve"> </w:t>
            </w:r>
            <w:proofErr w:type="spellStart"/>
            <w:r w:rsidR="004C60F8">
              <w:rPr>
                <w:rFonts w:ascii="Calibri" w:eastAsia="Times New Roman" w:hAnsi="Calibri" w:cs="Calibri"/>
                <w:color w:val="000000"/>
                <w:lang w:val="en-GB" w:eastAsia="cs-CZ"/>
              </w:rPr>
              <w:t>Dr.</w:t>
            </w:r>
            <w:proofErr w:type="spellEnd"/>
            <w:r w:rsidR="004C60F8">
              <w:rPr>
                <w:rFonts w:ascii="Calibri" w:eastAsia="Times New Roman" w:hAnsi="Calibri" w:cs="Calibri"/>
                <w:color w:val="000000"/>
                <w:lang w:val="en-GB" w:eastAsia="cs-CZ"/>
              </w:rPr>
              <w:t xml:space="preserve"> Richard J. </w:t>
            </w:r>
            <w:proofErr w:type="spellStart"/>
            <w:r w:rsidR="004C60F8">
              <w:rPr>
                <w:rFonts w:ascii="Calibri" w:eastAsia="Times New Roman" w:hAnsi="Calibri" w:cs="Calibri"/>
                <w:color w:val="000000"/>
                <w:lang w:val="en-GB" w:eastAsia="cs-CZ"/>
              </w:rPr>
              <w:t>Wylde</w:t>
            </w:r>
            <w:proofErr w:type="spellEnd"/>
          </w:p>
        </w:tc>
      </w:tr>
      <w:tr w:rsidR="0026746B" w:rsidRPr="0026746B" w:rsidTr="004C60F8">
        <w:trPr>
          <w:trHeight w:val="300"/>
        </w:trPr>
        <w:tc>
          <w:tcPr>
            <w:tcW w:w="2500" w:type="pct"/>
            <w:shd w:val="clear" w:color="auto" w:fill="auto"/>
            <w:vAlign w:val="center"/>
            <w:hideMark/>
          </w:tcPr>
          <w:p w:rsidR="0026746B" w:rsidRPr="0026746B" w:rsidRDefault="0026746B" w:rsidP="0026746B">
            <w:pPr>
              <w:spacing w:after="0" w:line="240" w:lineRule="auto"/>
              <w:rPr>
                <w:rFonts w:ascii="Calibri" w:eastAsia="Times New Roman" w:hAnsi="Calibri" w:cs="Calibri"/>
                <w:color w:val="000000"/>
                <w:lang w:eastAsia="cs-CZ"/>
              </w:rPr>
            </w:pPr>
          </w:p>
        </w:tc>
        <w:tc>
          <w:tcPr>
            <w:tcW w:w="78"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r>
      <w:tr w:rsidR="0026746B" w:rsidRPr="0026746B" w:rsidTr="004C60F8">
        <w:trPr>
          <w:trHeight w:val="300"/>
        </w:trPr>
        <w:tc>
          <w:tcPr>
            <w:tcW w:w="2500"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b/>
                <w:bCs/>
                <w:color w:val="000000"/>
                <w:lang w:eastAsia="cs-CZ"/>
              </w:rPr>
            </w:pPr>
            <w:r w:rsidRPr="0026746B">
              <w:rPr>
                <w:rFonts w:ascii="Calibri" w:eastAsia="Times New Roman" w:hAnsi="Calibri" w:cs="Calibri"/>
                <w:b/>
                <w:bCs/>
                <w:color w:val="000000"/>
                <w:lang w:val="en-GB" w:eastAsia="cs-CZ"/>
              </w:rPr>
              <w:t>(hereinafter also as “Parties”)</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b/>
                <w:bCs/>
                <w:color w:val="000000"/>
                <w:lang w:eastAsia="cs-CZ"/>
              </w:rPr>
            </w:pPr>
          </w:p>
        </w:tc>
        <w:tc>
          <w:tcPr>
            <w:tcW w:w="2422"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b/>
                <w:bCs/>
                <w:color w:val="000000"/>
                <w:lang w:eastAsia="cs-CZ"/>
              </w:rPr>
            </w:pPr>
            <w:r w:rsidRPr="0026746B">
              <w:rPr>
                <w:rFonts w:ascii="Calibri" w:eastAsia="Times New Roman" w:hAnsi="Calibri" w:cs="Calibri"/>
                <w:b/>
                <w:bCs/>
                <w:color w:val="000000"/>
                <w:lang w:eastAsia="cs-CZ"/>
              </w:rPr>
              <w:t>(dále též jako „smluvní strany“)</w:t>
            </w:r>
          </w:p>
        </w:tc>
      </w:tr>
      <w:tr w:rsidR="0026746B" w:rsidRPr="0026746B" w:rsidTr="004C60F8">
        <w:trPr>
          <w:trHeight w:val="300"/>
        </w:trPr>
        <w:tc>
          <w:tcPr>
            <w:tcW w:w="2500"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b/>
                <w:bCs/>
                <w:color w:val="000000"/>
                <w:lang w:eastAsia="cs-CZ"/>
              </w:rPr>
            </w:pPr>
          </w:p>
        </w:tc>
        <w:tc>
          <w:tcPr>
            <w:tcW w:w="78"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r>
      <w:tr w:rsidR="00A73819" w:rsidRPr="0026746B" w:rsidTr="004C60F8">
        <w:trPr>
          <w:trHeight w:val="300"/>
        </w:trPr>
        <w:tc>
          <w:tcPr>
            <w:tcW w:w="2500" w:type="pct"/>
            <w:shd w:val="clear" w:color="auto" w:fill="auto"/>
            <w:vAlign w:val="center"/>
          </w:tcPr>
          <w:p w:rsidR="00A73819" w:rsidRPr="0026746B" w:rsidRDefault="00A73819" w:rsidP="0026746B">
            <w:pPr>
              <w:spacing w:after="0" w:line="240" w:lineRule="auto"/>
              <w:jc w:val="both"/>
              <w:rPr>
                <w:rFonts w:ascii="Calibri" w:eastAsia="Times New Roman" w:hAnsi="Calibri" w:cs="Calibri"/>
                <w:b/>
                <w:bCs/>
                <w:color w:val="000000"/>
                <w:lang w:eastAsia="cs-CZ"/>
              </w:rPr>
            </w:pPr>
          </w:p>
        </w:tc>
        <w:tc>
          <w:tcPr>
            <w:tcW w:w="78" w:type="pct"/>
            <w:shd w:val="clear" w:color="auto" w:fill="auto"/>
            <w:vAlign w:val="center"/>
          </w:tcPr>
          <w:p w:rsidR="00A73819" w:rsidRPr="0026746B" w:rsidRDefault="00A73819"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A73819" w:rsidRPr="0026746B" w:rsidRDefault="00A73819" w:rsidP="0026746B">
            <w:pPr>
              <w:spacing w:after="0" w:line="240" w:lineRule="auto"/>
              <w:jc w:val="both"/>
              <w:rPr>
                <w:rFonts w:ascii="Times New Roman" w:eastAsia="Times New Roman" w:hAnsi="Times New Roman" w:cs="Times New Roman"/>
                <w:sz w:val="20"/>
                <w:szCs w:val="20"/>
                <w:lang w:eastAsia="cs-CZ"/>
              </w:rPr>
            </w:pPr>
          </w:p>
        </w:tc>
      </w:tr>
      <w:tr w:rsidR="0026746B" w:rsidRPr="0026746B" w:rsidTr="004C60F8">
        <w:trPr>
          <w:trHeight w:val="300"/>
        </w:trPr>
        <w:tc>
          <w:tcPr>
            <w:tcW w:w="2500" w:type="pct"/>
            <w:shd w:val="clear" w:color="auto" w:fill="auto"/>
            <w:vAlign w:val="center"/>
            <w:hideMark/>
          </w:tcPr>
          <w:p w:rsidR="0026746B" w:rsidRPr="00282A62" w:rsidRDefault="0026746B" w:rsidP="00282A62">
            <w:pPr>
              <w:pStyle w:val="Odstavecseseznamem"/>
              <w:numPr>
                <w:ilvl w:val="0"/>
                <w:numId w:val="1"/>
              </w:numPr>
              <w:spacing w:after="0" w:line="240" w:lineRule="auto"/>
              <w:jc w:val="center"/>
              <w:rPr>
                <w:rFonts w:ascii="Calibri" w:eastAsia="Times New Roman" w:hAnsi="Calibri" w:cs="Calibri"/>
                <w:b/>
                <w:bCs/>
                <w:color w:val="000000"/>
                <w:lang w:eastAsia="cs-CZ"/>
              </w:rPr>
            </w:pPr>
            <w:r w:rsidRPr="00282A62">
              <w:rPr>
                <w:rFonts w:ascii="Calibri" w:eastAsia="Calibri" w:hAnsi="Calibri" w:cs="Calibri"/>
                <w:b/>
                <w:bCs/>
                <w:color w:val="000000"/>
                <w:lang w:val="en-US" w:eastAsia="cs-CZ"/>
              </w:rPr>
              <w:t>OBJECT OF PURCHASE</w:t>
            </w:r>
          </w:p>
        </w:tc>
        <w:tc>
          <w:tcPr>
            <w:tcW w:w="78" w:type="pct"/>
            <w:shd w:val="clear" w:color="auto" w:fill="auto"/>
            <w:vAlign w:val="center"/>
            <w:hideMark/>
          </w:tcPr>
          <w:p w:rsidR="0026746B" w:rsidRPr="0026746B" w:rsidRDefault="0026746B" w:rsidP="0026746B">
            <w:pPr>
              <w:spacing w:after="0" w:line="240" w:lineRule="auto"/>
              <w:jc w:val="center"/>
              <w:rPr>
                <w:rFonts w:ascii="Calibri" w:eastAsia="Times New Roman" w:hAnsi="Calibri" w:cs="Calibri"/>
                <w:b/>
                <w:bCs/>
                <w:color w:val="000000"/>
                <w:lang w:eastAsia="cs-CZ"/>
              </w:rPr>
            </w:pPr>
          </w:p>
        </w:tc>
        <w:tc>
          <w:tcPr>
            <w:tcW w:w="2422" w:type="pct"/>
            <w:shd w:val="clear" w:color="auto" w:fill="auto"/>
            <w:vAlign w:val="center"/>
            <w:hideMark/>
          </w:tcPr>
          <w:p w:rsidR="0026746B" w:rsidRPr="0026746B" w:rsidRDefault="0026746B" w:rsidP="00282A62">
            <w:pPr>
              <w:pStyle w:val="Odstavecseseznamem"/>
              <w:numPr>
                <w:ilvl w:val="0"/>
                <w:numId w:val="2"/>
              </w:numPr>
              <w:spacing w:after="0" w:line="240" w:lineRule="auto"/>
              <w:jc w:val="center"/>
              <w:rPr>
                <w:rFonts w:ascii="Calibri" w:eastAsia="Calibri" w:hAnsi="Calibri" w:cs="Calibri"/>
                <w:b/>
                <w:bCs/>
                <w:color w:val="000000"/>
                <w:lang w:val="en-US" w:eastAsia="cs-CZ"/>
              </w:rPr>
            </w:pPr>
            <w:bookmarkStart w:id="0" w:name="_Toc482730623"/>
            <w:bookmarkStart w:id="1" w:name="RANGE!C30"/>
            <w:r w:rsidRPr="0026746B">
              <w:rPr>
                <w:rFonts w:ascii="Calibri" w:eastAsia="Calibri" w:hAnsi="Calibri" w:cs="Calibri"/>
                <w:b/>
                <w:bCs/>
                <w:color w:val="000000"/>
                <w:lang w:val="en-US" w:eastAsia="cs-CZ"/>
              </w:rPr>
              <w:t>PŘEDMĚT KOUPĚ</w:t>
            </w:r>
            <w:bookmarkEnd w:id="0"/>
            <w:bookmarkEnd w:id="1"/>
          </w:p>
        </w:tc>
      </w:tr>
      <w:tr w:rsidR="0026746B" w:rsidRPr="0026746B" w:rsidTr="00AD206C">
        <w:trPr>
          <w:trHeight w:val="300"/>
        </w:trPr>
        <w:tc>
          <w:tcPr>
            <w:tcW w:w="2500" w:type="pct"/>
            <w:shd w:val="clear" w:color="auto" w:fill="auto"/>
            <w:vAlign w:val="center"/>
            <w:hideMark/>
          </w:tcPr>
          <w:p w:rsidR="0026746B" w:rsidRPr="004C60F8" w:rsidRDefault="0026746B" w:rsidP="00CA7869">
            <w:pPr>
              <w:pStyle w:val="Odstavecseseznamem"/>
              <w:numPr>
                <w:ilvl w:val="0"/>
                <w:numId w:val="3"/>
              </w:numPr>
              <w:spacing w:after="0" w:line="240" w:lineRule="auto"/>
              <w:jc w:val="both"/>
              <w:rPr>
                <w:rFonts w:ascii="Calibri" w:eastAsia="Times New Roman" w:hAnsi="Calibri" w:cs="Calibri"/>
                <w:color w:val="000000"/>
                <w:lang w:eastAsia="cs-CZ"/>
              </w:rPr>
            </w:pPr>
            <w:r w:rsidRPr="004C60F8">
              <w:rPr>
                <w:rFonts w:ascii="Calibri" w:eastAsia="Calibri" w:hAnsi="Calibri" w:cs="Calibri"/>
                <w:color w:val="000000"/>
                <w:lang w:val="en-US" w:eastAsia="cs-CZ"/>
              </w:rPr>
              <w:t xml:space="preserve">The Object of </w:t>
            </w:r>
            <w:r w:rsidR="00FC7A93" w:rsidRPr="004C60F8">
              <w:rPr>
                <w:rFonts w:ascii="Calibri" w:eastAsia="Calibri" w:hAnsi="Calibri" w:cs="Calibri"/>
                <w:color w:val="000000"/>
                <w:lang w:val="en-US" w:eastAsia="cs-CZ"/>
              </w:rPr>
              <w:t>Purchase under this Contract is qua</w:t>
            </w:r>
            <w:r w:rsidR="005A7AA7" w:rsidRPr="004C60F8">
              <w:rPr>
                <w:rFonts w:ascii="Calibri" w:eastAsia="Calibri" w:hAnsi="Calibri" w:cs="Calibri"/>
                <w:color w:val="000000"/>
                <w:lang w:val="en-US" w:eastAsia="cs-CZ"/>
              </w:rPr>
              <w:t>s</w:t>
            </w:r>
            <w:r w:rsidR="00FC7A93" w:rsidRPr="004C60F8">
              <w:rPr>
                <w:rFonts w:ascii="Calibri" w:eastAsia="Calibri" w:hAnsi="Calibri" w:cs="Calibri"/>
                <w:color w:val="000000"/>
                <w:lang w:val="en-US" w:eastAsia="cs-CZ"/>
              </w:rPr>
              <w:t>i-optical table and accessories</w:t>
            </w:r>
            <w:r w:rsidRPr="004C60F8">
              <w:rPr>
                <w:rFonts w:ascii="Calibri" w:eastAsia="Calibri" w:hAnsi="Calibri" w:cs="Calibri"/>
                <w:color w:val="000000"/>
                <w:lang w:val="en-US" w:eastAsia="cs-CZ"/>
              </w:rPr>
              <w:t xml:space="preserve"> </w:t>
            </w:r>
          </w:p>
          <w:p w:rsidR="00B03B93" w:rsidRPr="004C60F8" w:rsidRDefault="004C60F8" w:rsidP="005F2EB5">
            <w:pPr>
              <w:spacing w:before="120" w:after="120" w:line="240" w:lineRule="auto"/>
              <w:jc w:val="both"/>
              <w:rPr>
                <w:rFonts w:ascii="Calibri" w:eastAsia="Times New Roman" w:hAnsi="Calibri" w:cs="Calibri"/>
                <w:color w:val="000000"/>
                <w:lang w:eastAsia="cs-CZ"/>
              </w:rPr>
            </w:pPr>
            <w:r w:rsidRPr="004C60F8">
              <w:rPr>
                <w:rFonts w:ascii="Calibri" w:eastAsia="Calibri" w:hAnsi="Calibri" w:cs="Calibri"/>
                <w:color w:val="000000"/>
                <w:lang w:eastAsia="cs-CZ"/>
              </w:rPr>
              <w:t xml:space="preserve">TK Quasi </w:t>
            </w:r>
            <w:proofErr w:type="spellStart"/>
            <w:r w:rsidRPr="004C60F8">
              <w:rPr>
                <w:rFonts w:ascii="Calibri" w:eastAsia="Calibri" w:hAnsi="Calibri" w:cs="Calibri"/>
                <w:color w:val="000000"/>
                <w:lang w:eastAsia="cs-CZ"/>
              </w:rPr>
              <w:t>Optical</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Bench</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with</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corrugated</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feed</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horns</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frees-space</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isolation</w:t>
            </w:r>
            <w:proofErr w:type="spellEnd"/>
            <w:r w:rsidRPr="004C60F8">
              <w:rPr>
                <w:rFonts w:ascii="Calibri" w:eastAsia="Calibri" w:hAnsi="Calibri" w:cs="Calibri"/>
                <w:color w:val="000000"/>
                <w:lang w:eastAsia="cs-CZ"/>
              </w:rPr>
              <w:t xml:space="preserve"> and HE11 EPR </w:t>
            </w:r>
            <w:proofErr w:type="spellStart"/>
            <w:r w:rsidRPr="004C60F8">
              <w:rPr>
                <w:rFonts w:ascii="Calibri" w:eastAsia="Calibri" w:hAnsi="Calibri" w:cs="Calibri"/>
                <w:color w:val="000000"/>
                <w:lang w:eastAsia="cs-CZ"/>
              </w:rPr>
              <w:t>probes</w:t>
            </w:r>
            <w:proofErr w:type="spellEnd"/>
          </w:p>
        </w:tc>
        <w:tc>
          <w:tcPr>
            <w:tcW w:w="78" w:type="pct"/>
            <w:shd w:val="clear" w:color="auto" w:fill="auto"/>
            <w:vAlign w:val="center"/>
            <w:hideMark/>
          </w:tcPr>
          <w:p w:rsidR="0026746B" w:rsidRPr="004C60F8" w:rsidRDefault="0026746B" w:rsidP="0026746B">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26746B" w:rsidRPr="004C60F8" w:rsidRDefault="0026746B" w:rsidP="00CA7869">
            <w:pPr>
              <w:pStyle w:val="Odstavecseseznamem"/>
              <w:numPr>
                <w:ilvl w:val="0"/>
                <w:numId w:val="4"/>
              </w:numPr>
              <w:spacing w:after="0" w:line="240" w:lineRule="auto"/>
              <w:jc w:val="both"/>
              <w:rPr>
                <w:rFonts w:ascii="Calibri" w:eastAsia="Calibri" w:hAnsi="Calibri" w:cs="Calibri"/>
                <w:color w:val="000000"/>
                <w:lang w:eastAsia="cs-CZ"/>
              </w:rPr>
            </w:pPr>
            <w:r w:rsidRPr="004C60F8">
              <w:rPr>
                <w:rFonts w:ascii="Calibri" w:eastAsia="Calibri" w:hAnsi="Calibri" w:cs="Calibri"/>
                <w:color w:val="000000"/>
                <w:lang w:eastAsia="cs-CZ"/>
              </w:rPr>
              <w:t xml:space="preserve">Předmětem koupě podle této Smlouvy je: </w:t>
            </w:r>
            <w:proofErr w:type="spellStart"/>
            <w:r w:rsidR="00FC7A93" w:rsidRPr="004C60F8">
              <w:rPr>
                <w:rFonts w:ascii="Calibri" w:eastAsia="Calibri" w:hAnsi="Calibri" w:cs="Calibri"/>
                <w:color w:val="000000"/>
                <w:lang w:eastAsia="cs-CZ"/>
              </w:rPr>
              <w:t>kvazioptický</w:t>
            </w:r>
            <w:proofErr w:type="spellEnd"/>
            <w:r w:rsidR="00FC7A93" w:rsidRPr="004C60F8">
              <w:rPr>
                <w:rFonts w:ascii="Calibri" w:eastAsia="Calibri" w:hAnsi="Calibri" w:cs="Calibri"/>
                <w:color w:val="000000"/>
                <w:lang w:eastAsia="cs-CZ"/>
              </w:rPr>
              <w:t xml:space="preserve"> stůl a další příslušenství</w:t>
            </w:r>
          </w:p>
          <w:p w:rsidR="00B03B93" w:rsidRPr="005A7AA7" w:rsidRDefault="004C60F8" w:rsidP="004C60F8">
            <w:pPr>
              <w:spacing w:before="120" w:after="120" w:line="240" w:lineRule="auto"/>
              <w:jc w:val="both"/>
              <w:rPr>
                <w:rFonts w:ascii="Calibri" w:eastAsia="Calibri" w:hAnsi="Calibri" w:cs="Calibri"/>
                <w:color w:val="000000"/>
                <w:lang w:eastAsia="cs-CZ"/>
              </w:rPr>
            </w:pPr>
            <w:r w:rsidRPr="004C60F8">
              <w:rPr>
                <w:rFonts w:ascii="Calibri" w:eastAsia="Calibri" w:hAnsi="Calibri" w:cs="Calibri"/>
                <w:color w:val="000000"/>
                <w:lang w:eastAsia="cs-CZ"/>
              </w:rPr>
              <w:t xml:space="preserve">TK Quasi </w:t>
            </w:r>
            <w:proofErr w:type="spellStart"/>
            <w:r w:rsidRPr="004C60F8">
              <w:rPr>
                <w:rFonts w:ascii="Calibri" w:eastAsia="Calibri" w:hAnsi="Calibri" w:cs="Calibri"/>
                <w:color w:val="000000"/>
                <w:lang w:eastAsia="cs-CZ"/>
              </w:rPr>
              <w:t>Optical</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Bench</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with</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corrugated</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feed</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horns</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frees-space</w:t>
            </w:r>
            <w:proofErr w:type="spellEnd"/>
            <w:r w:rsidRPr="004C60F8">
              <w:rPr>
                <w:rFonts w:ascii="Calibri" w:eastAsia="Calibri" w:hAnsi="Calibri" w:cs="Calibri"/>
                <w:color w:val="000000"/>
                <w:lang w:eastAsia="cs-CZ"/>
              </w:rPr>
              <w:t xml:space="preserve"> </w:t>
            </w:r>
            <w:proofErr w:type="spellStart"/>
            <w:r w:rsidRPr="004C60F8">
              <w:rPr>
                <w:rFonts w:ascii="Calibri" w:eastAsia="Calibri" w:hAnsi="Calibri" w:cs="Calibri"/>
                <w:color w:val="000000"/>
                <w:lang w:eastAsia="cs-CZ"/>
              </w:rPr>
              <w:t>isolation</w:t>
            </w:r>
            <w:proofErr w:type="spellEnd"/>
            <w:r w:rsidRPr="004C60F8">
              <w:rPr>
                <w:rFonts w:ascii="Calibri" w:eastAsia="Calibri" w:hAnsi="Calibri" w:cs="Calibri"/>
                <w:color w:val="000000"/>
                <w:lang w:eastAsia="cs-CZ"/>
              </w:rPr>
              <w:t xml:space="preserve"> and HE11 EPR </w:t>
            </w:r>
            <w:proofErr w:type="spellStart"/>
            <w:r w:rsidRPr="004C60F8">
              <w:rPr>
                <w:rFonts w:ascii="Calibri" w:eastAsia="Calibri" w:hAnsi="Calibri" w:cs="Calibri"/>
                <w:color w:val="000000"/>
                <w:lang w:eastAsia="cs-CZ"/>
              </w:rPr>
              <w:t>probes</w:t>
            </w:r>
            <w:proofErr w:type="spellEnd"/>
            <w:r w:rsidR="00303335" w:rsidRPr="005A7AA7">
              <w:rPr>
                <w:rFonts w:ascii="Calibri" w:eastAsia="Calibri" w:hAnsi="Calibri" w:cs="Calibri"/>
                <w:color w:val="000000"/>
                <w:lang w:eastAsia="cs-CZ"/>
              </w:rPr>
              <w:t xml:space="preserve"> </w:t>
            </w:r>
            <w:r w:rsidR="00B03B93" w:rsidRPr="005A7AA7">
              <w:rPr>
                <w:rFonts w:ascii="Calibri" w:eastAsia="Calibri" w:hAnsi="Calibri" w:cs="Calibri"/>
                <w:color w:val="000000"/>
                <w:lang w:eastAsia="cs-CZ"/>
              </w:rPr>
              <w:t xml:space="preserve"> </w:t>
            </w:r>
          </w:p>
        </w:tc>
      </w:tr>
      <w:tr w:rsidR="0026746B" w:rsidRPr="0026746B" w:rsidTr="004C60F8">
        <w:trPr>
          <w:trHeight w:val="900"/>
        </w:trPr>
        <w:tc>
          <w:tcPr>
            <w:tcW w:w="2500" w:type="pct"/>
            <w:shd w:val="clear" w:color="auto" w:fill="auto"/>
            <w:vAlign w:val="center"/>
            <w:hideMark/>
          </w:tcPr>
          <w:p w:rsidR="0026746B" w:rsidRPr="0026746B" w:rsidRDefault="0026746B" w:rsidP="00CA7869">
            <w:pPr>
              <w:pStyle w:val="Odstavecseseznamem"/>
              <w:numPr>
                <w:ilvl w:val="0"/>
                <w:numId w:val="3"/>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The Object of Purchase is specified in more detail in the technical description which forms an integral part of this Contract as its Annex no. 1.</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26746B" w:rsidRPr="005A7AA7" w:rsidRDefault="0026746B" w:rsidP="00CA7869">
            <w:pPr>
              <w:pStyle w:val="Odstavecseseznamem"/>
              <w:numPr>
                <w:ilvl w:val="0"/>
                <w:numId w:val="4"/>
              </w:numPr>
              <w:spacing w:after="0" w:line="240" w:lineRule="auto"/>
              <w:jc w:val="both"/>
              <w:rPr>
                <w:rFonts w:ascii="Calibri" w:eastAsia="Calibri" w:hAnsi="Calibri" w:cs="Calibri"/>
                <w:color w:val="000000"/>
                <w:lang w:eastAsia="cs-CZ"/>
              </w:rPr>
            </w:pPr>
            <w:r w:rsidRPr="005A7AA7">
              <w:rPr>
                <w:rFonts w:ascii="Calibri" w:eastAsia="Calibri" w:hAnsi="Calibri" w:cs="Calibri"/>
                <w:color w:val="000000"/>
                <w:lang w:eastAsia="cs-CZ"/>
              </w:rPr>
              <w:t>Předmět koupě je blíže specifikován v technickém popisu, který je nedílnou součástí této Smlouvy jako její příloha č. 1.</w:t>
            </w:r>
          </w:p>
        </w:tc>
      </w:tr>
      <w:tr w:rsidR="0026746B" w:rsidRPr="0026746B" w:rsidTr="004C60F8">
        <w:trPr>
          <w:trHeight w:val="300"/>
        </w:trPr>
        <w:tc>
          <w:tcPr>
            <w:tcW w:w="2500" w:type="pct"/>
            <w:shd w:val="clear" w:color="auto" w:fill="auto"/>
            <w:vAlign w:val="center"/>
            <w:hideMark/>
          </w:tcPr>
          <w:p w:rsidR="0026746B" w:rsidRPr="0026746B" w:rsidRDefault="0026746B" w:rsidP="00CA7869">
            <w:pPr>
              <w:pStyle w:val="Odstavecseseznamem"/>
              <w:numPr>
                <w:ilvl w:val="0"/>
                <w:numId w:val="3"/>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By this Contract the Seller agrees to:</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26746B" w:rsidRPr="005A7AA7" w:rsidRDefault="0026746B" w:rsidP="00CA7869">
            <w:pPr>
              <w:pStyle w:val="Odstavecseseznamem"/>
              <w:numPr>
                <w:ilvl w:val="0"/>
                <w:numId w:val="4"/>
              </w:numPr>
              <w:spacing w:after="0" w:line="240" w:lineRule="auto"/>
              <w:jc w:val="both"/>
              <w:rPr>
                <w:rFonts w:ascii="Calibri" w:eastAsia="Calibri" w:hAnsi="Calibri" w:cs="Calibri"/>
                <w:color w:val="000000"/>
                <w:lang w:eastAsia="cs-CZ"/>
              </w:rPr>
            </w:pPr>
            <w:r w:rsidRPr="005A7AA7">
              <w:rPr>
                <w:rFonts w:ascii="Calibri" w:eastAsia="Calibri" w:hAnsi="Calibri" w:cs="Calibri"/>
                <w:color w:val="000000"/>
                <w:lang w:eastAsia="cs-CZ"/>
              </w:rPr>
              <w:t>Prodávající se touto Smlouvou zavazuje:</w:t>
            </w:r>
          </w:p>
        </w:tc>
      </w:tr>
      <w:tr w:rsidR="0026746B" w:rsidRPr="0026746B" w:rsidTr="004C60F8">
        <w:trPr>
          <w:trHeight w:val="900"/>
        </w:trPr>
        <w:tc>
          <w:tcPr>
            <w:tcW w:w="2500" w:type="pct"/>
            <w:shd w:val="clear" w:color="auto" w:fill="auto"/>
            <w:vAlign w:val="center"/>
            <w:hideMark/>
          </w:tcPr>
          <w:p w:rsidR="0026746B" w:rsidRPr="00086449" w:rsidRDefault="0026746B" w:rsidP="00CA7869">
            <w:pPr>
              <w:pStyle w:val="Odstavecseseznamem"/>
              <w:numPr>
                <w:ilvl w:val="0"/>
                <w:numId w:val="5"/>
              </w:numPr>
              <w:spacing w:after="0" w:line="240" w:lineRule="auto"/>
              <w:rPr>
                <w:rFonts w:ascii="Calibri" w:eastAsia="Times New Roman" w:hAnsi="Calibri" w:cstheme="minorHAnsi"/>
                <w:color w:val="000000"/>
                <w:lang w:val="en-US" w:eastAsia="cs-CZ"/>
              </w:rPr>
            </w:pPr>
            <w:r w:rsidRPr="00086449">
              <w:rPr>
                <w:rFonts w:ascii="Calibri" w:eastAsia="Times New Roman" w:hAnsi="Calibri" w:cstheme="minorHAnsi"/>
                <w:color w:val="000000"/>
                <w:lang w:val="en-US" w:eastAsia="cs-CZ"/>
              </w:rPr>
              <w:t xml:space="preserve">deliver the Object of Purchase under clause 1 to the Buyer and allow the latter to acquire the title to this Object of Purchase, </w:t>
            </w:r>
          </w:p>
        </w:tc>
        <w:tc>
          <w:tcPr>
            <w:tcW w:w="78" w:type="pct"/>
            <w:shd w:val="clear" w:color="auto" w:fill="auto"/>
            <w:vAlign w:val="center"/>
            <w:hideMark/>
          </w:tcPr>
          <w:p w:rsidR="0026746B" w:rsidRPr="0026746B" w:rsidRDefault="0026746B" w:rsidP="0026746B">
            <w:pPr>
              <w:spacing w:after="0" w:line="240" w:lineRule="auto"/>
              <w:ind w:firstLineChars="100" w:firstLine="220"/>
              <w:rPr>
                <w:rFonts w:ascii="Calibri" w:eastAsia="Times New Roman" w:hAnsi="Calibri" w:cs="Calibri"/>
                <w:color w:val="000000"/>
                <w:lang w:eastAsia="cs-CZ"/>
              </w:rPr>
            </w:pPr>
          </w:p>
        </w:tc>
        <w:tc>
          <w:tcPr>
            <w:tcW w:w="2422" w:type="pct"/>
            <w:shd w:val="clear" w:color="auto" w:fill="auto"/>
            <w:vAlign w:val="center"/>
            <w:hideMark/>
          </w:tcPr>
          <w:p w:rsidR="0026746B" w:rsidRPr="00CA7869" w:rsidRDefault="0026746B" w:rsidP="00CA7869">
            <w:pPr>
              <w:pStyle w:val="Odstavecseseznamem"/>
              <w:numPr>
                <w:ilvl w:val="0"/>
                <w:numId w:val="6"/>
              </w:numPr>
              <w:spacing w:after="0" w:line="240" w:lineRule="auto"/>
              <w:rPr>
                <w:rFonts w:ascii="Calibri" w:eastAsia="Times New Roman" w:hAnsi="Calibri" w:cs="Calibri"/>
                <w:color w:val="000000"/>
                <w:lang w:eastAsia="cs-CZ"/>
              </w:rPr>
            </w:pPr>
            <w:r w:rsidRPr="00CA7869">
              <w:rPr>
                <w:rFonts w:ascii="Calibri" w:eastAsia="Times New Roman" w:hAnsi="Calibri" w:cs="Calibri"/>
                <w:color w:val="000000"/>
                <w:lang w:eastAsia="cs-CZ"/>
              </w:rPr>
              <w:t>odevzdat Kupujícímu Předmět koupě dle odst. 1 a umožnit mu nabýt vlastnické právo k tomuto Předmětu koupě,</w:t>
            </w:r>
          </w:p>
        </w:tc>
      </w:tr>
      <w:tr w:rsidR="0026746B" w:rsidRPr="0026746B" w:rsidTr="004C60F8">
        <w:trPr>
          <w:trHeight w:val="300"/>
        </w:trPr>
        <w:tc>
          <w:tcPr>
            <w:tcW w:w="2500" w:type="pct"/>
            <w:shd w:val="clear" w:color="auto" w:fill="auto"/>
            <w:vAlign w:val="center"/>
            <w:hideMark/>
          </w:tcPr>
          <w:p w:rsidR="0026746B" w:rsidRPr="00086449" w:rsidRDefault="0026746B" w:rsidP="00CA7869">
            <w:pPr>
              <w:pStyle w:val="Odstavecseseznamem"/>
              <w:numPr>
                <w:ilvl w:val="0"/>
                <w:numId w:val="5"/>
              </w:numPr>
              <w:spacing w:after="0" w:line="240" w:lineRule="auto"/>
              <w:rPr>
                <w:rFonts w:ascii="Calibri" w:eastAsia="Times New Roman" w:hAnsi="Calibri" w:cstheme="minorHAnsi"/>
                <w:color w:val="000000"/>
                <w:lang w:val="en-US" w:eastAsia="cs-CZ"/>
              </w:rPr>
            </w:pPr>
            <w:r w:rsidRPr="00086449">
              <w:rPr>
                <w:rFonts w:ascii="Calibri" w:eastAsia="Times New Roman" w:hAnsi="Calibri" w:cstheme="minorHAnsi"/>
                <w:color w:val="000000"/>
                <w:lang w:val="en-US" w:eastAsia="cs-CZ"/>
              </w:rPr>
              <w:t xml:space="preserve">fulfill other obligations set forth in this Contract, </w:t>
            </w:r>
          </w:p>
        </w:tc>
        <w:tc>
          <w:tcPr>
            <w:tcW w:w="78" w:type="pct"/>
            <w:shd w:val="clear" w:color="auto" w:fill="auto"/>
            <w:vAlign w:val="center"/>
            <w:hideMark/>
          </w:tcPr>
          <w:p w:rsidR="0026746B" w:rsidRPr="0026746B" w:rsidRDefault="0026746B" w:rsidP="0026746B">
            <w:pPr>
              <w:spacing w:after="0" w:line="240" w:lineRule="auto"/>
              <w:ind w:firstLineChars="100" w:firstLine="220"/>
              <w:rPr>
                <w:rFonts w:ascii="Calibri" w:eastAsia="Times New Roman" w:hAnsi="Calibri" w:cs="Calibri"/>
                <w:color w:val="000000"/>
                <w:lang w:eastAsia="cs-CZ"/>
              </w:rPr>
            </w:pPr>
          </w:p>
        </w:tc>
        <w:tc>
          <w:tcPr>
            <w:tcW w:w="2422" w:type="pct"/>
            <w:shd w:val="clear" w:color="auto" w:fill="auto"/>
            <w:vAlign w:val="center"/>
            <w:hideMark/>
          </w:tcPr>
          <w:p w:rsidR="0026746B" w:rsidRPr="0026746B" w:rsidRDefault="0026746B" w:rsidP="00CA7869">
            <w:pPr>
              <w:pStyle w:val="Odstavecseseznamem"/>
              <w:numPr>
                <w:ilvl w:val="0"/>
                <w:numId w:val="6"/>
              </w:numPr>
              <w:spacing w:after="0" w:line="240" w:lineRule="auto"/>
              <w:rPr>
                <w:rFonts w:ascii="Calibri" w:eastAsia="Times New Roman" w:hAnsi="Calibri" w:cs="Calibri"/>
                <w:color w:val="000000"/>
                <w:lang w:eastAsia="cs-CZ"/>
              </w:rPr>
            </w:pPr>
            <w:r w:rsidRPr="0026746B">
              <w:rPr>
                <w:rFonts w:ascii="Calibri" w:eastAsia="Times New Roman" w:hAnsi="Calibri" w:cs="Calibri"/>
                <w:color w:val="000000"/>
                <w:lang w:eastAsia="cs-CZ"/>
              </w:rPr>
              <w:t>splnit další povinnosti uvedené v této Smlouvě,</w:t>
            </w:r>
          </w:p>
        </w:tc>
      </w:tr>
      <w:tr w:rsidR="002363B3" w:rsidRPr="0026746B" w:rsidTr="004C60F8">
        <w:trPr>
          <w:trHeight w:val="600"/>
        </w:trPr>
        <w:tc>
          <w:tcPr>
            <w:tcW w:w="2500" w:type="pct"/>
            <w:shd w:val="clear" w:color="auto" w:fill="auto"/>
            <w:vAlign w:val="center"/>
            <w:hideMark/>
          </w:tcPr>
          <w:p w:rsidR="002363B3" w:rsidRPr="00086449" w:rsidRDefault="002363B3" w:rsidP="002363B3">
            <w:pPr>
              <w:spacing w:after="0" w:line="240" w:lineRule="auto"/>
              <w:jc w:val="both"/>
              <w:rPr>
                <w:rFonts w:ascii="Calibri" w:eastAsia="Times New Roman" w:hAnsi="Calibri" w:cs="Calibri"/>
                <w:color w:val="000000"/>
                <w:lang w:val="en-US" w:eastAsia="cs-CZ"/>
              </w:rPr>
            </w:pPr>
            <w:r w:rsidRPr="00086449">
              <w:rPr>
                <w:rFonts w:ascii="Calibri" w:eastAsia="Times New Roman" w:hAnsi="Calibri" w:cs="Calibri"/>
                <w:color w:val="000000"/>
                <w:lang w:val="en-US" w:eastAsia="cs-CZ"/>
              </w:rPr>
              <w:t xml:space="preserve"> </w:t>
            </w:r>
            <w:proofErr w:type="gramStart"/>
            <w:r w:rsidRPr="00086449">
              <w:rPr>
                <w:rFonts w:ascii="Calibri" w:eastAsia="Times New Roman" w:hAnsi="Calibri" w:cs="Calibri"/>
                <w:color w:val="000000"/>
                <w:lang w:val="en-US" w:eastAsia="cs-CZ"/>
              </w:rPr>
              <w:t>and</w:t>
            </w:r>
            <w:proofErr w:type="gramEnd"/>
            <w:r w:rsidRPr="00086449">
              <w:rPr>
                <w:rFonts w:ascii="Calibri" w:eastAsia="Times New Roman" w:hAnsi="Calibri" w:cs="Calibri"/>
                <w:color w:val="000000"/>
                <w:lang w:val="en-US" w:eastAsia="cs-CZ"/>
              </w:rPr>
              <w:t xml:space="preserve"> the Buyer agrees to take delivery of the Object of Purchase, prepare the place of performance for the </w:t>
            </w:r>
            <w:proofErr w:type="spellStart"/>
            <w:r w:rsidRPr="00086449">
              <w:rPr>
                <w:rFonts w:ascii="Calibri" w:eastAsia="Times New Roman" w:hAnsi="Calibri" w:cs="Calibri"/>
                <w:color w:val="000000"/>
                <w:lang w:val="en-US" w:eastAsia="cs-CZ"/>
              </w:rPr>
              <w:t>instalation</w:t>
            </w:r>
            <w:proofErr w:type="spellEnd"/>
            <w:r w:rsidRPr="00086449">
              <w:rPr>
                <w:rFonts w:ascii="Calibri" w:eastAsia="Times New Roman" w:hAnsi="Calibri" w:cs="Calibri"/>
                <w:color w:val="000000"/>
                <w:lang w:val="en-US" w:eastAsia="cs-CZ"/>
              </w:rPr>
              <w:t xml:space="preserve"> of the Object of Purchase in accordance with Seller´s instructions and pay the purchase price.</w:t>
            </w:r>
          </w:p>
        </w:tc>
        <w:tc>
          <w:tcPr>
            <w:tcW w:w="78" w:type="pct"/>
            <w:shd w:val="clear" w:color="auto" w:fill="auto"/>
            <w:vAlign w:val="center"/>
            <w:hideMark/>
          </w:tcPr>
          <w:p w:rsidR="002363B3" w:rsidRPr="0026746B" w:rsidRDefault="002363B3" w:rsidP="002363B3">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2363B3" w:rsidRPr="0026746B" w:rsidRDefault="002363B3" w:rsidP="002363B3">
            <w:p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eastAsia="cs-CZ"/>
              </w:rPr>
              <w:t xml:space="preserve"> a Kupující se zavazuje Předmět koupě převzít</w:t>
            </w:r>
            <w:r>
              <w:rPr>
                <w:rFonts w:ascii="Calibri" w:eastAsia="Times New Roman" w:hAnsi="Calibri" w:cs="Calibri"/>
                <w:color w:val="000000"/>
                <w:lang w:eastAsia="cs-CZ"/>
              </w:rPr>
              <w:t>, připravit místo plnění pro instalaci Předmětu koupě dle pokynů Prodávajícího</w:t>
            </w:r>
            <w:r w:rsidRPr="0026746B">
              <w:rPr>
                <w:rFonts w:ascii="Calibri" w:eastAsia="Times New Roman" w:hAnsi="Calibri" w:cs="Calibri"/>
                <w:color w:val="000000"/>
                <w:lang w:eastAsia="cs-CZ"/>
              </w:rPr>
              <w:t xml:space="preserve"> a zaplatit kupní cenu.</w:t>
            </w:r>
          </w:p>
        </w:tc>
      </w:tr>
      <w:tr w:rsidR="0026746B" w:rsidRPr="0026746B" w:rsidTr="004C60F8">
        <w:trPr>
          <w:trHeight w:val="600"/>
        </w:trPr>
        <w:tc>
          <w:tcPr>
            <w:tcW w:w="2500" w:type="pct"/>
            <w:shd w:val="clear" w:color="auto" w:fill="auto"/>
            <w:vAlign w:val="center"/>
            <w:hideMark/>
          </w:tcPr>
          <w:p w:rsidR="0026746B" w:rsidRPr="00576070" w:rsidRDefault="0026746B" w:rsidP="00731A9E">
            <w:pPr>
              <w:pStyle w:val="Odstavecseseznamem"/>
              <w:numPr>
                <w:ilvl w:val="0"/>
                <w:numId w:val="3"/>
              </w:numPr>
              <w:spacing w:before="120" w:after="0" w:line="240" w:lineRule="auto"/>
              <w:ind w:left="357" w:hanging="357"/>
              <w:jc w:val="both"/>
              <w:rPr>
                <w:rFonts w:ascii="Calibri" w:eastAsia="Calibri" w:hAnsi="Calibri" w:cs="Calibri"/>
                <w:color w:val="000000"/>
                <w:lang w:val="en-US" w:eastAsia="cs-CZ"/>
              </w:rPr>
            </w:pPr>
            <w:r w:rsidRPr="00576070">
              <w:rPr>
                <w:rFonts w:ascii="Calibri" w:eastAsia="Calibri" w:hAnsi="Calibri" w:cs="Calibri"/>
                <w:color w:val="000000"/>
                <w:lang w:val="en-US" w:eastAsia="cs-CZ"/>
              </w:rPr>
              <w:t>The Seller and the Buyer further agree that apart from the above obligations, the Seller is also obligated and agrees to:</w:t>
            </w:r>
          </w:p>
        </w:tc>
        <w:tc>
          <w:tcPr>
            <w:tcW w:w="78" w:type="pct"/>
            <w:shd w:val="clear" w:color="auto" w:fill="auto"/>
            <w:vAlign w:val="center"/>
            <w:hideMark/>
          </w:tcPr>
          <w:p w:rsidR="0026746B" w:rsidRPr="0026746B" w:rsidRDefault="0026746B" w:rsidP="00731A9E">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26746B" w:rsidRPr="005A7AA7" w:rsidRDefault="0026746B" w:rsidP="00731A9E">
            <w:pPr>
              <w:pStyle w:val="Odstavecseseznamem"/>
              <w:numPr>
                <w:ilvl w:val="0"/>
                <w:numId w:val="4"/>
              </w:numPr>
              <w:spacing w:before="120" w:after="0" w:line="240" w:lineRule="auto"/>
              <w:ind w:left="357" w:hanging="357"/>
              <w:jc w:val="both"/>
              <w:rPr>
                <w:rFonts w:ascii="Calibri" w:eastAsia="Calibri" w:hAnsi="Calibri" w:cs="Calibri"/>
                <w:color w:val="000000"/>
                <w:lang w:eastAsia="cs-CZ"/>
              </w:rPr>
            </w:pPr>
            <w:r w:rsidRPr="005A7AA7">
              <w:rPr>
                <w:rFonts w:ascii="Calibri" w:eastAsia="Calibri" w:hAnsi="Calibri" w:cs="Calibri"/>
                <w:color w:val="000000"/>
                <w:lang w:eastAsia="cs-CZ"/>
              </w:rPr>
              <w:t>Prodávající a Kupující dále ujednávají, že dále je Prodávající krom shora uvedeného rovněž povinen a zavazuje se:</w:t>
            </w:r>
          </w:p>
        </w:tc>
      </w:tr>
      <w:tr w:rsidR="00F709CD" w:rsidRPr="0026746B" w:rsidTr="004C60F8">
        <w:trPr>
          <w:trHeight w:val="600"/>
        </w:trPr>
        <w:tc>
          <w:tcPr>
            <w:tcW w:w="2500" w:type="pct"/>
            <w:shd w:val="clear" w:color="auto" w:fill="auto"/>
            <w:vAlign w:val="center"/>
          </w:tcPr>
          <w:p w:rsidR="00F709CD" w:rsidRPr="00086449" w:rsidRDefault="0015522E" w:rsidP="00731A9E">
            <w:pPr>
              <w:pStyle w:val="Odstavecseseznamem"/>
              <w:numPr>
                <w:ilvl w:val="0"/>
                <w:numId w:val="8"/>
              </w:numPr>
              <w:spacing w:after="0" w:line="240" w:lineRule="auto"/>
              <w:jc w:val="both"/>
              <w:rPr>
                <w:rFonts w:ascii="Calibri" w:eastAsia="Times New Roman" w:hAnsi="Calibri" w:cstheme="minorHAnsi"/>
                <w:color w:val="000000"/>
                <w:lang w:val="en-US" w:eastAsia="cs-CZ"/>
              </w:rPr>
            </w:pPr>
            <w:r w:rsidRPr="00086449">
              <w:rPr>
                <w:rFonts w:ascii="Calibri" w:eastAsia="Times New Roman" w:hAnsi="Calibri" w:cstheme="minorHAnsi"/>
                <w:color w:val="000000"/>
                <w:lang w:val="en-US" w:eastAsia="cs-CZ"/>
              </w:rPr>
              <w:t xml:space="preserve">pass on </w:t>
            </w:r>
            <w:r w:rsidR="00576070" w:rsidRPr="00086449">
              <w:rPr>
                <w:rFonts w:ascii="Calibri" w:eastAsia="Times New Roman" w:hAnsi="Calibri" w:cstheme="minorHAnsi"/>
                <w:color w:val="000000"/>
                <w:lang w:val="en-US" w:eastAsia="cs-CZ"/>
              </w:rPr>
              <w:t>to the Buyer a 3D model of Object of Purchase in STEP file format,</w:t>
            </w:r>
          </w:p>
        </w:tc>
        <w:tc>
          <w:tcPr>
            <w:tcW w:w="78" w:type="pct"/>
            <w:shd w:val="clear" w:color="auto" w:fill="auto"/>
            <w:vAlign w:val="center"/>
          </w:tcPr>
          <w:p w:rsidR="00F709CD" w:rsidRPr="0026746B" w:rsidRDefault="00F709CD" w:rsidP="00731A9E">
            <w:pPr>
              <w:spacing w:after="0" w:line="240" w:lineRule="auto"/>
              <w:ind w:firstLineChars="100" w:firstLine="220"/>
              <w:jc w:val="both"/>
              <w:rPr>
                <w:rFonts w:ascii="Calibri" w:eastAsia="Times New Roman" w:hAnsi="Calibri" w:cs="Calibri"/>
                <w:color w:val="000000"/>
                <w:lang w:eastAsia="cs-CZ"/>
              </w:rPr>
            </w:pPr>
          </w:p>
        </w:tc>
        <w:tc>
          <w:tcPr>
            <w:tcW w:w="2422" w:type="pct"/>
            <w:shd w:val="clear" w:color="auto" w:fill="auto"/>
            <w:vAlign w:val="center"/>
          </w:tcPr>
          <w:p w:rsidR="00F709CD" w:rsidRPr="0026746B" w:rsidRDefault="00F709CD" w:rsidP="00731A9E">
            <w:pPr>
              <w:pStyle w:val="Odstavecseseznamem"/>
              <w:numPr>
                <w:ilvl w:val="0"/>
                <w:numId w:val="7"/>
              </w:numPr>
              <w:spacing w:after="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 xml:space="preserve">předat Kupujícímu 3D model Předmětu koupě ve formátu STEP </w:t>
            </w:r>
            <w:proofErr w:type="spellStart"/>
            <w:r>
              <w:rPr>
                <w:rFonts w:ascii="Calibri" w:eastAsia="Times New Roman" w:hAnsi="Calibri" w:cs="Calibri"/>
                <w:color w:val="000000"/>
                <w:lang w:eastAsia="cs-CZ"/>
              </w:rPr>
              <w:t>file</w:t>
            </w:r>
            <w:proofErr w:type="spellEnd"/>
            <w:r w:rsidR="00576070">
              <w:rPr>
                <w:rFonts w:ascii="Calibri" w:eastAsia="Times New Roman" w:hAnsi="Calibri" w:cs="Calibri"/>
                <w:color w:val="000000"/>
                <w:lang w:eastAsia="cs-CZ"/>
              </w:rPr>
              <w:t>,</w:t>
            </w:r>
          </w:p>
        </w:tc>
      </w:tr>
      <w:tr w:rsidR="0026746B" w:rsidRPr="0026746B" w:rsidTr="004C60F8">
        <w:trPr>
          <w:trHeight w:val="600"/>
        </w:trPr>
        <w:tc>
          <w:tcPr>
            <w:tcW w:w="2500" w:type="pct"/>
            <w:shd w:val="clear" w:color="auto" w:fill="auto"/>
            <w:vAlign w:val="center"/>
            <w:hideMark/>
          </w:tcPr>
          <w:p w:rsidR="0026746B" w:rsidRPr="00086449" w:rsidRDefault="0026746B" w:rsidP="00731A9E">
            <w:pPr>
              <w:pStyle w:val="Odstavecseseznamem"/>
              <w:numPr>
                <w:ilvl w:val="0"/>
                <w:numId w:val="8"/>
              </w:numPr>
              <w:spacing w:after="0" w:line="240" w:lineRule="auto"/>
              <w:jc w:val="both"/>
              <w:rPr>
                <w:rFonts w:ascii="Calibri" w:eastAsia="Times New Roman" w:hAnsi="Calibri" w:cstheme="minorHAnsi"/>
                <w:color w:val="000000"/>
                <w:lang w:val="en-US" w:eastAsia="cs-CZ"/>
              </w:rPr>
            </w:pPr>
            <w:r w:rsidRPr="00086449">
              <w:rPr>
                <w:rFonts w:ascii="Calibri" w:eastAsia="Times New Roman" w:hAnsi="Calibri" w:cstheme="minorHAnsi"/>
                <w:color w:val="000000"/>
                <w:lang w:val="en-US" w:eastAsia="cs-CZ"/>
              </w:rPr>
              <w:t xml:space="preserve">transport the Object of Purchase and install it at a place determined for that purpose by the Buyer, </w:t>
            </w:r>
          </w:p>
        </w:tc>
        <w:tc>
          <w:tcPr>
            <w:tcW w:w="78" w:type="pct"/>
            <w:shd w:val="clear" w:color="auto" w:fill="auto"/>
            <w:vAlign w:val="center"/>
            <w:hideMark/>
          </w:tcPr>
          <w:p w:rsidR="0026746B" w:rsidRPr="0026746B" w:rsidRDefault="0026746B" w:rsidP="00731A9E">
            <w:pPr>
              <w:spacing w:after="0" w:line="240" w:lineRule="auto"/>
              <w:ind w:firstLineChars="100" w:firstLine="220"/>
              <w:jc w:val="both"/>
              <w:rPr>
                <w:rFonts w:ascii="Calibri" w:eastAsia="Times New Roman" w:hAnsi="Calibri" w:cs="Calibri"/>
                <w:color w:val="000000"/>
                <w:lang w:eastAsia="cs-CZ"/>
              </w:rPr>
            </w:pPr>
          </w:p>
        </w:tc>
        <w:tc>
          <w:tcPr>
            <w:tcW w:w="2422" w:type="pct"/>
            <w:shd w:val="clear" w:color="auto" w:fill="auto"/>
            <w:vAlign w:val="center"/>
            <w:hideMark/>
          </w:tcPr>
          <w:p w:rsidR="0026746B" w:rsidRPr="0026746B" w:rsidRDefault="0026746B" w:rsidP="00731A9E">
            <w:pPr>
              <w:pStyle w:val="Odstavecseseznamem"/>
              <w:numPr>
                <w:ilvl w:val="0"/>
                <w:numId w:val="7"/>
              </w:num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eastAsia="cs-CZ"/>
              </w:rPr>
              <w:t xml:space="preserve">Předmět koupě dopravit a provést jeho instalaci na Kupujícím za tím účelem určené místo, </w:t>
            </w:r>
          </w:p>
        </w:tc>
      </w:tr>
      <w:tr w:rsidR="0026746B" w:rsidRPr="0026746B" w:rsidTr="004C60F8">
        <w:trPr>
          <w:trHeight w:val="600"/>
        </w:trPr>
        <w:tc>
          <w:tcPr>
            <w:tcW w:w="2500" w:type="pct"/>
            <w:shd w:val="clear" w:color="auto" w:fill="auto"/>
            <w:vAlign w:val="center"/>
            <w:hideMark/>
          </w:tcPr>
          <w:p w:rsidR="0026746B" w:rsidRPr="00086449" w:rsidRDefault="0026746B" w:rsidP="00576070">
            <w:pPr>
              <w:pStyle w:val="Odstavecseseznamem"/>
              <w:numPr>
                <w:ilvl w:val="0"/>
                <w:numId w:val="8"/>
              </w:numPr>
              <w:spacing w:after="0" w:line="240" w:lineRule="auto"/>
              <w:jc w:val="both"/>
              <w:rPr>
                <w:rFonts w:ascii="Calibri" w:eastAsia="Times New Roman" w:hAnsi="Calibri" w:cstheme="minorHAnsi"/>
                <w:color w:val="000000"/>
                <w:lang w:val="en-US" w:eastAsia="cs-CZ"/>
              </w:rPr>
            </w:pPr>
            <w:r w:rsidRPr="00086449">
              <w:rPr>
                <w:rFonts w:ascii="Calibri" w:eastAsia="Times New Roman" w:hAnsi="Calibri" w:cstheme="minorHAnsi"/>
                <w:color w:val="000000"/>
                <w:lang w:val="en-US" w:eastAsia="cs-CZ"/>
              </w:rPr>
              <w:t xml:space="preserve">fully integrate the Object of Purchase with the equipment of the building where it will be installed, </w:t>
            </w:r>
          </w:p>
        </w:tc>
        <w:tc>
          <w:tcPr>
            <w:tcW w:w="78" w:type="pct"/>
            <w:shd w:val="clear" w:color="auto" w:fill="auto"/>
            <w:vAlign w:val="center"/>
            <w:hideMark/>
          </w:tcPr>
          <w:p w:rsidR="0026746B" w:rsidRPr="0026746B" w:rsidRDefault="0026746B" w:rsidP="00731A9E">
            <w:pPr>
              <w:spacing w:after="0" w:line="240" w:lineRule="auto"/>
              <w:ind w:firstLineChars="100" w:firstLine="220"/>
              <w:jc w:val="both"/>
              <w:rPr>
                <w:rFonts w:ascii="Calibri" w:eastAsia="Times New Roman" w:hAnsi="Calibri" w:cs="Calibri"/>
                <w:color w:val="000000"/>
                <w:lang w:eastAsia="cs-CZ"/>
              </w:rPr>
            </w:pPr>
          </w:p>
        </w:tc>
        <w:tc>
          <w:tcPr>
            <w:tcW w:w="2422" w:type="pct"/>
            <w:shd w:val="clear" w:color="auto" w:fill="auto"/>
            <w:vAlign w:val="center"/>
            <w:hideMark/>
          </w:tcPr>
          <w:p w:rsidR="0026746B" w:rsidRPr="0026746B" w:rsidRDefault="0026746B" w:rsidP="00731A9E">
            <w:pPr>
              <w:pStyle w:val="Odstavecseseznamem"/>
              <w:numPr>
                <w:ilvl w:val="0"/>
                <w:numId w:val="7"/>
              </w:num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eastAsia="cs-CZ"/>
              </w:rPr>
              <w:t xml:space="preserve">Předmět koupě plně integrovat se zařízením stavby, ve které bude instalován, </w:t>
            </w:r>
          </w:p>
        </w:tc>
      </w:tr>
      <w:tr w:rsidR="0026746B" w:rsidRPr="0026746B" w:rsidTr="004C60F8">
        <w:trPr>
          <w:trHeight w:val="600"/>
        </w:trPr>
        <w:tc>
          <w:tcPr>
            <w:tcW w:w="2500" w:type="pct"/>
            <w:shd w:val="clear" w:color="auto" w:fill="auto"/>
            <w:vAlign w:val="center"/>
            <w:hideMark/>
          </w:tcPr>
          <w:p w:rsidR="0026746B" w:rsidRPr="00086449" w:rsidRDefault="0026746B" w:rsidP="00731A9E">
            <w:pPr>
              <w:pStyle w:val="Odstavecseseznamem"/>
              <w:numPr>
                <w:ilvl w:val="0"/>
                <w:numId w:val="8"/>
              </w:numPr>
              <w:spacing w:after="0" w:line="240" w:lineRule="auto"/>
              <w:jc w:val="both"/>
              <w:rPr>
                <w:rFonts w:ascii="Calibri" w:eastAsia="Times New Roman" w:hAnsi="Calibri" w:cstheme="minorHAnsi"/>
                <w:color w:val="000000"/>
                <w:lang w:val="en-US" w:eastAsia="cs-CZ"/>
              </w:rPr>
            </w:pPr>
            <w:r w:rsidRPr="00086449">
              <w:rPr>
                <w:rFonts w:ascii="Calibri" w:eastAsia="Times New Roman" w:hAnsi="Calibri" w:cstheme="minorHAnsi"/>
                <w:color w:val="000000"/>
                <w:lang w:val="en-US" w:eastAsia="cs-CZ"/>
              </w:rPr>
              <w:t>commission the Object of Purchase so that it is fully functional and operable,</w:t>
            </w:r>
          </w:p>
        </w:tc>
        <w:tc>
          <w:tcPr>
            <w:tcW w:w="78" w:type="pct"/>
            <w:shd w:val="clear" w:color="auto" w:fill="auto"/>
            <w:vAlign w:val="center"/>
            <w:hideMark/>
          </w:tcPr>
          <w:p w:rsidR="0026746B" w:rsidRPr="0026746B" w:rsidRDefault="0026746B" w:rsidP="00731A9E">
            <w:pPr>
              <w:spacing w:after="0" w:line="240" w:lineRule="auto"/>
              <w:ind w:firstLineChars="100" w:firstLine="220"/>
              <w:jc w:val="both"/>
              <w:rPr>
                <w:rFonts w:ascii="Calibri" w:eastAsia="Times New Roman" w:hAnsi="Calibri" w:cs="Calibri"/>
                <w:color w:val="000000"/>
                <w:lang w:eastAsia="cs-CZ"/>
              </w:rPr>
            </w:pPr>
          </w:p>
        </w:tc>
        <w:tc>
          <w:tcPr>
            <w:tcW w:w="2422" w:type="pct"/>
            <w:shd w:val="clear" w:color="auto" w:fill="auto"/>
            <w:vAlign w:val="center"/>
            <w:hideMark/>
          </w:tcPr>
          <w:p w:rsidR="0021330F" w:rsidRPr="0026746B" w:rsidRDefault="0026746B" w:rsidP="0021330F">
            <w:pPr>
              <w:pStyle w:val="Odstavecseseznamem"/>
              <w:numPr>
                <w:ilvl w:val="0"/>
                <w:numId w:val="7"/>
              </w:num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eastAsia="cs-CZ"/>
              </w:rPr>
              <w:t>Předmět koupě uvést do plně funkčního a provozuschopného stavu,</w:t>
            </w:r>
          </w:p>
        </w:tc>
      </w:tr>
      <w:tr w:rsidR="00737A03" w:rsidRPr="0026746B" w:rsidTr="004C60F8">
        <w:trPr>
          <w:trHeight w:val="600"/>
        </w:trPr>
        <w:tc>
          <w:tcPr>
            <w:tcW w:w="2500" w:type="pct"/>
            <w:shd w:val="clear" w:color="auto" w:fill="auto"/>
            <w:vAlign w:val="center"/>
          </w:tcPr>
          <w:p w:rsidR="00737A03" w:rsidRPr="0046589D" w:rsidRDefault="00576070" w:rsidP="00EE7F44">
            <w:pPr>
              <w:pStyle w:val="Odstavecseseznamem"/>
              <w:numPr>
                <w:ilvl w:val="0"/>
                <w:numId w:val="8"/>
              </w:numPr>
              <w:spacing w:after="0" w:line="240" w:lineRule="auto"/>
              <w:jc w:val="both"/>
              <w:rPr>
                <w:rFonts w:ascii="Calibri" w:eastAsia="Times New Roman" w:hAnsi="Calibri" w:cstheme="minorHAnsi"/>
                <w:color w:val="000000"/>
                <w:lang w:val="en-US" w:eastAsia="cs-CZ"/>
              </w:rPr>
            </w:pPr>
            <w:r w:rsidRPr="0046589D">
              <w:rPr>
                <w:rFonts w:ascii="Calibri" w:eastAsia="Times New Roman" w:hAnsi="Calibri" w:cstheme="minorHAnsi"/>
                <w:color w:val="000000"/>
                <w:lang w:val="en-US" w:eastAsia="cs-CZ"/>
              </w:rPr>
              <w:t>demonstrate compliance with the technical parameters and compatibility of the Object of Purchase,</w:t>
            </w:r>
          </w:p>
        </w:tc>
        <w:tc>
          <w:tcPr>
            <w:tcW w:w="78" w:type="pct"/>
            <w:shd w:val="clear" w:color="auto" w:fill="auto"/>
            <w:vAlign w:val="center"/>
          </w:tcPr>
          <w:p w:rsidR="00737A03" w:rsidRPr="0026746B" w:rsidRDefault="00737A03" w:rsidP="00731A9E">
            <w:pPr>
              <w:spacing w:after="0" w:line="240" w:lineRule="auto"/>
              <w:ind w:firstLineChars="100" w:firstLine="220"/>
              <w:jc w:val="both"/>
              <w:rPr>
                <w:rFonts w:ascii="Calibri" w:eastAsia="Times New Roman" w:hAnsi="Calibri" w:cs="Calibri"/>
                <w:color w:val="000000"/>
                <w:lang w:eastAsia="cs-CZ"/>
              </w:rPr>
            </w:pPr>
          </w:p>
        </w:tc>
        <w:tc>
          <w:tcPr>
            <w:tcW w:w="2422" w:type="pct"/>
            <w:shd w:val="clear" w:color="auto" w:fill="auto"/>
            <w:vAlign w:val="center"/>
          </w:tcPr>
          <w:p w:rsidR="00737A03" w:rsidRPr="0026746B" w:rsidRDefault="00737A03" w:rsidP="00737A03">
            <w:pPr>
              <w:pStyle w:val="Odstavecseseznamem"/>
              <w:numPr>
                <w:ilvl w:val="0"/>
                <w:numId w:val="7"/>
              </w:numPr>
              <w:spacing w:after="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prokázat splnění technických parametrů a kompatibilitu Předmětu koupě,</w:t>
            </w:r>
          </w:p>
        </w:tc>
      </w:tr>
      <w:tr w:rsidR="00F709CD" w:rsidRPr="0026746B" w:rsidTr="004C60F8">
        <w:trPr>
          <w:trHeight w:val="600"/>
        </w:trPr>
        <w:tc>
          <w:tcPr>
            <w:tcW w:w="2500" w:type="pct"/>
            <w:shd w:val="clear" w:color="auto" w:fill="auto"/>
            <w:vAlign w:val="center"/>
          </w:tcPr>
          <w:p w:rsidR="00F709CD" w:rsidRPr="00086449" w:rsidRDefault="00576070" w:rsidP="00576070">
            <w:pPr>
              <w:pStyle w:val="Odstavecseseznamem"/>
              <w:numPr>
                <w:ilvl w:val="0"/>
                <w:numId w:val="8"/>
              </w:numPr>
              <w:spacing w:after="0" w:line="240" w:lineRule="auto"/>
              <w:jc w:val="both"/>
              <w:rPr>
                <w:rFonts w:ascii="Calibri" w:eastAsia="Times New Roman" w:hAnsi="Calibri" w:cstheme="minorHAnsi"/>
                <w:color w:val="000000"/>
                <w:lang w:val="en-US" w:eastAsia="cs-CZ"/>
              </w:rPr>
            </w:pPr>
            <w:r w:rsidRPr="00086449">
              <w:rPr>
                <w:rFonts w:ascii="Calibri" w:eastAsia="Times New Roman" w:hAnsi="Calibri" w:cstheme="minorHAnsi"/>
                <w:color w:val="000000"/>
                <w:lang w:val="en-US" w:eastAsia="cs-CZ"/>
              </w:rPr>
              <w:t>provide the Buyer the right to use the supplied software for an indefinite period of time if the licenses are required,</w:t>
            </w:r>
          </w:p>
        </w:tc>
        <w:tc>
          <w:tcPr>
            <w:tcW w:w="78" w:type="pct"/>
            <w:shd w:val="clear" w:color="auto" w:fill="auto"/>
            <w:vAlign w:val="center"/>
          </w:tcPr>
          <w:p w:rsidR="00F709CD" w:rsidRPr="0026746B" w:rsidRDefault="00F709CD" w:rsidP="00731A9E">
            <w:pPr>
              <w:spacing w:after="0" w:line="240" w:lineRule="auto"/>
              <w:ind w:firstLineChars="100" w:firstLine="220"/>
              <w:jc w:val="both"/>
              <w:rPr>
                <w:rFonts w:ascii="Calibri" w:eastAsia="Times New Roman" w:hAnsi="Calibri" w:cs="Calibri"/>
                <w:color w:val="000000"/>
                <w:lang w:eastAsia="cs-CZ"/>
              </w:rPr>
            </w:pPr>
          </w:p>
        </w:tc>
        <w:tc>
          <w:tcPr>
            <w:tcW w:w="2422" w:type="pct"/>
            <w:shd w:val="clear" w:color="auto" w:fill="auto"/>
            <w:vAlign w:val="center"/>
          </w:tcPr>
          <w:p w:rsidR="00F709CD" w:rsidRPr="0026746B" w:rsidRDefault="00F709CD" w:rsidP="0021330F">
            <w:pPr>
              <w:pStyle w:val="Odstavecseseznamem"/>
              <w:numPr>
                <w:ilvl w:val="0"/>
                <w:numId w:val="7"/>
              </w:numPr>
              <w:spacing w:after="0" w:line="240" w:lineRule="auto"/>
              <w:jc w:val="both"/>
              <w:rPr>
                <w:rFonts w:ascii="Calibri" w:eastAsia="Times New Roman" w:hAnsi="Calibri" w:cs="Calibri"/>
                <w:color w:val="000000"/>
                <w:lang w:eastAsia="cs-CZ"/>
              </w:rPr>
            </w:pPr>
            <w:r>
              <w:rPr>
                <w:rFonts w:ascii="Calibri" w:hAnsi="Calibri"/>
              </w:rPr>
              <w:t>poskytnout K</w:t>
            </w:r>
            <w:r w:rsidRPr="00C073D8">
              <w:rPr>
                <w:rFonts w:ascii="Calibri" w:hAnsi="Calibri"/>
              </w:rPr>
              <w:t xml:space="preserve">upujícímu užívací práva k dodanému softwaru a to na časově neomezenou dobu, </w:t>
            </w:r>
            <w:r w:rsidRPr="00D148F5">
              <w:rPr>
                <w:rFonts w:ascii="Calibri" w:hAnsi="Calibri"/>
              </w:rPr>
              <w:t>jsou-li licence třeba</w:t>
            </w:r>
          </w:p>
        </w:tc>
      </w:tr>
      <w:tr w:rsidR="0026746B" w:rsidRPr="0026746B" w:rsidTr="004C60F8">
        <w:trPr>
          <w:trHeight w:val="600"/>
        </w:trPr>
        <w:tc>
          <w:tcPr>
            <w:tcW w:w="2500" w:type="pct"/>
            <w:shd w:val="clear" w:color="auto" w:fill="auto"/>
            <w:vAlign w:val="center"/>
            <w:hideMark/>
          </w:tcPr>
          <w:p w:rsidR="0026746B" w:rsidRPr="00086449" w:rsidRDefault="0026746B" w:rsidP="00731A9E">
            <w:pPr>
              <w:pStyle w:val="Odstavecseseznamem"/>
              <w:numPr>
                <w:ilvl w:val="0"/>
                <w:numId w:val="8"/>
              </w:numPr>
              <w:spacing w:after="0" w:line="240" w:lineRule="auto"/>
              <w:jc w:val="both"/>
              <w:rPr>
                <w:rFonts w:ascii="Calibri" w:eastAsia="Times New Roman" w:hAnsi="Calibri" w:cstheme="minorHAnsi"/>
                <w:color w:val="000000"/>
                <w:lang w:val="en-US" w:eastAsia="cs-CZ"/>
              </w:rPr>
            </w:pPr>
            <w:proofErr w:type="gramStart"/>
            <w:r w:rsidRPr="00086449">
              <w:rPr>
                <w:rFonts w:ascii="Calibri" w:eastAsia="Times New Roman" w:hAnsi="Calibri" w:cstheme="minorHAnsi"/>
                <w:color w:val="000000"/>
                <w:lang w:val="en-US" w:eastAsia="cs-CZ"/>
              </w:rPr>
              <w:lastRenderedPageBreak/>
              <w:t>hand</w:t>
            </w:r>
            <w:proofErr w:type="gramEnd"/>
            <w:r w:rsidRPr="00086449">
              <w:rPr>
                <w:rFonts w:ascii="Calibri" w:eastAsia="Times New Roman" w:hAnsi="Calibri" w:cstheme="minorHAnsi"/>
                <w:color w:val="000000"/>
                <w:lang w:val="en-US" w:eastAsia="cs-CZ"/>
              </w:rPr>
              <w:t xml:space="preserve"> over the lists of the individual items of the Object of Purchase. </w:t>
            </w:r>
          </w:p>
        </w:tc>
        <w:tc>
          <w:tcPr>
            <w:tcW w:w="78" w:type="pct"/>
            <w:shd w:val="clear" w:color="auto" w:fill="auto"/>
            <w:vAlign w:val="center"/>
            <w:hideMark/>
          </w:tcPr>
          <w:p w:rsidR="0026746B" w:rsidRPr="0026746B" w:rsidRDefault="0026746B" w:rsidP="00731A9E">
            <w:pPr>
              <w:spacing w:after="0" w:line="240" w:lineRule="auto"/>
              <w:ind w:firstLineChars="100" w:firstLine="220"/>
              <w:jc w:val="both"/>
              <w:rPr>
                <w:rFonts w:ascii="Calibri" w:eastAsia="Times New Roman" w:hAnsi="Calibri" w:cs="Calibri"/>
                <w:color w:val="000000"/>
                <w:lang w:eastAsia="cs-CZ"/>
              </w:rPr>
            </w:pPr>
          </w:p>
        </w:tc>
        <w:tc>
          <w:tcPr>
            <w:tcW w:w="2422" w:type="pct"/>
            <w:shd w:val="clear" w:color="auto" w:fill="auto"/>
            <w:vAlign w:val="center"/>
            <w:hideMark/>
          </w:tcPr>
          <w:p w:rsidR="0026746B" w:rsidRPr="0026746B" w:rsidRDefault="0026746B" w:rsidP="00731A9E">
            <w:pPr>
              <w:pStyle w:val="Odstavecseseznamem"/>
              <w:numPr>
                <w:ilvl w:val="0"/>
                <w:numId w:val="7"/>
              </w:num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eastAsia="cs-CZ"/>
              </w:rPr>
              <w:t>předat soupisy jedn</w:t>
            </w:r>
            <w:r w:rsidR="00B07E35">
              <w:rPr>
                <w:rFonts w:ascii="Calibri" w:eastAsia="Times New Roman" w:hAnsi="Calibri" w:cs="Calibri"/>
                <w:color w:val="000000"/>
                <w:lang w:eastAsia="cs-CZ"/>
              </w:rPr>
              <w:t>otlivých položek Předmětu koupě,</w:t>
            </w:r>
          </w:p>
        </w:tc>
      </w:tr>
      <w:tr w:rsidR="007A2145" w:rsidRPr="0026746B" w:rsidTr="004C60F8">
        <w:trPr>
          <w:trHeight w:val="600"/>
        </w:trPr>
        <w:tc>
          <w:tcPr>
            <w:tcW w:w="2500" w:type="pct"/>
            <w:shd w:val="clear" w:color="auto" w:fill="auto"/>
          </w:tcPr>
          <w:p w:rsidR="007A2145" w:rsidRPr="00086449" w:rsidRDefault="007A2145" w:rsidP="00731A9E">
            <w:pPr>
              <w:pStyle w:val="Odstavecseseznamem"/>
              <w:numPr>
                <w:ilvl w:val="0"/>
                <w:numId w:val="8"/>
              </w:numPr>
              <w:spacing w:after="0" w:line="240" w:lineRule="auto"/>
              <w:jc w:val="both"/>
              <w:rPr>
                <w:rFonts w:ascii="Calibri" w:eastAsia="Times New Roman" w:hAnsi="Calibri" w:cstheme="minorHAnsi"/>
                <w:color w:val="000000"/>
                <w:lang w:val="en-US" w:eastAsia="cs-CZ"/>
              </w:rPr>
            </w:pPr>
            <w:r w:rsidRPr="00086449">
              <w:rPr>
                <w:lang w:val="en-US"/>
              </w:rPr>
              <w:t>transmit tutorials and user manuals in electronic version in the English language, during the delivery of the Object of Purchase the printed version of the user manual of the basic instrument operation will be given to the Buyer</w:t>
            </w:r>
          </w:p>
        </w:tc>
        <w:tc>
          <w:tcPr>
            <w:tcW w:w="78" w:type="pct"/>
            <w:shd w:val="clear" w:color="auto" w:fill="auto"/>
            <w:vAlign w:val="center"/>
          </w:tcPr>
          <w:p w:rsidR="007A2145" w:rsidRPr="0026746B" w:rsidRDefault="007A2145" w:rsidP="00731A9E">
            <w:pPr>
              <w:spacing w:after="0" w:line="240" w:lineRule="auto"/>
              <w:ind w:firstLineChars="100" w:firstLine="220"/>
              <w:jc w:val="both"/>
              <w:rPr>
                <w:rFonts w:ascii="Calibri" w:eastAsia="Times New Roman" w:hAnsi="Calibri" w:cs="Calibri"/>
                <w:color w:val="000000"/>
                <w:lang w:eastAsia="cs-CZ"/>
              </w:rPr>
            </w:pPr>
          </w:p>
        </w:tc>
        <w:tc>
          <w:tcPr>
            <w:tcW w:w="2422" w:type="pct"/>
            <w:shd w:val="clear" w:color="auto" w:fill="auto"/>
            <w:vAlign w:val="center"/>
          </w:tcPr>
          <w:p w:rsidR="007A2145" w:rsidRPr="0026746B" w:rsidRDefault="007A2145" w:rsidP="00731A9E">
            <w:pPr>
              <w:pStyle w:val="Odstavecseseznamem"/>
              <w:numPr>
                <w:ilvl w:val="0"/>
                <w:numId w:val="7"/>
              </w:numPr>
              <w:spacing w:after="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předat návody a uživatelské příručky v elektronické podobě v anglickém jazyce, při dodávce Předmětu koupě bude Kupujícímu předána tištěná verze základního návodu k obsluze Předmětu koupě.</w:t>
            </w:r>
          </w:p>
        </w:tc>
      </w:tr>
      <w:tr w:rsidR="0026746B" w:rsidRPr="0026746B" w:rsidTr="004C60F8">
        <w:trPr>
          <w:trHeight w:val="300"/>
        </w:trPr>
        <w:tc>
          <w:tcPr>
            <w:tcW w:w="2500" w:type="pct"/>
            <w:shd w:val="clear" w:color="auto" w:fill="auto"/>
            <w:vAlign w:val="center"/>
            <w:hideMark/>
          </w:tcPr>
          <w:p w:rsidR="0026746B" w:rsidRPr="0026746B" w:rsidRDefault="0026746B" w:rsidP="0026746B">
            <w:pPr>
              <w:spacing w:after="0" w:line="240" w:lineRule="auto"/>
              <w:ind w:firstLineChars="100" w:firstLine="220"/>
              <w:rPr>
                <w:rFonts w:ascii="Calibri" w:eastAsia="Times New Roman" w:hAnsi="Calibri" w:cs="Calibri"/>
                <w:color w:val="000000"/>
                <w:lang w:eastAsia="cs-CZ"/>
              </w:rPr>
            </w:pPr>
          </w:p>
        </w:tc>
        <w:tc>
          <w:tcPr>
            <w:tcW w:w="78"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r>
      <w:tr w:rsidR="00A73819" w:rsidRPr="0026746B" w:rsidTr="004C60F8">
        <w:trPr>
          <w:trHeight w:val="300"/>
        </w:trPr>
        <w:tc>
          <w:tcPr>
            <w:tcW w:w="2500" w:type="pct"/>
            <w:shd w:val="clear" w:color="auto" w:fill="auto"/>
            <w:vAlign w:val="center"/>
          </w:tcPr>
          <w:p w:rsidR="00A73819" w:rsidRPr="0026746B" w:rsidRDefault="00A73819" w:rsidP="0026746B">
            <w:pPr>
              <w:spacing w:after="0" w:line="240" w:lineRule="auto"/>
              <w:ind w:firstLineChars="100" w:firstLine="220"/>
              <w:rPr>
                <w:rFonts w:ascii="Calibri" w:eastAsia="Times New Roman" w:hAnsi="Calibri" w:cs="Calibri"/>
                <w:color w:val="000000"/>
                <w:lang w:eastAsia="cs-CZ"/>
              </w:rPr>
            </w:pPr>
          </w:p>
        </w:tc>
        <w:tc>
          <w:tcPr>
            <w:tcW w:w="78" w:type="pct"/>
            <w:shd w:val="clear" w:color="auto" w:fill="auto"/>
            <w:vAlign w:val="center"/>
          </w:tcPr>
          <w:p w:rsidR="00A73819" w:rsidRPr="0026746B" w:rsidRDefault="00A73819"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A73819" w:rsidRPr="0026746B" w:rsidRDefault="00A73819" w:rsidP="0026746B">
            <w:pPr>
              <w:spacing w:after="0" w:line="240" w:lineRule="auto"/>
              <w:jc w:val="both"/>
              <w:rPr>
                <w:rFonts w:ascii="Times New Roman" w:eastAsia="Times New Roman" w:hAnsi="Times New Roman" w:cs="Times New Roman"/>
                <w:sz w:val="20"/>
                <w:szCs w:val="20"/>
                <w:lang w:eastAsia="cs-CZ"/>
              </w:rPr>
            </w:pPr>
          </w:p>
        </w:tc>
      </w:tr>
      <w:tr w:rsidR="0026746B" w:rsidRPr="0026746B" w:rsidTr="004C60F8">
        <w:trPr>
          <w:trHeight w:val="300"/>
        </w:trPr>
        <w:tc>
          <w:tcPr>
            <w:tcW w:w="2500" w:type="pct"/>
            <w:shd w:val="clear" w:color="auto" w:fill="auto"/>
            <w:vAlign w:val="center"/>
            <w:hideMark/>
          </w:tcPr>
          <w:p w:rsidR="0026746B" w:rsidRPr="0026746B" w:rsidRDefault="0026746B" w:rsidP="00282A62">
            <w:pPr>
              <w:pStyle w:val="Odstavecseseznamem"/>
              <w:numPr>
                <w:ilvl w:val="0"/>
                <w:numId w:val="1"/>
              </w:numPr>
              <w:spacing w:after="0" w:line="240" w:lineRule="auto"/>
              <w:jc w:val="center"/>
              <w:rPr>
                <w:rFonts w:ascii="Calibri" w:eastAsia="Calibri" w:hAnsi="Calibri" w:cs="Calibri"/>
                <w:b/>
                <w:bCs/>
                <w:color w:val="000000"/>
                <w:lang w:val="en-US" w:eastAsia="cs-CZ"/>
              </w:rPr>
            </w:pPr>
            <w:r w:rsidRPr="0026746B">
              <w:rPr>
                <w:rFonts w:ascii="Calibri" w:eastAsia="Calibri" w:hAnsi="Calibri" w:cs="Calibri"/>
                <w:b/>
                <w:bCs/>
                <w:color w:val="000000"/>
                <w:lang w:val="en-US" w:eastAsia="cs-CZ"/>
              </w:rPr>
              <w:t>PURCHASE PRICE</w:t>
            </w:r>
          </w:p>
        </w:tc>
        <w:tc>
          <w:tcPr>
            <w:tcW w:w="78" w:type="pct"/>
            <w:shd w:val="clear" w:color="auto" w:fill="auto"/>
            <w:vAlign w:val="center"/>
            <w:hideMark/>
          </w:tcPr>
          <w:p w:rsidR="0026746B" w:rsidRPr="0026746B" w:rsidRDefault="0026746B" w:rsidP="0026746B">
            <w:pPr>
              <w:spacing w:after="0" w:line="240" w:lineRule="auto"/>
              <w:jc w:val="center"/>
              <w:rPr>
                <w:rFonts w:ascii="Calibri" w:eastAsia="Times New Roman" w:hAnsi="Calibri" w:cs="Calibri"/>
                <w:b/>
                <w:bCs/>
                <w:color w:val="000000"/>
                <w:lang w:eastAsia="cs-CZ"/>
              </w:rPr>
            </w:pPr>
          </w:p>
        </w:tc>
        <w:tc>
          <w:tcPr>
            <w:tcW w:w="2422" w:type="pct"/>
            <w:shd w:val="clear" w:color="auto" w:fill="auto"/>
            <w:vAlign w:val="center"/>
            <w:hideMark/>
          </w:tcPr>
          <w:p w:rsidR="0026746B" w:rsidRPr="0026746B" w:rsidRDefault="0026746B" w:rsidP="00282A62">
            <w:pPr>
              <w:pStyle w:val="Odstavecseseznamem"/>
              <w:numPr>
                <w:ilvl w:val="0"/>
                <w:numId w:val="2"/>
              </w:numPr>
              <w:spacing w:after="0" w:line="240" w:lineRule="auto"/>
              <w:jc w:val="center"/>
              <w:rPr>
                <w:rFonts w:ascii="Calibri" w:eastAsia="Calibri" w:hAnsi="Calibri" w:cs="Calibri"/>
                <w:b/>
                <w:bCs/>
                <w:color w:val="000000"/>
                <w:lang w:val="en-US" w:eastAsia="cs-CZ"/>
              </w:rPr>
            </w:pPr>
            <w:bookmarkStart w:id="2" w:name="RANGE!C43"/>
            <w:r w:rsidRPr="0026746B">
              <w:rPr>
                <w:rFonts w:ascii="Calibri" w:eastAsia="Calibri" w:hAnsi="Calibri" w:cs="Calibri"/>
                <w:b/>
                <w:bCs/>
                <w:color w:val="000000"/>
                <w:lang w:val="en-US" w:eastAsia="cs-CZ"/>
              </w:rPr>
              <w:t>KUPNÍ CENA</w:t>
            </w:r>
            <w:bookmarkEnd w:id="2"/>
          </w:p>
        </w:tc>
      </w:tr>
      <w:tr w:rsidR="0026746B" w:rsidRPr="0026746B" w:rsidTr="004C60F8">
        <w:trPr>
          <w:trHeight w:val="600"/>
        </w:trPr>
        <w:tc>
          <w:tcPr>
            <w:tcW w:w="2500" w:type="pct"/>
            <w:shd w:val="clear" w:color="auto" w:fill="auto"/>
            <w:vAlign w:val="center"/>
            <w:hideMark/>
          </w:tcPr>
          <w:p w:rsidR="0026746B" w:rsidRPr="0026746B" w:rsidRDefault="0026746B" w:rsidP="00C91E81">
            <w:pPr>
              <w:pStyle w:val="Odstavecseseznamem"/>
              <w:numPr>
                <w:ilvl w:val="0"/>
                <w:numId w:val="9"/>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The Buyer agrees to pay the Seller a purchase price in the amount of:</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26746B" w:rsidRPr="005A7AA7" w:rsidRDefault="0026746B" w:rsidP="00C91E81">
            <w:pPr>
              <w:pStyle w:val="Odstavecseseznamem"/>
              <w:numPr>
                <w:ilvl w:val="0"/>
                <w:numId w:val="10"/>
              </w:numPr>
              <w:spacing w:after="0" w:line="240" w:lineRule="auto"/>
              <w:jc w:val="both"/>
              <w:rPr>
                <w:rFonts w:ascii="Calibri" w:eastAsia="Calibri" w:hAnsi="Calibri" w:cs="Calibri"/>
                <w:color w:val="000000"/>
                <w:lang w:eastAsia="cs-CZ"/>
              </w:rPr>
            </w:pPr>
            <w:r w:rsidRPr="005A7AA7">
              <w:rPr>
                <w:rFonts w:ascii="Calibri" w:eastAsia="Calibri" w:hAnsi="Calibri" w:cs="Calibri"/>
                <w:color w:val="000000"/>
                <w:lang w:eastAsia="cs-CZ"/>
              </w:rPr>
              <w:t>Kupující se zavazuje Prodávajícímu zaplatit kupní cenu ve výši:</w:t>
            </w:r>
          </w:p>
        </w:tc>
      </w:tr>
      <w:tr w:rsidR="0026746B" w:rsidRPr="0026746B" w:rsidTr="004C60F8">
        <w:trPr>
          <w:trHeight w:val="300"/>
        </w:trPr>
        <w:tc>
          <w:tcPr>
            <w:tcW w:w="2578" w:type="pct"/>
            <w:gridSpan w:val="2"/>
            <w:shd w:val="clear" w:color="auto" w:fill="EDEDED" w:themeFill="accent3" w:themeFillTint="33"/>
            <w:vAlign w:val="center"/>
            <w:hideMark/>
          </w:tcPr>
          <w:p w:rsidR="0026746B" w:rsidRPr="0026746B" w:rsidRDefault="0026746B" w:rsidP="00BE0E0E">
            <w:pPr>
              <w:spacing w:before="60" w:after="60" w:line="240" w:lineRule="auto"/>
              <w:rPr>
                <w:rFonts w:ascii="Calibri" w:eastAsia="Times New Roman" w:hAnsi="Calibri" w:cs="Calibri"/>
                <w:b/>
                <w:bCs/>
                <w:color w:val="000000"/>
                <w:lang w:eastAsia="cs-CZ"/>
              </w:rPr>
            </w:pPr>
            <w:r w:rsidRPr="0026746B">
              <w:rPr>
                <w:rFonts w:ascii="Calibri" w:eastAsia="Times New Roman" w:hAnsi="Calibri" w:cs="Calibri"/>
                <w:b/>
                <w:bCs/>
                <w:color w:val="000000"/>
                <w:lang w:val="en-US" w:eastAsia="cs-CZ"/>
              </w:rPr>
              <w:t xml:space="preserve">Purchase price exclusive of VAT </w:t>
            </w:r>
            <w:r w:rsidR="0030799B">
              <w:rPr>
                <w:rFonts w:ascii="Calibri" w:eastAsia="Times New Roman" w:hAnsi="Calibri" w:cs="Calibri"/>
                <w:b/>
                <w:bCs/>
                <w:color w:val="000000"/>
                <w:lang w:val="en-US" w:eastAsia="cs-CZ"/>
              </w:rPr>
              <w:t>/</w:t>
            </w:r>
            <w:r w:rsidRPr="0026746B">
              <w:rPr>
                <w:rFonts w:ascii="Calibri" w:eastAsia="Times New Roman" w:hAnsi="Calibri" w:cs="Calibri"/>
                <w:b/>
                <w:bCs/>
                <w:color w:val="000000"/>
                <w:lang w:val="en-US" w:eastAsia="cs-CZ"/>
              </w:rPr>
              <w:t xml:space="preserve">/ </w:t>
            </w:r>
            <w:proofErr w:type="spellStart"/>
            <w:r w:rsidRPr="0026746B">
              <w:rPr>
                <w:rFonts w:ascii="Calibri" w:eastAsia="Times New Roman" w:hAnsi="Calibri" w:cs="Calibri"/>
                <w:b/>
                <w:bCs/>
                <w:color w:val="000000"/>
                <w:lang w:val="en-US" w:eastAsia="cs-CZ"/>
              </w:rPr>
              <w:t>Kupní</w:t>
            </w:r>
            <w:proofErr w:type="spellEnd"/>
            <w:r w:rsidRPr="0026746B">
              <w:rPr>
                <w:rFonts w:ascii="Calibri" w:eastAsia="Times New Roman" w:hAnsi="Calibri" w:cs="Calibri"/>
                <w:b/>
                <w:bCs/>
                <w:color w:val="000000"/>
                <w:lang w:val="en-US" w:eastAsia="cs-CZ"/>
              </w:rPr>
              <w:t xml:space="preserve"> </w:t>
            </w:r>
            <w:proofErr w:type="spellStart"/>
            <w:r w:rsidRPr="0026746B">
              <w:rPr>
                <w:rFonts w:ascii="Calibri" w:eastAsia="Times New Roman" w:hAnsi="Calibri" w:cs="Calibri"/>
                <w:b/>
                <w:bCs/>
                <w:color w:val="000000"/>
                <w:lang w:val="en-US" w:eastAsia="cs-CZ"/>
              </w:rPr>
              <w:t>cena</w:t>
            </w:r>
            <w:proofErr w:type="spellEnd"/>
            <w:r w:rsidRPr="0026746B">
              <w:rPr>
                <w:rFonts w:ascii="Calibri" w:eastAsia="Times New Roman" w:hAnsi="Calibri" w:cs="Calibri"/>
                <w:b/>
                <w:bCs/>
                <w:color w:val="000000"/>
                <w:lang w:val="en-US" w:eastAsia="cs-CZ"/>
              </w:rPr>
              <w:t xml:space="preserve"> bez DPH                                </w:t>
            </w:r>
          </w:p>
        </w:tc>
        <w:tc>
          <w:tcPr>
            <w:tcW w:w="2422" w:type="pct"/>
            <w:shd w:val="clear" w:color="auto" w:fill="EDEDED" w:themeFill="accent3" w:themeFillTint="33"/>
            <w:vAlign w:val="center"/>
            <w:hideMark/>
          </w:tcPr>
          <w:p w:rsidR="0026746B" w:rsidRPr="0026746B" w:rsidRDefault="004C60F8" w:rsidP="004C60F8">
            <w:pPr>
              <w:spacing w:before="60" w:after="6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214 000,-</w:t>
            </w:r>
            <w:r w:rsidR="0026746B" w:rsidRPr="0026746B">
              <w:rPr>
                <w:rFonts w:ascii="Calibri" w:eastAsia="Times New Roman" w:hAnsi="Calibri" w:cs="Calibri"/>
                <w:b/>
                <w:bCs/>
                <w:color w:val="000000"/>
                <w:lang w:eastAsia="cs-CZ"/>
              </w:rPr>
              <w:t xml:space="preserve"> </w:t>
            </w:r>
            <w:r w:rsidR="0030799B">
              <w:rPr>
                <w:rFonts w:ascii="Calibri" w:eastAsia="Times New Roman" w:hAnsi="Calibri" w:cs="Calibri"/>
                <w:b/>
                <w:bCs/>
                <w:color w:val="000000"/>
                <w:lang w:eastAsia="cs-CZ"/>
              </w:rPr>
              <w:t>EUR</w:t>
            </w:r>
          </w:p>
        </w:tc>
      </w:tr>
      <w:tr w:rsidR="0026746B" w:rsidRPr="0026746B" w:rsidTr="004C60F8">
        <w:trPr>
          <w:trHeight w:val="300"/>
        </w:trPr>
        <w:tc>
          <w:tcPr>
            <w:tcW w:w="2578" w:type="pct"/>
            <w:gridSpan w:val="2"/>
            <w:shd w:val="clear" w:color="auto" w:fill="EDEDED" w:themeFill="accent3" w:themeFillTint="33"/>
            <w:vAlign w:val="center"/>
            <w:hideMark/>
          </w:tcPr>
          <w:p w:rsidR="0026746B" w:rsidRPr="0026746B" w:rsidRDefault="0026746B" w:rsidP="004C60F8">
            <w:pPr>
              <w:spacing w:before="60" w:after="60" w:line="240" w:lineRule="auto"/>
              <w:rPr>
                <w:rFonts w:ascii="Calibri" w:eastAsia="Times New Roman" w:hAnsi="Calibri" w:cs="Calibri"/>
                <w:b/>
                <w:bCs/>
                <w:color w:val="000000"/>
                <w:lang w:eastAsia="cs-CZ"/>
              </w:rPr>
            </w:pPr>
            <w:r w:rsidRPr="005A7AA7">
              <w:rPr>
                <w:rFonts w:ascii="Calibri" w:eastAsia="Times New Roman" w:hAnsi="Calibri" w:cs="Calibri"/>
                <w:b/>
                <w:bCs/>
                <w:color w:val="000000"/>
                <w:lang w:val="de-DE" w:eastAsia="cs-CZ"/>
              </w:rPr>
              <w:t xml:space="preserve">VAT in </w:t>
            </w:r>
            <w:r w:rsidR="0030799B" w:rsidRPr="005A7AA7">
              <w:rPr>
                <w:rFonts w:ascii="Calibri" w:eastAsia="Times New Roman" w:hAnsi="Calibri" w:cs="Calibri"/>
                <w:b/>
                <w:bCs/>
                <w:color w:val="000000"/>
                <w:lang w:val="de-DE" w:eastAsia="cs-CZ"/>
              </w:rPr>
              <w:t>EUR</w:t>
            </w:r>
            <w:r w:rsidRPr="005A7AA7">
              <w:rPr>
                <w:rFonts w:ascii="Calibri" w:eastAsia="Times New Roman" w:hAnsi="Calibri" w:cs="Calibri"/>
                <w:b/>
                <w:bCs/>
                <w:color w:val="000000"/>
                <w:lang w:val="de-DE" w:eastAsia="cs-CZ"/>
              </w:rPr>
              <w:t xml:space="preserve"> </w:t>
            </w:r>
            <w:r w:rsidR="0030799B" w:rsidRPr="005A7AA7">
              <w:rPr>
                <w:rFonts w:ascii="Calibri" w:eastAsia="Times New Roman" w:hAnsi="Calibri" w:cs="Calibri"/>
                <w:b/>
                <w:bCs/>
                <w:color w:val="000000"/>
                <w:lang w:val="de-DE" w:eastAsia="cs-CZ"/>
              </w:rPr>
              <w:t>/</w:t>
            </w:r>
            <w:r w:rsidRPr="005A7AA7">
              <w:rPr>
                <w:rFonts w:ascii="Calibri" w:eastAsia="Times New Roman" w:hAnsi="Calibri" w:cs="Calibri"/>
                <w:b/>
                <w:bCs/>
                <w:color w:val="000000"/>
                <w:lang w:val="de-DE" w:eastAsia="cs-CZ"/>
              </w:rPr>
              <w:t xml:space="preserve">/ </w:t>
            </w:r>
            <w:proofErr w:type="spellStart"/>
            <w:r w:rsidRPr="005A7AA7">
              <w:rPr>
                <w:rFonts w:ascii="Calibri" w:eastAsia="Times New Roman" w:hAnsi="Calibri" w:cs="Calibri"/>
                <w:b/>
                <w:bCs/>
                <w:color w:val="000000"/>
                <w:lang w:val="de-DE" w:eastAsia="cs-CZ"/>
              </w:rPr>
              <w:t>Výše</w:t>
            </w:r>
            <w:proofErr w:type="spellEnd"/>
            <w:r w:rsidRPr="005A7AA7">
              <w:rPr>
                <w:rFonts w:ascii="Calibri" w:eastAsia="Times New Roman" w:hAnsi="Calibri" w:cs="Calibri"/>
                <w:b/>
                <w:bCs/>
                <w:color w:val="000000"/>
                <w:lang w:val="de-DE" w:eastAsia="cs-CZ"/>
              </w:rPr>
              <w:t xml:space="preserve"> DPH v </w:t>
            </w:r>
            <w:r w:rsidR="0030799B" w:rsidRPr="005A7AA7">
              <w:rPr>
                <w:rFonts w:ascii="Calibri" w:eastAsia="Times New Roman" w:hAnsi="Calibri" w:cs="Calibri"/>
                <w:b/>
                <w:bCs/>
                <w:color w:val="000000"/>
                <w:lang w:val="de-DE" w:eastAsia="cs-CZ"/>
              </w:rPr>
              <w:t>EUR</w:t>
            </w:r>
          </w:p>
        </w:tc>
        <w:tc>
          <w:tcPr>
            <w:tcW w:w="2422" w:type="pct"/>
            <w:shd w:val="clear" w:color="auto" w:fill="EDEDED" w:themeFill="accent3" w:themeFillTint="33"/>
            <w:vAlign w:val="center"/>
            <w:hideMark/>
          </w:tcPr>
          <w:p w:rsidR="0026746B" w:rsidRPr="00F523B7" w:rsidRDefault="004C60F8" w:rsidP="004C60F8">
            <w:pPr>
              <w:spacing w:before="60" w:after="60" w:line="240" w:lineRule="auto"/>
              <w:jc w:val="right"/>
              <w:rPr>
                <w:rFonts w:ascii="Calibri" w:eastAsia="Times New Roman" w:hAnsi="Calibri" w:cs="Calibri"/>
                <w:bCs/>
                <w:i/>
                <w:color w:val="000000"/>
                <w:lang w:eastAsia="cs-CZ"/>
              </w:rPr>
            </w:pPr>
            <w:r w:rsidRPr="00F523B7">
              <w:rPr>
                <w:rFonts w:ascii="Calibri" w:eastAsia="Times New Roman" w:hAnsi="Calibri" w:cs="Calibri"/>
                <w:bCs/>
                <w:i/>
                <w:color w:val="000000"/>
                <w:lang w:eastAsia="cs-CZ"/>
              </w:rPr>
              <w:t>zahraniční dodavatel</w:t>
            </w:r>
          </w:p>
        </w:tc>
      </w:tr>
      <w:tr w:rsidR="0026746B" w:rsidRPr="0026746B" w:rsidTr="004C60F8">
        <w:trPr>
          <w:trHeight w:val="300"/>
        </w:trPr>
        <w:tc>
          <w:tcPr>
            <w:tcW w:w="2578" w:type="pct"/>
            <w:gridSpan w:val="2"/>
            <w:shd w:val="clear" w:color="auto" w:fill="EDEDED" w:themeFill="accent3" w:themeFillTint="33"/>
            <w:vAlign w:val="center"/>
            <w:hideMark/>
          </w:tcPr>
          <w:p w:rsidR="0026746B" w:rsidRPr="0026746B" w:rsidRDefault="0026746B" w:rsidP="00BE0E0E">
            <w:pPr>
              <w:spacing w:before="60" w:after="60" w:line="240" w:lineRule="auto"/>
              <w:rPr>
                <w:rFonts w:ascii="Calibri" w:eastAsia="Times New Roman" w:hAnsi="Calibri" w:cs="Calibri"/>
                <w:b/>
                <w:bCs/>
                <w:color w:val="000000"/>
                <w:lang w:eastAsia="cs-CZ"/>
              </w:rPr>
            </w:pPr>
            <w:r w:rsidRPr="0026746B">
              <w:rPr>
                <w:rFonts w:ascii="Calibri" w:eastAsia="Times New Roman" w:hAnsi="Calibri" w:cs="Calibri"/>
                <w:b/>
                <w:bCs/>
                <w:color w:val="000000"/>
                <w:lang w:val="en-US" w:eastAsia="cs-CZ"/>
              </w:rPr>
              <w:t xml:space="preserve">Purchase price including VAT </w:t>
            </w:r>
            <w:r w:rsidR="0030799B">
              <w:rPr>
                <w:rFonts w:ascii="Calibri" w:eastAsia="Times New Roman" w:hAnsi="Calibri" w:cs="Calibri"/>
                <w:b/>
                <w:bCs/>
                <w:color w:val="000000"/>
                <w:lang w:val="en-US" w:eastAsia="cs-CZ"/>
              </w:rPr>
              <w:t>/</w:t>
            </w:r>
            <w:r w:rsidRPr="0026746B">
              <w:rPr>
                <w:rFonts w:ascii="Calibri" w:eastAsia="Times New Roman" w:hAnsi="Calibri" w:cs="Calibri"/>
                <w:b/>
                <w:bCs/>
                <w:color w:val="000000"/>
                <w:lang w:val="en-US" w:eastAsia="cs-CZ"/>
              </w:rPr>
              <w:t xml:space="preserve">/ </w:t>
            </w:r>
            <w:proofErr w:type="spellStart"/>
            <w:r w:rsidRPr="0026746B">
              <w:rPr>
                <w:rFonts w:ascii="Calibri" w:eastAsia="Times New Roman" w:hAnsi="Calibri" w:cs="Calibri"/>
                <w:b/>
                <w:bCs/>
                <w:color w:val="000000"/>
                <w:lang w:val="en-US" w:eastAsia="cs-CZ"/>
              </w:rPr>
              <w:t>Kupní</w:t>
            </w:r>
            <w:proofErr w:type="spellEnd"/>
            <w:r w:rsidRPr="0026746B">
              <w:rPr>
                <w:rFonts w:ascii="Calibri" w:eastAsia="Times New Roman" w:hAnsi="Calibri" w:cs="Calibri"/>
                <w:b/>
                <w:bCs/>
                <w:color w:val="000000"/>
                <w:lang w:val="en-US" w:eastAsia="cs-CZ"/>
              </w:rPr>
              <w:t xml:space="preserve"> </w:t>
            </w:r>
            <w:proofErr w:type="spellStart"/>
            <w:r w:rsidRPr="0026746B">
              <w:rPr>
                <w:rFonts w:ascii="Calibri" w:eastAsia="Times New Roman" w:hAnsi="Calibri" w:cs="Calibri"/>
                <w:b/>
                <w:bCs/>
                <w:color w:val="000000"/>
                <w:lang w:val="en-US" w:eastAsia="cs-CZ"/>
              </w:rPr>
              <w:t>cena</w:t>
            </w:r>
            <w:proofErr w:type="spellEnd"/>
            <w:r w:rsidRPr="0026746B">
              <w:rPr>
                <w:rFonts w:ascii="Calibri" w:eastAsia="Times New Roman" w:hAnsi="Calibri" w:cs="Calibri"/>
                <w:b/>
                <w:bCs/>
                <w:color w:val="000000"/>
                <w:lang w:val="en-US" w:eastAsia="cs-CZ"/>
              </w:rPr>
              <w:t xml:space="preserve"> </w:t>
            </w:r>
            <w:proofErr w:type="spellStart"/>
            <w:r w:rsidRPr="0026746B">
              <w:rPr>
                <w:rFonts w:ascii="Calibri" w:eastAsia="Times New Roman" w:hAnsi="Calibri" w:cs="Calibri"/>
                <w:b/>
                <w:bCs/>
                <w:color w:val="000000"/>
                <w:lang w:val="en-US" w:eastAsia="cs-CZ"/>
              </w:rPr>
              <w:t>včetně</w:t>
            </w:r>
            <w:proofErr w:type="spellEnd"/>
            <w:r w:rsidRPr="0026746B">
              <w:rPr>
                <w:rFonts w:ascii="Calibri" w:eastAsia="Times New Roman" w:hAnsi="Calibri" w:cs="Calibri"/>
                <w:b/>
                <w:bCs/>
                <w:color w:val="000000"/>
                <w:lang w:val="en-US" w:eastAsia="cs-CZ"/>
              </w:rPr>
              <w:t xml:space="preserve"> DPH</w:t>
            </w:r>
          </w:p>
        </w:tc>
        <w:tc>
          <w:tcPr>
            <w:tcW w:w="2422" w:type="pct"/>
            <w:shd w:val="clear" w:color="auto" w:fill="EDEDED" w:themeFill="accent3" w:themeFillTint="33"/>
            <w:vAlign w:val="center"/>
            <w:hideMark/>
          </w:tcPr>
          <w:p w:rsidR="0026746B" w:rsidRPr="0026746B" w:rsidRDefault="004C60F8" w:rsidP="004C60F8">
            <w:pPr>
              <w:spacing w:before="60" w:after="6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214 000,-</w:t>
            </w:r>
            <w:r w:rsidR="0026746B" w:rsidRPr="0026746B">
              <w:rPr>
                <w:rFonts w:ascii="Calibri" w:eastAsia="Times New Roman" w:hAnsi="Calibri" w:cs="Calibri"/>
                <w:b/>
                <w:bCs/>
                <w:color w:val="000000"/>
                <w:lang w:eastAsia="cs-CZ"/>
              </w:rPr>
              <w:t xml:space="preserve"> </w:t>
            </w:r>
            <w:r w:rsidR="0030799B">
              <w:rPr>
                <w:rFonts w:ascii="Calibri" w:eastAsia="Times New Roman" w:hAnsi="Calibri" w:cs="Calibri"/>
                <w:b/>
                <w:bCs/>
                <w:color w:val="000000"/>
                <w:lang w:eastAsia="cs-CZ"/>
              </w:rPr>
              <w:t>EUR</w:t>
            </w:r>
          </w:p>
        </w:tc>
      </w:tr>
      <w:tr w:rsidR="0026746B" w:rsidRPr="0026746B" w:rsidTr="004C60F8">
        <w:trPr>
          <w:trHeight w:val="600"/>
        </w:trPr>
        <w:tc>
          <w:tcPr>
            <w:tcW w:w="2500" w:type="pct"/>
            <w:shd w:val="clear" w:color="auto" w:fill="auto"/>
            <w:vAlign w:val="center"/>
            <w:hideMark/>
          </w:tcPr>
          <w:p w:rsidR="0026746B" w:rsidRPr="00086449" w:rsidRDefault="0026746B" w:rsidP="005A7AA7">
            <w:pPr>
              <w:pStyle w:val="Odstavecseseznamem"/>
              <w:numPr>
                <w:ilvl w:val="0"/>
                <w:numId w:val="9"/>
              </w:numPr>
              <w:spacing w:before="120" w:after="0" w:line="240" w:lineRule="auto"/>
              <w:jc w:val="both"/>
              <w:rPr>
                <w:rFonts w:ascii="Calibri" w:eastAsia="Calibri" w:hAnsi="Calibri" w:cs="Calibri"/>
                <w:color w:val="000000"/>
                <w:lang w:val="en-US" w:eastAsia="cs-CZ"/>
              </w:rPr>
            </w:pPr>
            <w:r w:rsidRPr="00086449">
              <w:rPr>
                <w:rFonts w:ascii="Calibri" w:eastAsia="Calibri" w:hAnsi="Calibri" w:cs="Calibri"/>
                <w:color w:val="000000"/>
                <w:lang w:val="en-US" w:eastAsia="cs-CZ"/>
              </w:rPr>
              <w:t>The Seller is aware that the Object of Purchase is paid from the grant funds provided for th</w:t>
            </w:r>
            <w:r w:rsidR="00BE0E0E" w:rsidRPr="00086449">
              <w:rPr>
                <w:rFonts w:ascii="Calibri" w:eastAsia="Calibri" w:hAnsi="Calibri" w:cs="Calibri"/>
                <w:color w:val="000000"/>
                <w:lang w:val="en-US" w:eastAsia="cs-CZ"/>
              </w:rPr>
              <w:t xml:space="preserve">e implementation of the project: </w:t>
            </w:r>
            <w:r w:rsidR="00303335" w:rsidRPr="00086449">
              <w:rPr>
                <w:rFonts w:ascii="Calibri" w:hAnsi="Calibri"/>
                <w:lang w:val="en-US"/>
              </w:rPr>
              <w:t xml:space="preserve">ERC Starting Grant 2016, THz Frequency Rapid Scan – Electron Spin Resonance spectroscopy for spin dynamics investigations of bulk and surface materials, </w:t>
            </w:r>
            <w:r w:rsidR="005A7AA7" w:rsidRPr="00086449">
              <w:rPr>
                <w:rFonts w:ascii="Calibri" w:hAnsi="Calibri"/>
                <w:lang w:val="en-US"/>
              </w:rPr>
              <w:t>Action Number</w:t>
            </w:r>
            <w:r w:rsidR="00303335" w:rsidRPr="00086449">
              <w:rPr>
                <w:rFonts w:ascii="Calibri" w:hAnsi="Calibri"/>
                <w:lang w:val="en-US"/>
              </w:rPr>
              <w:t xml:space="preserve"> 714850</w:t>
            </w:r>
            <w:r w:rsidR="00BE0E0E" w:rsidRPr="00086449">
              <w:rPr>
                <w:lang w:val="en-US"/>
              </w:rPr>
              <w:t>.</w:t>
            </w:r>
          </w:p>
        </w:tc>
        <w:tc>
          <w:tcPr>
            <w:tcW w:w="78" w:type="pct"/>
            <w:shd w:val="clear" w:color="auto" w:fill="auto"/>
            <w:vAlign w:val="center"/>
            <w:hideMark/>
          </w:tcPr>
          <w:p w:rsidR="0026746B" w:rsidRPr="0026746B" w:rsidRDefault="0026746B" w:rsidP="00731A9E">
            <w:pPr>
              <w:spacing w:before="120"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26746B" w:rsidRPr="005A7AA7" w:rsidRDefault="0026746B" w:rsidP="00731A9E">
            <w:pPr>
              <w:pStyle w:val="Odstavecseseznamem"/>
              <w:numPr>
                <w:ilvl w:val="0"/>
                <w:numId w:val="10"/>
              </w:numPr>
              <w:spacing w:before="120" w:after="0" w:line="240" w:lineRule="auto"/>
              <w:jc w:val="both"/>
              <w:rPr>
                <w:rFonts w:ascii="Calibri" w:eastAsia="Calibri" w:hAnsi="Calibri" w:cs="Calibri"/>
                <w:color w:val="000000"/>
                <w:lang w:eastAsia="cs-CZ"/>
              </w:rPr>
            </w:pPr>
            <w:r w:rsidRPr="005A7AA7">
              <w:rPr>
                <w:rFonts w:ascii="Calibri" w:eastAsia="Calibri" w:hAnsi="Calibri" w:cs="Calibri"/>
                <w:color w:val="000000"/>
                <w:lang w:eastAsia="cs-CZ"/>
              </w:rPr>
              <w:t>Prodávající bere na vědomí, že Předmět koupě je hrazen z dotačních prostředků poskytnutých na realizaci projektu</w:t>
            </w:r>
            <w:r w:rsidR="00BE0E0E" w:rsidRPr="005A7AA7">
              <w:rPr>
                <w:rFonts w:ascii="Calibri" w:eastAsia="Calibri" w:hAnsi="Calibri" w:cs="Calibri"/>
                <w:color w:val="000000"/>
                <w:lang w:eastAsia="cs-CZ"/>
              </w:rPr>
              <w:t xml:space="preserve">: </w:t>
            </w:r>
            <w:r w:rsidR="00303335">
              <w:rPr>
                <w:rFonts w:ascii="Calibri" w:hAnsi="Calibri"/>
              </w:rPr>
              <w:t xml:space="preserve">ERC </w:t>
            </w:r>
            <w:r w:rsidR="00303335" w:rsidRPr="00086449">
              <w:rPr>
                <w:rFonts w:ascii="Calibri" w:hAnsi="Calibri"/>
                <w:lang w:val="en-US"/>
              </w:rPr>
              <w:t xml:space="preserve">Starting Grant 2016, THz Frequency Rapid Scan – Electron Spin Resonance spectroscopy for spin dynamics investigations of bulk and surface materials, </w:t>
            </w:r>
            <w:proofErr w:type="spellStart"/>
            <w:r w:rsidR="00303335" w:rsidRPr="00086449">
              <w:rPr>
                <w:rFonts w:ascii="Calibri" w:hAnsi="Calibri"/>
                <w:lang w:val="en-US"/>
              </w:rPr>
              <w:t>reg</w:t>
            </w:r>
            <w:proofErr w:type="spellEnd"/>
            <w:r w:rsidR="00303335" w:rsidRPr="002A4305">
              <w:rPr>
                <w:rFonts w:ascii="Calibri" w:hAnsi="Calibri"/>
              </w:rPr>
              <w:t xml:space="preserve">. </w:t>
            </w:r>
            <w:proofErr w:type="gramStart"/>
            <w:r w:rsidR="00303335" w:rsidRPr="002A4305">
              <w:rPr>
                <w:rFonts w:ascii="Calibri" w:hAnsi="Calibri"/>
              </w:rPr>
              <w:t>č.</w:t>
            </w:r>
            <w:proofErr w:type="gramEnd"/>
            <w:r w:rsidR="00303335" w:rsidRPr="002A4305">
              <w:rPr>
                <w:rFonts w:ascii="Calibri" w:hAnsi="Calibri"/>
              </w:rPr>
              <w:t xml:space="preserve"> </w:t>
            </w:r>
            <w:r w:rsidR="00303335">
              <w:rPr>
                <w:rFonts w:ascii="Calibri" w:hAnsi="Calibri"/>
              </w:rPr>
              <w:t>714850</w:t>
            </w:r>
            <w:r w:rsidR="00BE0E0E">
              <w:t>.</w:t>
            </w:r>
          </w:p>
        </w:tc>
      </w:tr>
      <w:tr w:rsidR="0026746B" w:rsidRPr="0026746B" w:rsidTr="004C60F8">
        <w:trPr>
          <w:trHeight w:val="300"/>
        </w:trPr>
        <w:tc>
          <w:tcPr>
            <w:tcW w:w="2500"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78"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r>
      <w:tr w:rsidR="00F709CD" w:rsidRPr="0026746B" w:rsidTr="004C60F8">
        <w:trPr>
          <w:trHeight w:val="300"/>
        </w:trPr>
        <w:tc>
          <w:tcPr>
            <w:tcW w:w="2500" w:type="pct"/>
            <w:shd w:val="clear" w:color="auto" w:fill="auto"/>
            <w:vAlign w:val="center"/>
          </w:tcPr>
          <w:p w:rsidR="00F709CD" w:rsidRPr="00483246" w:rsidRDefault="00F709CD" w:rsidP="008F56D8">
            <w:pPr>
              <w:pStyle w:val="Odstavecseseznamem"/>
              <w:numPr>
                <w:ilvl w:val="0"/>
                <w:numId w:val="1"/>
              </w:numPr>
              <w:spacing w:after="0" w:line="240" w:lineRule="auto"/>
              <w:jc w:val="center"/>
              <w:rPr>
                <w:rFonts w:ascii="Calibri" w:eastAsia="Calibri" w:hAnsi="Calibri" w:cs="Calibri"/>
                <w:b/>
                <w:bCs/>
                <w:color w:val="000000"/>
                <w:lang w:val="en-US" w:eastAsia="cs-CZ"/>
              </w:rPr>
            </w:pPr>
            <w:r w:rsidRPr="00483246">
              <w:rPr>
                <w:rFonts w:ascii="Calibri" w:eastAsia="Calibri" w:hAnsi="Calibri" w:cs="Calibri"/>
                <w:b/>
                <w:bCs/>
                <w:color w:val="000000"/>
                <w:lang w:val="en-US" w:eastAsia="cs-CZ"/>
              </w:rPr>
              <w:t>PAYMENT TERMS</w:t>
            </w:r>
          </w:p>
        </w:tc>
        <w:tc>
          <w:tcPr>
            <w:tcW w:w="78" w:type="pct"/>
            <w:shd w:val="clear" w:color="auto" w:fill="auto"/>
            <w:vAlign w:val="center"/>
          </w:tcPr>
          <w:p w:rsidR="00F709CD" w:rsidRPr="0026746B" w:rsidRDefault="00F709CD" w:rsidP="008F56D8">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F709CD" w:rsidRPr="009A20CC" w:rsidRDefault="00F709CD" w:rsidP="00F709CD">
            <w:pPr>
              <w:pStyle w:val="Odstavecseseznamem"/>
              <w:numPr>
                <w:ilvl w:val="0"/>
                <w:numId w:val="2"/>
              </w:numPr>
              <w:spacing w:after="0" w:line="240" w:lineRule="auto"/>
              <w:ind w:left="927"/>
              <w:jc w:val="center"/>
              <w:rPr>
                <w:rFonts w:ascii="Calibri" w:eastAsia="Calibri" w:hAnsi="Calibri" w:cs="Calibri"/>
                <w:b/>
                <w:bCs/>
                <w:color w:val="000000"/>
                <w:lang w:val="en-US" w:eastAsia="cs-CZ"/>
              </w:rPr>
            </w:pPr>
            <w:r w:rsidRPr="009A20CC">
              <w:rPr>
                <w:rFonts w:ascii="Calibri" w:eastAsia="Calibri" w:hAnsi="Calibri" w:cs="Calibri"/>
                <w:b/>
                <w:bCs/>
                <w:color w:val="000000"/>
                <w:lang w:val="en-US" w:eastAsia="cs-CZ"/>
              </w:rPr>
              <w:t>PLATEBNÍ PODMÍNKY</w:t>
            </w:r>
          </w:p>
        </w:tc>
      </w:tr>
      <w:tr w:rsidR="00F709CD" w:rsidRPr="0026746B" w:rsidTr="004C60F8">
        <w:trPr>
          <w:trHeight w:val="300"/>
        </w:trPr>
        <w:tc>
          <w:tcPr>
            <w:tcW w:w="2500" w:type="pct"/>
            <w:shd w:val="clear" w:color="auto" w:fill="auto"/>
            <w:vAlign w:val="center"/>
          </w:tcPr>
          <w:p w:rsidR="00F709CD" w:rsidRPr="009F2C2D" w:rsidRDefault="00F709CD" w:rsidP="00F709CD">
            <w:pPr>
              <w:pStyle w:val="Odstavecseseznamem"/>
              <w:numPr>
                <w:ilvl w:val="0"/>
                <w:numId w:val="22"/>
              </w:numPr>
              <w:spacing w:before="120" w:after="0" w:line="240" w:lineRule="auto"/>
              <w:jc w:val="both"/>
              <w:rPr>
                <w:rFonts w:ascii="Calibri" w:eastAsia="Calibri" w:hAnsi="Calibri" w:cs="Calibri"/>
                <w:color w:val="000000"/>
                <w:lang w:val="en-US" w:eastAsia="cs-CZ"/>
              </w:rPr>
            </w:pPr>
            <w:r>
              <w:rPr>
                <w:rFonts w:ascii="Calibri" w:eastAsia="Calibri" w:hAnsi="Calibri" w:cs="Calibri"/>
                <w:color w:val="000000"/>
                <w:lang w:val="en-US" w:eastAsia="cs-CZ"/>
              </w:rPr>
              <w:t>The Buyer is obligated to pay to the Seller for Object of Purchase the price in the amount agreed in article II this purchase contract on the basis of the invoices from the Seller issued and demonstrably delivered to the Buyer:</w:t>
            </w:r>
          </w:p>
        </w:tc>
        <w:tc>
          <w:tcPr>
            <w:tcW w:w="78" w:type="pct"/>
            <w:shd w:val="clear" w:color="auto" w:fill="auto"/>
            <w:vAlign w:val="center"/>
          </w:tcPr>
          <w:p w:rsidR="00F709CD" w:rsidRPr="0026746B" w:rsidRDefault="00F709CD" w:rsidP="008F56D8">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F709CD" w:rsidRPr="005A7AA7" w:rsidRDefault="00F709CD" w:rsidP="00F709CD">
            <w:pPr>
              <w:pStyle w:val="Odstavecseseznamem"/>
              <w:numPr>
                <w:ilvl w:val="0"/>
                <w:numId w:val="21"/>
              </w:numPr>
              <w:spacing w:before="120" w:after="0" w:line="240" w:lineRule="auto"/>
              <w:jc w:val="both"/>
              <w:rPr>
                <w:rFonts w:ascii="Calibri" w:eastAsia="Calibri" w:hAnsi="Calibri" w:cs="Calibri"/>
                <w:color w:val="000000"/>
                <w:lang w:eastAsia="cs-CZ"/>
              </w:rPr>
            </w:pPr>
            <w:r w:rsidRPr="00CC76D4">
              <w:rPr>
                <w:rFonts w:ascii="Calibri" w:eastAsia="Calibri" w:hAnsi="Calibri" w:cs="Calibri"/>
                <w:color w:val="000000"/>
                <w:lang w:eastAsia="cs-CZ"/>
              </w:rPr>
              <w:t>Kupující</w:t>
            </w:r>
            <w:r w:rsidRPr="005A7AA7">
              <w:rPr>
                <w:rFonts w:ascii="Calibri" w:eastAsia="Calibri" w:hAnsi="Calibri" w:cs="Calibri"/>
                <w:color w:val="000000"/>
                <w:lang w:eastAsia="cs-CZ"/>
              </w:rPr>
              <w:t xml:space="preserve"> je </w:t>
            </w:r>
            <w:r w:rsidRPr="00CC76D4">
              <w:rPr>
                <w:rFonts w:ascii="Calibri" w:eastAsia="Calibri" w:hAnsi="Calibri" w:cs="Calibri"/>
                <w:color w:val="000000"/>
                <w:lang w:eastAsia="cs-CZ"/>
              </w:rPr>
              <w:t>povinen</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zaplatit</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Prodávajícímu</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za</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Předmět</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koupě</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cenu</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ve</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výši</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dohodnuté</w:t>
            </w:r>
            <w:r w:rsidRPr="005A7AA7">
              <w:rPr>
                <w:rFonts w:ascii="Calibri" w:eastAsia="Calibri" w:hAnsi="Calibri" w:cs="Calibri"/>
                <w:color w:val="000000"/>
                <w:lang w:eastAsia="cs-CZ"/>
              </w:rPr>
              <w:t xml:space="preserve"> v </w:t>
            </w:r>
            <w:r w:rsidRPr="00CC76D4">
              <w:rPr>
                <w:rFonts w:ascii="Calibri" w:eastAsia="Calibri" w:hAnsi="Calibri" w:cs="Calibri"/>
                <w:color w:val="000000"/>
                <w:lang w:eastAsia="cs-CZ"/>
              </w:rPr>
              <w:t>čl</w:t>
            </w:r>
            <w:r w:rsidRPr="005A7AA7">
              <w:rPr>
                <w:rFonts w:ascii="Calibri" w:eastAsia="Calibri" w:hAnsi="Calibri" w:cs="Calibri"/>
                <w:color w:val="000000"/>
                <w:lang w:eastAsia="cs-CZ"/>
              </w:rPr>
              <w:t xml:space="preserve">. II </w:t>
            </w:r>
            <w:r w:rsidRPr="00CC76D4">
              <w:rPr>
                <w:rFonts w:ascii="Calibri" w:eastAsia="Calibri" w:hAnsi="Calibri" w:cs="Calibri"/>
                <w:color w:val="000000"/>
                <w:lang w:eastAsia="cs-CZ"/>
              </w:rPr>
              <w:t>smlouvy</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na</w:t>
            </w:r>
            <w:r w:rsidRPr="005A7AA7">
              <w:rPr>
                <w:rFonts w:ascii="Calibri" w:eastAsia="Calibri" w:hAnsi="Calibri" w:cs="Calibri"/>
                <w:color w:val="000000"/>
                <w:lang w:eastAsia="cs-CZ"/>
              </w:rPr>
              <w:t> </w:t>
            </w:r>
            <w:r w:rsidRPr="00CC76D4">
              <w:rPr>
                <w:rFonts w:ascii="Calibri" w:eastAsia="Calibri" w:hAnsi="Calibri" w:cs="Calibri"/>
                <w:color w:val="000000"/>
                <w:lang w:eastAsia="cs-CZ"/>
              </w:rPr>
              <w:t>základě</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jím</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vystavených</w:t>
            </w:r>
            <w:r w:rsidRPr="005A7AA7">
              <w:rPr>
                <w:rFonts w:ascii="Calibri" w:eastAsia="Calibri" w:hAnsi="Calibri" w:cs="Calibri"/>
                <w:color w:val="000000"/>
                <w:lang w:eastAsia="cs-CZ"/>
              </w:rPr>
              <w:t xml:space="preserve"> a </w:t>
            </w:r>
            <w:r w:rsidRPr="00CC76D4">
              <w:rPr>
                <w:rFonts w:ascii="Calibri" w:eastAsia="Calibri" w:hAnsi="Calibri" w:cs="Calibri"/>
                <w:color w:val="000000"/>
                <w:lang w:eastAsia="cs-CZ"/>
              </w:rPr>
              <w:t>Kupujícímu</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prokazatelně</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doručených</w:t>
            </w:r>
            <w:r w:rsidRPr="005A7AA7">
              <w:rPr>
                <w:rFonts w:ascii="Calibri" w:eastAsia="Calibri" w:hAnsi="Calibri" w:cs="Calibri"/>
                <w:color w:val="000000"/>
                <w:lang w:eastAsia="cs-CZ"/>
              </w:rPr>
              <w:t xml:space="preserve"> </w:t>
            </w:r>
            <w:r w:rsidRPr="00CC76D4">
              <w:rPr>
                <w:rFonts w:ascii="Calibri" w:eastAsia="Calibri" w:hAnsi="Calibri" w:cs="Calibri"/>
                <w:color w:val="000000"/>
                <w:lang w:eastAsia="cs-CZ"/>
              </w:rPr>
              <w:t>faktur</w:t>
            </w:r>
            <w:r w:rsidRPr="005A7AA7">
              <w:rPr>
                <w:rFonts w:ascii="Calibri" w:eastAsia="Calibri" w:hAnsi="Calibri" w:cs="Calibri"/>
                <w:color w:val="000000"/>
                <w:lang w:eastAsia="cs-CZ"/>
              </w:rPr>
              <w:t>:</w:t>
            </w:r>
          </w:p>
        </w:tc>
      </w:tr>
      <w:tr w:rsidR="00F709CD" w:rsidRPr="0026746B" w:rsidTr="004C60F8">
        <w:trPr>
          <w:trHeight w:val="300"/>
        </w:trPr>
        <w:tc>
          <w:tcPr>
            <w:tcW w:w="2500" w:type="pct"/>
            <w:shd w:val="clear" w:color="auto" w:fill="auto"/>
            <w:vAlign w:val="center"/>
          </w:tcPr>
          <w:p w:rsidR="00F709CD" w:rsidRPr="00576070" w:rsidRDefault="00F709CD" w:rsidP="004C60F8">
            <w:pPr>
              <w:pStyle w:val="Odstavecseseznamem"/>
              <w:numPr>
                <w:ilvl w:val="0"/>
                <w:numId w:val="23"/>
              </w:numPr>
              <w:spacing w:before="120" w:after="0" w:line="240" w:lineRule="auto"/>
              <w:jc w:val="both"/>
              <w:rPr>
                <w:rFonts w:ascii="Calibri" w:eastAsia="Calibri" w:hAnsi="Calibri" w:cs="Calibri"/>
                <w:color w:val="000000"/>
                <w:lang w:val="en-US" w:eastAsia="cs-CZ"/>
              </w:rPr>
            </w:pPr>
            <w:r w:rsidRPr="00576070">
              <w:rPr>
                <w:rFonts w:ascii="Calibri" w:eastAsia="Calibri" w:hAnsi="Calibri" w:cs="Calibri"/>
                <w:color w:val="000000"/>
                <w:lang w:val="en-US" w:eastAsia="cs-CZ"/>
              </w:rPr>
              <w:t xml:space="preserve">The amount of 10% of the </w:t>
            </w:r>
            <w:r w:rsidR="00576070">
              <w:rPr>
                <w:rFonts w:ascii="Calibri" w:eastAsia="Calibri" w:hAnsi="Calibri" w:cs="Calibri"/>
                <w:color w:val="000000"/>
                <w:lang w:val="en-US" w:eastAsia="cs-CZ"/>
              </w:rPr>
              <w:t>Purchase</w:t>
            </w:r>
            <w:r w:rsidRPr="00576070">
              <w:rPr>
                <w:rFonts w:ascii="Calibri" w:eastAsia="Calibri" w:hAnsi="Calibri" w:cs="Calibri"/>
                <w:color w:val="000000"/>
                <w:lang w:val="en-US" w:eastAsia="cs-CZ"/>
              </w:rPr>
              <w:t xml:space="preserve"> price including VAT,</w:t>
            </w:r>
            <w:r w:rsidR="00576070">
              <w:rPr>
                <w:rFonts w:ascii="Calibri" w:eastAsia="Calibri" w:hAnsi="Calibri" w:cs="Calibri"/>
                <w:color w:val="000000"/>
                <w:lang w:val="en-US" w:eastAsia="cs-CZ"/>
              </w:rPr>
              <w:t xml:space="preserve"> </w:t>
            </w:r>
            <w:r w:rsidRPr="00576070">
              <w:rPr>
                <w:rFonts w:ascii="Calibri" w:eastAsia="Calibri" w:hAnsi="Calibri" w:cs="Calibri"/>
                <w:color w:val="000000"/>
                <w:lang w:val="en-US" w:eastAsia="cs-CZ"/>
              </w:rPr>
              <w:t xml:space="preserve">i.e. </w:t>
            </w:r>
            <w:r w:rsidR="004C60F8" w:rsidRPr="004C60F8">
              <w:rPr>
                <w:rFonts w:ascii="Calibri" w:eastAsia="Calibri" w:hAnsi="Calibri" w:cs="Calibri"/>
                <w:color w:val="000000"/>
                <w:lang w:val="en-US" w:eastAsia="cs-CZ"/>
              </w:rPr>
              <w:t>21400</w:t>
            </w:r>
            <w:r w:rsidRPr="004C60F8">
              <w:rPr>
                <w:rFonts w:ascii="Calibri" w:eastAsia="Calibri" w:hAnsi="Calibri" w:cs="Calibri"/>
                <w:color w:val="000000"/>
                <w:lang w:val="en-US" w:eastAsia="cs-CZ"/>
              </w:rPr>
              <w:t xml:space="preserve"> EUR</w:t>
            </w:r>
            <w:r w:rsidRPr="00576070">
              <w:rPr>
                <w:rFonts w:ascii="Calibri" w:eastAsia="Calibri" w:hAnsi="Calibri" w:cs="Calibri"/>
                <w:color w:val="000000"/>
                <w:lang w:val="en-US" w:eastAsia="cs-CZ"/>
              </w:rPr>
              <w:t xml:space="preserve"> is the Buyer obligated to pay to the Seller on the basis of an invoice with 30 days due date, which the Seller is authorized to issue</w:t>
            </w:r>
            <w:r w:rsidR="00576070" w:rsidRPr="00576070">
              <w:rPr>
                <w:rFonts w:ascii="Calibri" w:eastAsia="Calibri" w:hAnsi="Calibri" w:cs="Calibri"/>
                <w:color w:val="000000"/>
                <w:lang w:val="en-US" w:eastAsia="cs-CZ"/>
              </w:rPr>
              <w:t xml:space="preserve"> after submitting the 3D model of the Object of Purchase. The handover will be confirmed by signed the </w:t>
            </w:r>
            <w:r w:rsidR="00576070" w:rsidRPr="00FC7A93">
              <w:rPr>
                <w:rFonts w:ascii="Calibri" w:eastAsia="Calibri" w:hAnsi="Calibri" w:cs="Calibri"/>
                <w:color w:val="000000"/>
                <w:u w:val="single"/>
                <w:lang w:val="en-US" w:eastAsia="cs-CZ"/>
              </w:rPr>
              <w:t>3D Model delivery protocol</w:t>
            </w:r>
            <w:r w:rsidR="00576070" w:rsidRPr="00576070">
              <w:rPr>
                <w:rFonts w:ascii="Calibri" w:eastAsia="Calibri" w:hAnsi="Calibri" w:cs="Calibri"/>
                <w:color w:val="000000"/>
                <w:lang w:val="en-US" w:eastAsia="cs-CZ"/>
              </w:rPr>
              <w:t>.</w:t>
            </w:r>
          </w:p>
        </w:tc>
        <w:tc>
          <w:tcPr>
            <w:tcW w:w="78" w:type="pct"/>
            <w:shd w:val="clear" w:color="auto" w:fill="auto"/>
            <w:vAlign w:val="center"/>
          </w:tcPr>
          <w:p w:rsidR="00F709CD" w:rsidRPr="0026746B" w:rsidRDefault="00F709CD" w:rsidP="008F56D8">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F709CD" w:rsidRPr="00576070" w:rsidRDefault="00F709CD" w:rsidP="004C60F8">
            <w:pPr>
              <w:pStyle w:val="Odstavecseseznamem"/>
              <w:numPr>
                <w:ilvl w:val="0"/>
                <w:numId w:val="24"/>
              </w:numPr>
              <w:spacing w:before="120" w:after="0" w:line="240" w:lineRule="auto"/>
              <w:jc w:val="both"/>
              <w:rPr>
                <w:rFonts w:ascii="Calibri" w:eastAsia="Calibri" w:hAnsi="Calibri" w:cs="Calibri"/>
                <w:color w:val="000000"/>
                <w:lang w:eastAsia="cs-CZ"/>
              </w:rPr>
            </w:pPr>
            <w:r w:rsidRPr="00576070">
              <w:rPr>
                <w:rFonts w:ascii="Calibri" w:eastAsia="Calibri" w:hAnsi="Calibri" w:cs="Calibri"/>
                <w:color w:val="000000"/>
                <w:lang w:eastAsia="cs-CZ"/>
              </w:rPr>
              <w:t xml:space="preserve">Částku ve výši 10% z celkové ceny včetně DPH, tj. </w:t>
            </w:r>
            <w:r w:rsidR="004C60F8" w:rsidRPr="004C60F8">
              <w:rPr>
                <w:rFonts w:ascii="Calibri" w:eastAsia="Calibri" w:hAnsi="Calibri" w:cs="Calibri"/>
                <w:lang w:eastAsia="cs-CZ"/>
              </w:rPr>
              <w:t>21400</w:t>
            </w:r>
            <w:r w:rsidRPr="004C60F8">
              <w:rPr>
                <w:rFonts w:ascii="Calibri" w:eastAsia="Calibri" w:hAnsi="Calibri" w:cs="Calibri"/>
                <w:lang w:eastAsia="cs-CZ"/>
              </w:rPr>
              <w:t xml:space="preserve"> EUR</w:t>
            </w:r>
            <w:r w:rsidRPr="00576070">
              <w:rPr>
                <w:rFonts w:ascii="Calibri" w:eastAsia="Calibri" w:hAnsi="Calibri" w:cs="Calibri"/>
                <w:lang w:eastAsia="cs-CZ"/>
              </w:rPr>
              <w:t xml:space="preserve"> </w:t>
            </w:r>
            <w:r w:rsidRPr="00576070">
              <w:rPr>
                <w:rFonts w:ascii="Calibri" w:eastAsia="Calibri" w:hAnsi="Calibri" w:cs="Calibri"/>
                <w:color w:val="000000"/>
                <w:lang w:eastAsia="cs-CZ"/>
              </w:rPr>
              <w:t xml:space="preserve">je Kupující povinen uhradit Prodávajícímu na základě faktury se splatností 30 dnů, kterou je Prodávající oprávněn </w:t>
            </w:r>
            <w:r w:rsidR="00737A03" w:rsidRPr="00576070">
              <w:rPr>
                <w:rFonts w:ascii="Calibri" w:eastAsia="Calibri" w:hAnsi="Calibri" w:cs="Calibri"/>
                <w:color w:val="000000"/>
                <w:lang w:eastAsia="cs-CZ"/>
              </w:rPr>
              <w:t>vystavit</w:t>
            </w:r>
            <w:r w:rsidR="00093A52" w:rsidRPr="00576070">
              <w:rPr>
                <w:rFonts w:ascii="Calibri" w:eastAsia="Calibri" w:hAnsi="Calibri" w:cs="Calibri"/>
                <w:color w:val="000000"/>
                <w:lang w:eastAsia="cs-CZ"/>
              </w:rPr>
              <w:t xml:space="preserve"> </w:t>
            </w:r>
            <w:r w:rsidRPr="00576070">
              <w:rPr>
                <w:rFonts w:ascii="Calibri" w:eastAsia="Calibri" w:hAnsi="Calibri" w:cs="Calibri"/>
                <w:color w:val="000000"/>
                <w:lang w:eastAsia="cs-CZ"/>
              </w:rPr>
              <w:t xml:space="preserve">po předání 3D modelu Předmětu koupě. Předání bude stvrzeno oboustranně podepsaným </w:t>
            </w:r>
            <w:r w:rsidR="00FC7A93" w:rsidRPr="00FC7A93">
              <w:rPr>
                <w:rFonts w:ascii="Calibri" w:eastAsia="Calibri" w:hAnsi="Calibri" w:cs="Calibri"/>
                <w:color w:val="000000"/>
                <w:u w:val="single"/>
                <w:lang w:eastAsia="cs-CZ"/>
              </w:rPr>
              <w:t>P</w:t>
            </w:r>
            <w:r w:rsidRPr="00FC7A93">
              <w:rPr>
                <w:rFonts w:ascii="Calibri" w:eastAsia="Calibri" w:hAnsi="Calibri" w:cs="Calibri"/>
                <w:color w:val="000000"/>
                <w:u w:val="single"/>
                <w:lang w:eastAsia="cs-CZ"/>
              </w:rPr>
              <w:t xml:space="preserve">rotokolem o předání </w:t>
            </w:r>
            <w:r w:rsidR="00251DBB" w:rsidRPr="00FC7A93">
              <w:rPr>
                <w:rFonts w:ascii="Calibri" w:eastAsia="Calibri" w:hAnsi="Calibri" w:cs="Calibri"/>
                <w:color w:val="000000"/>
                <w:u w:val="single"/>
                <w:lang w:eastAsia="cs-CZ"/>
              </w:rPr>
              <w:t>3D modelu</w:t>
            </w:r>
            <w:r w:rsidRPr="00576070">
              <w:rPr>
                <w:rFonts w:ascii="Calibri" w:eastAsia="Calibri" w:hAnsi="Calibri" w:cs="Calibri"/>
                <w:color w:val="000000"/>
                <w:lang w:eastAsia="cs-CZ"/>
              </w:rPr>
              <w:t>.</w:t>
            </w:r>
          </w:p>
        </w:tc>
      </w:tr>
      <w:tr w:rsidR="00A73819" w:rsidRPr="0026746B" w:rsidTr="004C60F8">
        <w:trPr>
          <w:trHeight w:val="300"/>
        </w:trPr>
        <w:tc>
          <w:tcPr>
            <w:tcW w:w="2500" w:type="pct"/>
            <w:shd w:val="clear" w:color="auto" w:fill="auto"/>
            <w:vAlign w:val="center"/>
          </w:tcPr>
          <w:p w:rsidR="00A73819" w:rsidRPr="00576070" w:rsidRDefault="00576070" w:rsidP="00F523B7">
            <w:pPr>
              <w:pStyle w:val="Odstavecseseznamem"/>
              <w:numPr>
                <w:ilvl w:val="0"/>
                <w:numId w:val="23"/>
              </w:numPr>
              <w:spacing w:before="120" w:after="0" w:line="240" w:lineRule="auto"/>
              <w:jc w:val="both"/>
              <w:rPr>
                <w:rFonts w:ascii="Calibri" w:eastAsia="Calibri" w:hAnsi="Calibri" w:cs="Calibri"/>
                <w:color w:val="000000"/>
                <w:lang w:val="en-US" w:eastAsia="cs-CZ"/>
              </w:rPr>
            </w:pPr>
            <w:r w:rsidRPr="00576070">
              <w:rPr>
                <w:rFonts w:ascii="Calibri" w:eastAsia="Calibri" w:hAnsi="Calibri" w:cs="Calibri"/>
                <w:color w:val="000000"/>
                <w:lang w:val="en-US" w:eastAsia="cs-CZ"/>
              </w:rPr>
              <w:t xml:space="preserve">The Seller is also entitled to the progressive invoicing of the Object </w:t>
            </w:r>
            <w:r>
              <w:rPr>
                <w:rFonts w:ascii="Calibri" w:eastAsia="Calibri" w:hAnsi="Calibri" w:cs="Calibri"/>
                <w:color w:val="000000"/>
                <w:lang w:val="en-US" w:eastAsia="cs-CZ"/>
              </w:rPr>
              <w:t xml:space="preserve">of </w:t>
            </w:r>
            <w:r w:rsidRPr="00576070">
              <w:rPr>
                <w:rFonts w:ascii="Calibri" w:eastAsia="Calibri" w:hAnsi="Calibri" w:cs="Calibri"/>
                <w:color w:val="000000"/>
                <w:lang w:val="en-US" w:eastAsia="cs-CZ"/>
              </w:rPr>
              <w:t xml:space="preserve">Purchase in accordance with the actually submitted parts of the Object </w:t>
            </w:r>
            <w:r>
              <w:rPr>
                <w:rFonts w:ascii="Calibri" w:eastAsia="Calibri" w:hAnsi="Calibri" w:cs="Calibri"/>
                <w:color w:val="000000"/>
                <w:lang w:val="en-US" w:eastAsia="cs-CZ"/>
              </w:rPr>
              <w:t xml:space="preserve">of </w:t>
            </w:r>
            <w:r w:rsidRPr="00576070">
              <w:rPr>
                <w:rFonts w:ascii="Calibri" w:eastAsia="Calibri" w:hAnsi="Calibri" w:cs="Calibri"/>
                <w:color w:val="000000"/>
                <w:lang w:val="en-US" w:eastAsia="cs-CZ"/>
              </w:rPr>
              <w:t xml:space="preserve">Purchase up to the amount </w:t>
            </w:r>
            <w:r w:rsidR="00D67D7B" w:rsidRPr="00D67D7B">
              <w:rPr>
                <w:rFonts w:ascii="Calibri" w:eastAsia="Calibri" w:hAnsi="Calibri" w:cs="Calibri"/>
                <w:color w:val="000000"/>
                <w:lang w:val="en-US" w:eastAsia="cs-CZ"/>
              </w:rPr>
              <w:t>171200</w:t>
            </w:r>
            <w:r w:rsidRPr="00D67D7B">
              <w:rPr>
                <w:rFonts w:ascii="Calibri" w:eastAsia="Calibri" w:hAnsi="Calibri" w:cs="Calibri"/>
                <w:color w:val="000000"/>
                <w:lang w:val="en-US" w:eastAsia="cs-CZ"/>
              </w:rPr>
              <w:t xml:space="preserve"> EUR, </w:t>
            </w:r>
            <w:proofErr w:type="spellStart"/>
            <w:r w:rsidRPr="00D67D7B">
              <w:rPr>
                <w:rFonts w:ascii="Calibri" w:eastAsia="Calibri" w:hAnsi="Calibri" w:cs="Calibri"/>
                <w:color w:val="000000"/>
                <w:lang w:val="en-US" w:eastAsia="cs-CZ"/>
              </w:rPr>
              <w:t>ie</w:t>
            </w:r>
            <w:proofErr w:type="spellEnd"/>
            <w:r w:rsidRPr="00576070">
              <w:rPr>
                <w:rFonts w:ascii="Calibri" w:eastAsia="Calibri" w:hAnsi="Calibri" w:cs="Calibri"/>
                <w:color w:val="000000"/>
                <w:lang w:val="en-US" w:eastAsia="cs-CZ"/>
              </w:rPr>
              <w:t xml:space="preserve"> up to 80% of the Purchase Price including VAT. Attachment of each sub-invoice will be the </w:t>
            </w:r>
            <w:r w:rsidRPr="00FC7A93">
              <w:rPr>
                <w:rFonts w:ascii="Calibri" w:eastAsia="Calibri" w:hAnsi="Calibri" w:cs="Calibri"/>
                <w:color w:val="000000"/>
                <w:u w:val="single"/>
                <w:lang w:val="en-US" w:eastAsia="cs-CZ"/>
              </w:rPr>
              <w:t xml:space="preserve">Protocol on the delivery of a part of the </w:t>
            </w:r>
            <w:r w:rsidR="00FC7A93" w:rsidRPr="00FC7A93">
              <w:rPr>
                <w:rFonts w:ascii="Calibri" w:eastAsia="Calibri" w:hAnsi="Calibri" w:cs="Calibri"/>
                <w:color w:val="000000"/>
                <w:u w:val="single"/>
                <w:lang w:val="en-US" w:eastAsia="cs-CZ"/>
              </w:rPr>
              <w:t>Object</w:t>
            </w:r>
            <w:r w:rsidR="00FC7A93">
              <w:rPr>
                <w:rFonts w:ascii="Calibri" w:eastAsia="Calibri" w:hAnsi="Calibri" w:cs="Calibri"/>
                <w:color w:val="000000"/>
                <w:u w:val="single"/>
                <w:lang w:val="en-US" w:eastAsia="cs-CZ"/>
              </w:rPr>
              <w:t xml:space="preserve"> of </w:t>
            </w:r>
            <w:r w:rsidRPr="00FC7A93">
              <w:rPr>
                <w:rFonts w:ascii="Calibri" w:eastAsia="Calibri" w:hAnsi="Calibri" w:cs="Calibri"/>
                <w:color w:val="000000"/>
                <w:u w:val="single"/>
                <w:lang w:val="en-US" w:eastAsia="cs-CZ"/>
              </w:rPr>
              <w:t xml:space="preserve">Purchase </w:t>
            </w:r>
            <w:r w:rsidRPr="00576070">
              <w:rPr>
                <w:rFonts w:ascii="Calibri" w:eastAsia="Calibri" w:hAnsi="Calibri" w:cs="Calibri"/>
                <w:color w:val="000000"/>
                <w:lang w:val="en-US" w:eastAsia="cs-CZ"/>
              </w:rPr>
              <w:lastRenderedPageBreak/>
              <w:t>signed by both parties listing the parts of the Purchase Object submitted.</w:t>
            </w:r>
          </w:p>
        </w:tc>
        <w:tc>
          <w:tcPr>
            <w:tcW w:w="78" w:type="pct"/>
            <w:shd w:val="clear" w:color="auto" w:fill="auto"/>
            <w:vAlign w:val="center"/>
          </w:tcPr>
          <w:p w:rsidR="00A73819" w:rsidRPr="0026746B" w:rsidRDefault="00A73819"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A73819" w:rsidRPr="00093A52" w:rsidRDefault="00F709CD" w:rsidP="00D67D7B">
            <w:pPr>
              <w:pStyle w:val="Odstavecseseznamem"/>
              <w:numPr>
                <w:ilvl w:val="0"/>
                <w:numId w:val="24"/>
              </w:numPr>
              <w:spacing w:before="120" w:after="0" w:line="240" w:lineRule="auto"/>
              <w:jc w:val="both"/>
              <w:rPr>
                <w:rFonts w:ascii="Calibri" w:eastAsia="Calibri" w:hAnsi="Calibri" w:cs="Calibri"/>
                <w:color w:val="000000"/>
                <w:lang w:eastAsia="cs-CZ"/>
              </w:rPr>
            </w:pPr>
            <w:r w:rsidRPr="00093A52">
              <w:rPr>
                <w:rFonts w:ascii="Calibri" w:eastAsia="Calibri" w:hAnsi="Calibri" w:cs="Calibri"/>
                <w:color w:val="000000"/>
                <w:lang w:eastAsia="cs-CZ"/>
              </w:rPr>
              <w:t xml:space="preserve">Prodávající je dále oprávněn </w:t>
            </w:r>
            <w:r w:rsidR="00175864">
              <w:rPr>
                <w:rFonts w:ascii="Calibri" w:eastAsia="Calibri" w:hAnsi="Calibri" w:cs="Calibri"/>
                <w:color w:val="000000"/>
                <w:lang w:eastAsia="cs-CZ"/>
              </w:rPr>
              <w:t xml:space="preserve">k postupné </w:t>
            </w:r>
            <w:r w:rsidRPr="00093A52">
              <w:rPr>
                <w:rFonts w:ascii="Calibri" w:eastAsia="Calibri" w:hAnsi="Calibri" w:cs="Calibri"/>
                <w:color w:val="000000"/>
                <w:lang w:eastAsia="cs-CZ"/>
              </w:rPr>
              <w:t>faktur</w:t>
            </w:r>
            <w:r w:rsidR="00175864">
              <w:rPr>
                <w:rFonts w:ascii="Calibri" w:eastAsia="Calibri" w:hAnsi="Calibri" w:cs="Calibri"/>
                <w:color w:val="000000"/>
                <w:lang w:eastAsia="cs-CZ"/>
              </w:rPr>
              <w:t>aci Předmětu koupě</w:t>
            </w:r>
            <w:r w:rsidRPr="00093A52">
              <w:rPr>
                <w:rFonts w:ascii="Calibri" w:eastAsia="Calibri" w:hAnsi="Calibri" w:cs="Calibri"/>
                <w:color w:val="000000"/>
                <w:lang w:eastAsia="cs-CZ"/>
              </w:rPr>
              <w:t xml:space="preserve"> dle skutečně </w:t>
            </w:r>
            <w:r w:rsidR="00175864">
              <w:rPr>
                <w:rFonts w:ascii="Calibri" w:eastAsia="Calibri" w:hAnsi="Calibri" w:cs="Calibri"/>
                <w:color w:val="000000"/>
                <w:lang w:eastAsia="cs-CZ"/>
              </w:rPr>
              <w:t>předaných</w:t>
            </w:r>
            <w:r w:rsidRPr="00093A52">
              <w:rPr>
                <w:rFonts w:ascii="Calibri" w:eastAsia="Calibri" w:hAnsi="Calibri" w:cs="Calibri"/>
                <w:color w:val="000000"/>
                <w:lang w:eastAsia="cs-CZ"/>
              </w:rPr>
              <w:t xml:space="preserve"> částí Předmětu koupě až do výše </w:t>
            </w:r>
            <w:r w:rsidR="00D67D7B">
              <w:rPr>
                <w:rFonts w:ascii="Calibri" w:eastAsia="Calibri" w:hAnsi="Calibri" w:cs="Calibri"/>
                <w:color w:val="000000"/>
                <w:lang w:eastAsia="cs-CZ"/>
              </w:rPr>
              <w:t xml:space="preserve">171200 </w:t>
            </w:r>
            <w:r w:rsidR="00175864" w:rsidRPr="00D67D7B">
              <w:rPr>
                <w:rFonts w:ascii="Calibri" w:eastAsia="Calibri" w:hAnsi="Calibri" w:cs="Calibri"/>
                <w:color w:val="000000"/>
                <w:lang w:eastAsia="cs-CZ"/>
              </w:rPr>
              <w:t>EUR</w:t>
            </w:r>
            <w:r w:rsidR="00093A52" w:rsidRPr="00D67D7B">
              <w:rPr>
                <w:rFonts w:ascii="Calibri" w:eastAsia="Calibri" w:hAnsi="Calibri" w:cs="Calibri"/>
                <w:color w:val="000000"/>
                <w:lang w:eastAsia="cs-CZ"/>
              </w:rPr>
              <w:t>,</w:t>
            </w:r>
            <w:r w:rsidR="00175864" w:rsidRPr="00D67D7B">
              <w:rPr>
                <w:rFonts w:ascii="Calibri" w:eastAsia="Calibri" w:hAnsi="Calibri" w:cs="Calibri"/>
                <w:color w:val="000000"/>
                <w:lang w:eastAsia="cs-CZ"/>
              </w:rPr>
              <w:t xml:space="preserve"> </w:t>
            </w:r>
            <w:r w:rsidR="00463672" w:rsidRPr="00D67D7B">
              <w:rPr>
                <w:rFonts w:ascii="Calibri" w:eastAsia="Calibri" w:hAnsi="Calibri" w:cs="Calibri"/>
                <w:color w:val="000000"/>
                <w:lang w:eastAsia="cs-CZ"/>
              </w:rPr>
              <w:t>tj</w:t>
            </w:r>
            <w:r w:rsidR="00463672">
              <w:rPr>
                <w:rFonts w:ascii="Calibri" w:eastAsia="Calibri" w:hAnsi="Calibri" w:cs="Calibri"/>
                <w:color w:val="000000"/>
                <w:lang w:eastAsia="cs-CZ"/>
              </w:rPr>
              <w:t>.</w:t>
            </w:r>
            <w:r w:rsidR="00093A52">
              <w:rPr>
                <w:rFonts w:ascii="Calibri" w:eastAsia="Calibri" w:hAnsi="Calibri" w:cs="Calibri"/>
                <w:color w:val="000000"/>
                <w:lang w:eastAsia="cs-CZ"/>
              </w:rPr>
              <w:t xml:space="preserve"> do </w:t>
            </w:r>
            <w:r w:rsidR="00463672">
              <w:rPr>
                <w:rFonts w:ascii="Calibri" w:eastAsia="Calibri" w:hAnsi="Calibri" w:cs="Calibri"/>
                <w:color w:val="000000"/>
                <w:lang w:eastAsia="cs-CZ"/>
              </w:rPr>
              <w:t xml:space="preserve">výše </w:t>
            </w:r>
            <w:r w:rsidR="00781A92">
              <w:rPr>
                <w:rFonts w:ascii="Calibri" w:eastAsia="Calibri" w:hAnsi="Calibri" w:cs="Calibri"/>
                <w:color w:val="000000"/>
                <w:lang w:eastAsia="cs-CZ"/>
              </w:rPr>
              <w:t>8</w:t>
            </w:r>
            <w:r w:rsidRPr="00093A52">
              <w:rPr>
                <w:rFonts w:ascii="Calibri" w:eastAsia="Calibri" w:hAnsi="Calibri" w:cs="Calibri"/>
                <w:color w:val="000000"/>
                <w:lang w:eastAsia="cs-CZ"/>
              </w:rPr>
              <w:t xml:space="preserve">0% celkové </w:t>
            </w:r>
            <w:r w:rsidR="00175864">
              <w:rPr>
                <w:rFonts w:ascii="Calibri" w:eastAsia="Calibri" w:hAnsi="Calibri" w:cs="Calibri"/>
                <w:color w:val="000000"/>
                <w:lang w:eastAsia="cs-CZ"/>
              </w:rPr>
              <w:t>K</w:t>
            </w:r>
            <w:r w:rsidRPr="00093A52">
              <w:rPr>
                <w:rFonts w:ascii="Calibri" w:eastAsia="Calibri" w:hAnsi="Calibri" w:cs="Calibri"/>
                <w:color w:val="000000"/>
                <w:lang w:eastAsia="cs-CZ"/>
              </w:rPr>
              <w:t>upní ceny</w:t>
            </w:r>
            <w:r w:rsidR="00093A52">
              <w:rPr>
                <w:rFonts w:ascii="Calibri" w:eastAsia="Calibri" w:hAnsi="Calibri" w:cs="Calibri"/>
                <w:color w:val="000000"/>
                <w:lang w:eastAsia="cs-CZ"/>
              </w:rPr>
              <w:t xml:space="preserve"> včetně DPH</w:t>
            </w:r>
            <w:r w:rsidRPr="00093A52">
              <w:rPr>
                <w:rFonts w:ascii="Calibri" w:eastAsia="Calibri" w:hAnsi="Calibri" w:cs="Calibri"/>
                <w:color w:val="000000"/>
                <w:lang w:eastAsia="cs-CZ"/>
              </w:rPr>
              <w:t xml:space="preserve">. Přílohou každé </w:t>
            </w:r>
            <w:r w:rsidR="00175864">
              <w:rPr>
                <w:rFonts w:ascii="Calibri" w:eastAsia="Calibri" w:hAnsi="Calibri" w:cs="Calibri"/>
                <w:color w:val="000000"/>
                <w:lang w:eastAsia="cs-CZ"/>
              </w:rPr>
              <w:t xml:space="preserve">dílčí </w:t>
            </w:r>
            <w:r w:rsidRPr="00093A52">
              <w:rPr>
                <w:rFonts w:ascii="Calibri" w:eastAsia="Calibri" w:hAnsi="Calibri" w:cs="Calibri"/>
                <w:color w:val="000000"/>
                <w:lang w:eastAsia="cs-CZ"/>
              </w:rPr>
              <w:t xml:space="preserve">faktury bude </w:t>
            </w:r>
            <w:r w:rsidRPr="00FC7A93">
              <w:rPr>
                <w:rFonts w:ascii="Calibri" w:eastAsia="Calibri" w:hAnsi="Calibri" w:cs="Calibri"/>
                <w:color w:val="000000"/>
                <w:u w:val="single"/>
                <w:lang w:eastAsia="cs-CZ"/>
              </w:rPr>
              <w:t>Protokol o předání části Předmětu koupě</w:t>
            </w:r>
            <w:r w:rsidRPr="00093A52">
              <w:rPr>
                <w:rFonts w:ascii="Calibri" w:eastAsia="Calibri" w:hAnsi="Calibri" w:cs="Calibri"/>
                <w:color w:val="000000"/>
                <w:lang w:eastAsia="cs-CZ"/>
              </w:rPr>
              <w:t xml:space="preserve"> podepsaný oběma </w:t>
            </w:r>
            <w:r w:rsidRPr="00093A52">
              <w:rPr>
                <w:rFonts w:ascii="Calibri" w:eastAsia="Calibri" w:hAnsi="Calibri" w:cs="Calibri"/>
                <w:color w:val="000000"/>
                <w:lang w:eastAsia="cs-CZ"/>
              </w:rPr>
              <w:lastRenderedPageBreak/>
              <w:t>smluvními stranami</w:t>
            </w:r>
            <w:r w:rsidR="00175864">
              <w:rPr>
                <w:rFonts w:ascii="Calibri" w:eastAsia="Calibri" w:hAnsi="Calibri" w:cs="Calibri"/>
                <w:color w:val="000000"/>
                <w:lang w:eastAsia="cs-CZ"/>
              </w:rPr>
              <w:t xml:space="preserve"> s výčtem předaných částí Předmětu koupě</w:t>
            </w:r>
            <w:r w:rsidRPr="00093A52">
              <w:rPr>
                <w:rFonts w:ascii="Calibri" w:eastAsia="Calibri" w:hAnsi="Calibri" w:cs="Calibri"/>
                <w:color w:val="000000"/>
                <w:lang w:eastAsia="cs-CZ"/>
              </w:rPr>
              <w:t>.</w:t>
            </w:r>
          </w:p>
        </w:tc>
      </w:tr>
      <w:tr w:rsidR="00F709CD" w:rsidRPr="0026746B" w:rsidTr="004C60F8">
        <w:trPr>
          <w:trHeight w:val="300"/>
        </w:trPr>
        <w:tc>
          <w:tcPr>
            <w:tcW w:w="2500" w:type="pct"/>
            <w:shd w:val="clear" w:color="auto" w:fill="auto"/>
            <w:vAlign w:val="center"/>
          </w:tcPr>
          <w:p w:rsidR="00F709CD" w:rsidRPr="00576070" w:rsidRDefault="00576070" w:rsidP="00576070">
            <w:pPr>
              <w:pStyle w:val="Odstavecseseznamem"/>
              <w:numPr>
                <w:ilvl w:val="0"/>
                <w:numId w:val="23"/>
              </w:numPr>
              <w:spacing w:before="120" w:after="0" w:line="240" w:lineRule="auto"/>
              <w:jc w:val="both"/>
              <w:rPr>
                <w:rFonts w:ascii="Calibri" w:eastAsia="Calibri" w:hAnsi="Calibri" w:cs="Calibri"/>
                <w:color w:val="000000"/>
                <w:lang w:val="en-US" w:eastAsia="cs-CZ"/>
              </w:rPr>
            </w:pPr>
            <w:r w:rsidRPr="00576070">
              <w:rPr>
                <w:rFonts w:ascii="Calibri" w:eastAsia="Calibri" w:hAnsi="Calibri" w:cs="Calibri"/>
                <w:color w:val="000000"/>
                <w:lang w:val="en-US" w:eastAsia="cs-CZ"/>
              </w:rPr>
              <w:lastRenderedPageBreak/>
              <w:t xml:space="preserve">The remaining part of the purchase price, </w:t>
            </w:r>
            <w:proofErr w:type="spellStart"/>
            <w:r w:rsidRPr="00576070">
              <w:rPr>
                <w:rFonts w:ascii="Calibri" w:eastAsia="Calibri" w:hAnsi="Calibri" w:cs="Calibri"/>
                <w:color w:val="000000"/>
                <w:lang w:val="en-US" w:eastAsia="cs-CZ"/>
              </w:rPr>
              <w:t>ie</w:t>
            </w:r>
            <w:proofErr w:type="spellEnd"/>
            <w:r w:rsidRPr="00576070">
              <w:rPr>
                <w:rFonts w:ascii="Calibri" w:eastAsia="Calibri" w:hAnsi="Calibri" w:cs="Calibri"/>
                <w:color w:val="000000"/>
                <w:lang w:val="en-US" w:eastAsia="cs-CZ"/>
              </w:rPr>
              <w:t xml:space="preserve"> 10% including VAT, is the Seller entitled to invoice after a complete installation of the </w:t>
            </w:r>
            <w:r>
              <w:rPr>
                <w:rFonts w:ascii="Calibri" w:eastAsia="Calibri" w:hAnsi="Calibri" w:cs="Calibri"/>
                <w:color w:val="000000"/>
                <w:lang w:val="en-US" w:eastAsia="cs-CZ"/>
              </w:rPr>
              <w:t>Object</w:t>
            </w:r>
            <w:r w:rsidRPr="00576070">
              <w:rPr>
                <w:rFonts w:ascii="Calibri" w:eastAsia="Calibri" w:hAnsi="Calibri" w:cs="Calibri"/>
                <w:color w:val="000000"/>
                <w:lang w:val="en-US" w:eastAsia="cs-CZ"/>
              </w:rPr>
              <w:t xml:space="preserve"> of Purchase and proof of full compatibility of the Object</w:t>
            </w:r>
            <w:r>
              <w:rPr>
                <w:rFonts w:ascii="Calibri" w:eastAsia="Calibri" w:hAnsi="Calibri" w:cs="Calibri"/>
                <w:color w:val="000000"/>
                <w:lang w:val="en-US" w:eastAsia="cs-CZ"/>
              </w:rPr>
              <w:t xml:space="preserve"> of </w:t>
            </w:r>
            <w:r w:rsidRPr="00576070">
              <w:rPr>
                <w:rFonts w:ascii="Calibri" w:eastAsia="Calibri" w:hAnsi="Calibri" w:cs="Calibri"/>
                <w:color w:val="000000"/>
                <w:lang w:val="en-US" w:eastAsia="cs-CZ"/>
              </w:rPr>
              <w:t xml:space="preserve">Purchase. Measurement records that demonstrate the compatibility and required properties of the Object </w:t>
            </w:r>
            <w:r>
              <w:rPr>
                <w:rFonts w:ascii="Calibri" w:eastAsia="Calibri" w:hAnsi="Calibri" w:cs="Calibri"/>
                <w:color w:val="000000"/>
                <w:lang w:val="en-US" w:eastAsia="cs-CZ"/>
              </w:rPr>
              <w:t xml:space="preserve">of </w:t>
            </w:r>
            <w:r w:rsidRPr="00576070">
              <w:rPr>
                <w:rFonts w:ascii="Calibri" w:eastAsia="Calibri" w:hAnsi="Calibri" w:cs="Calibri"/>
                <w:color w:val="000000"/>
                <w:lang w:val="en-US" w:eastAsia="cs-CZ"/>
              </w:rPr>
              <w:t xml:space="preserve">Purchase will be included in the </w:t>
            </w:r>
            <w:r w:rsidRPr="00FC7A93">
              <w:rPr>
                <w:rFonts w:ascii="Calibri" w:eastAsia="Calibri" w:hAnsi="Calibri" w:cs="Calibri"/>
                <w:color w:val="000000"/>
                <w:u w:val="single"/>
                <w:lang w:val="en-US" w:eastAsia="cs-CZ"/>
              </w:rPr>
              <w:t>Final Delivery Report</w:t>
            </w:r>
            <w:r w:rsidRPr="00576070">
              <w:rPr>
                <w:rFonts w:ascii="Calibri" w:eastAsia="Calibri" w:hAnsi="Calibri" w:cs="Calibri"/>
                <w:color w:val="000000"/>
                <w:lang w:val="en-US" w:eastAsia="cs-CZ"/>
              </w:rPr>
              <w:t>.</w:t>
            </w:r>
          </w:p>
        </w:tc>
        <w:tc>
          <w:tcPr>
            <w:tcW w:w="78" w:type="pct"/>
            <w:shd w:val="clear" w:color="auto" w:fill="auto"/>
            <w:vAlign w:val="center"/>
          </w:tcPr>
          <w:p w:rsidR="00F709CD" w:rsidRPr="0026746B" w:rsidRDefault="00F709CD"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F709CD" w:rsidRPr="00093A52" w:rsidRDefault="00F709CD" w:rsidP="00251DBB">
            <w:pPr>
              <w:pStyle w:val="Odstavecseseznamem"/>
              <w:numPr>
                <w:ilvl w:val="0"/>
                <w:numId w:val="24"/>
              </w:numPr>
              <w:spacing w:before="120" w:after="0" w:line="240" w:lineRule="auto"/>
              <w:jc w:val="both"/>
              <w:rPr>
                <w:rFonts w:ascii="Calibri" w:eastAsia="Calibri" w:hAnsi="Calibri" w:cs="Calibri"/>
                <w:color w:val="000000"/>
                <w:lang w:eastAsia="cs-CZ"/>
              </w:rPr>
            </w:pPr>
            <w:r w:rsidRPr="00093A52">
              <w:rPr>
                <w:rFonts w:ascii="Calibri" w:eastAsia="Calibri" w:hAnsi="Calibri" w:cs="Calibri"/>
                <w:color w:val="000000"/>
                <w:lang w:eastAsia="cs-CZ"/>
              </w:rPr>
              <w:t>Zbývající část kupní ceny</w:t>
            </w:r>
            <w:r w:rsidR="00781A92">
              <w:rPr>
                <w:rFonts w:ascii="Calibri" w:eastAsia="Calibri" w:hAnsi="Calibri" w:cs="Calibri"/>
                <w:color w:val="000000"/>
                <w:lang w:eastAsia="cs-CZ"/>
              </w:rPr>
              <w:t>, tj. 10% včetně DPH,</w:t>
            </w:r>
            <w:r w:rsidRPr="00093A52">
              <w:rPr>
                <w:rFonts w:ascii="Calibri" w:eastAsia="Calibri" w:hAnsi="Calibri" w:cs="Calibri"/>
                <w:color w:val="000000"/>
                <w:lang w:eastAsia="cs-CZ"/>
              </w:rPr>
              <w:t xml:space="preserve"> je Prodávající oprávněn fakturovat po kompletní instalaci</w:t>
            </w:r>
            <w:r w:rsidR="00781A92">
              <w:rPr>
                <w:rFonts w:ascii="Calibri" w:eastAsia="Calibri" w:hAnsi="Calibri" w:cs="Calibri"/>
                <w:color w:val="000000"/>
                <w:lang w:eastAsia="cs-CZ"/>
              </w:rPr>
              <w:t xml:space="preserve"> Předmětu koupě a prokázání</w:t>
            </w:r>
            <w:r w:rsidR="00175864">
              <w:rPr>
                <w:rFonts w:ascii="Calibri" w:eastAsia="Calibri" w:hAnsi="Calibri" w:cs="Calibri"/>
                <w:color w:val="000000"/>
                <w:lang w:eastAsia="cs-CZ"/>
              </w:rPr>
              <w:t xml:space="preserve"> plné kompatibility Předmětu koupě. Záznamy z měření, kterými bud</w:t>
            </w:r>
            <w:r w:rsidR="00251DBB">
              <w:rPr>
                <w:rFonts w:ascii="Calibri" w:eastAsia="Calibri" w:hAnsi="Calibri" w:cs="Calibri"/>
                <w:color w:val="000000"/>
                <w:lang w:eastAsia="cs-CZ"/>
              </w:rPr>
              <w:t>e</w:t>
            </w:r>
            <w:r w:rsidR="00175864">
              <w:rPr>
                <w:rFonts w:ascii="Calibri" w:eastAsia="Calibri" w:hAnsi="Calibri" w:cs="Calibri"/>
                <w:color w:val="000000"/>
                <w:lang w:eastAsia="cs-CZ"/>
              </w:rPr>
              <w:t xml:space="preserve"> prokázán</w:t>
            </w:r>
            <w:r w:rsidR="00251DBB">
              <w:rPr>
                <w:rFonts w:ascii="Calibri" w:eastAsia="Calibri" w:hAnsi="Calibri" w:cs="Calibri"/>
                <w:color w:val="000000"/>
                <w:lang w:eastAsia="cs-CZ"/>
              </w:rPr>
              <w:t>a</w:t>
            </w:r>
            <w:r w:rsidR="00175864">
              <w:rPr>
                <w:rFonts w:ascii="Calibri" w:eastAsia="Calibri" w:hAnsi="Calibri" w:cs="Calibri"/>
                <w:color w:val="000000"/>
                <w:lang w:eastAsia="cs-CZ"/>
              </w:rPr>
              <w:t xml:space="preserve"> </w:t>
            </w:r>
            <w:r w:rsidR="00251DBB">
              <w:rPr>
                <w:rFonts w:ascii="Calibri" w:eastAsia="Calibri" w:hAnsi="Calibri" w:cs="Calibri"/>
                <w:color w:val="000000"/>
                <w:lang w:eastAsia="cs-CZ"/>
              </w:rPr>
              <w:t>kompatibilita a požadované</w:t>
            </w:r>
            <w:r w:rsidR="00175864">
              <w:rPr>
                <w:rFonts w:ascii="Calibri" w:eastAsia="Calibri" w:hAnsi="Calibri" w:cs="Calibri"/>
                <w:color w:val="000000"/>
                <w:lang w:eastAsia="cs-CZ"/>
              </w:rPr>
              <w:t xml:space="preserve"> vlastnosti Předmětu koupě, budou součástí </w:t>
            </w:r>
            <w:r w:rsidR="00175864" w:rsidRPr="00FC7A93">
              <w:rPr>
                <w:rFonts w:ascii="Calibri" w:eastAsia="Calibri" w:hAnsi="Calibri" w:cs="Calibri"/>
                <w:color w:val="000000"/>
                <w:u w:val="single"/>
                <w:lang w:eastAsia="cs-CZ"/>
              </w:rPr>
              <w:t>Závěrečného předávacího protokolu</w:t>
            </w:r>
            <w:r w:rsidR="00175864">
              <w:rPr>
                <w:rFonts w:ascii="Calibri" w:eastAsia="Calibri" w:hAnsi="Calibri" w:cs="Calibri"/>
                <w:color w:val="000000"/>
                <w:lang w:eastAsia="cs-CZ"/>
              </w:rPr>
              <w:t>.</w:t>
            </w:r>
          </w:p>
        </w:tc>
      </w:tr>
      <w:tr w:rsidR="00F709CD" w:rsidRPr="0026746B" w:rsidTr="004C60F8">
        <w:trPr>
          <w:trHeight w:val="300"/>
        </w:trPr>
        <w:tc>
          <w:tcPr>
            <w:tcW w:w="2500" w:type="pct"/>
            <w:shd w:val="clear" w:color="auto" w:fill="auto"/>
            <w:vAlign w:val="center"/>
          </w:tcPr>
          <w:p w:rsidR="00F709CD" w:rsidRPr="0026746B" w:rsidRDefault="00F709CD" w:rsidP="0026746B">
            <w:pPr>
              <w:spacing w:after="0" w:line="240" w:lineRule="auto"/>
              <w:jc w:val="both"/>
              <w:rPr>
                <w:rFonts w:ascii="Calibri" w:eastAsia="Times New Roman" w:hAnsi="Calibri" w:cs="Calibri"/>
                <w:color w:val="000000"/>
                <w:lang w:eastAsia="cs-CZ"/>
              </w:rPr>
            </w:pPr>
          </w:p>
        </w:tc>
        <w:tc>
          <w:tcPr>
            <w:tcW w:w="78" w:type="pct"/>
            <w:shd w:val="clear" w:color="auto" w:fill="auto"/>
            <w:vAlign w:val="center"/>
          </w:tcPr>
          <w:p w:rsidR="00F709CD" w:rsidRPr="0026746B" w:rsidRDefault="00F709CD"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F709CD" w:rsidRPr="0026746B" w:rsidRDefault="00F709CD" w:rsidP="0026746B">
            <w:pPr>
              <w:spacing w:after="0" w:line="240" w:lineRule="auto"/>
              <w:jc w:val="both"/>
              <w:rPr>
                <w:rFonts w:ascii="Times New Roman" w:eastAsia="Times New Roman" w:hAnsi="Times New Roman" w:cs="Times New Roman"/>
                <w:sz w:val="20"/>
                <w:szCs w:val="20"/>
                <w:lang w:eastAsia="cs-CZ"/>
              </w:rPr>
            </w:pPr>
          </w:p>
        </w:tc>
      </w:tr>
      <w:tr w:rsidR="00F709CD" w:rsidRPr="0026746B" w:rsidTr="004C60F8">
        <w:trPr>
          <w:trHeight w:val="300"/>
        </w:trPr>
        <w:tc>
          <w:tcPr>
            <w:tcW w:w="2500" w:type="pct"/>
            <w:shd w:val="clear" w:color="auto" w:fill="auto"/>
            <w:vAlign w:val="center"/>
          </w:tcPr>
          <w:p w:rsidR="00F709CD" w:rsidRPr="0026746B" w:rsidRDefault="00F709CD" w:rsidP="0026746B">
            <w:pPr>
              <w:spacing w:after="0" w:line="240" w:lineRule="auto"/>
              <w:jc w:val="both"/>
              <w:rPr>
                <w:rFonts w:ascii="Calibri" w:eastAsia="Times New Roman" w:hAnsi="Calibri" w:cs="Calibri"/>
                <w:color w:val="000000"/>
                <w:lang w:eastAsia="cs-CZ"/>
              </w:rPr>
            </w:pPr>
          </w:p>
        </w:tc>
        <w:tc>
          <w:tcPr>
            <w:tcW w:w="78" w:type="pct"/>
            <w:shd w:val="clear" w:color="auto" w:fill="auto"/>
            <w:vAlign w:val="center"/>
          </w:tcPr>
          <w:p w:rsidR="00F709CD" w:rsidRPr="0026746B" w:rsidRDefault="00F709CD"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F709CD" w:rsidRPr="0026746B" w:rsidRDefault="00F709CD" w:rsidP="0026746B">
            <w:pPr>
              <w:spacing w:after="0" w:line="240" w:lineRule="auto"/>
              <w:jc w:val="both"/>
              <w:rPr>
                <w:rFonts w:ascii="Times New Roman" w:eastAsia="Times New Roman" w:hAnsi="Times New Roman" w:cs="Times New Roman"/>
                <w:sz w:val="20"/>
                <w:szCs w:val="20"/>
                <w:lang w:eastAsia="cs-CZ"/>
              </w:rPr>
            </w:pPr>
          </w:p>
        </w:tc>
      </w:tr>
      <w:tr w:rsidR="0026746B" w:rsidRPr="0026746B" w:rsidTr="004C60F8">
        <w:trPr>
          <w:trHeight w:val="300"/>
        </w:trPr>
        <w:tc>
          <w:tcPr>
            <w:tcW w:w="2500" w:type="pct"/>
            <w:shd w:val="clear" w:color="auto" w:fill="auto"/>
            <w:vAlign w:val="center"/>
            <w:hideMark/>
          </w:tcPr>
          <w:p w:rsidR="0026746B" w:rsidRPr="0026746B" w:rsidRDefault="0026746B" w:rsidP="00282A62">
            <w:pPr>
              <w:pStyle w:val="Odstavecseseznamem"/>
              <w:numPr>
                <w:ilvl w:val="0"/>
                <w:numId w:val="1"/>
              </w:numPr>
              <w:spacing w:after="0" w:line="240" w:lineRule="auto"/>
              <w:jc w:val="center"/>
              <w:rPr>
                <w:rFonts w:ascii="Calibri" w:eastAsia="Calibri" w:hAnsi="Calibri" w:cs="Calibri"/>
                <w:b/>
                <w:bCs/>
                <w:color w:val="000000"/>
                <w:lang w:val="en-US" w:eastAsia="cs-CZ"/>
              </w:rPr>
            </w:pPr>
            <w:r w:rsidRPr="0026746B">
              <w:rPr>
                <w:rFonts w:ascii="Calibri" w:eastAsia="Calibri" w:hAnsi="Calibri" w:cs="Calibri"/>
                <w:b/>
                <w:bCs/>
                <w:color w:val="000000"/>
                <w:lang w:val="en-US" w:eastAsia="cs-CZ"/>
              </w:rPr>
              <w:t>PLACE AND TIME OF PERFORMANCE</w:t>
            </w:r>
          </w:p>
        </w:tc>
        <w:tc>
          <w:tcPr>
            <w:tcW w:w="78" w:type="pct"/>
            <w:shd w:val="clear" w:color="auto" w:fill="auto"/>
            <w:vAlign w:val="center"/>
            <w:hideMark/>
          </w:tcPr>
          <w:p w:rsidR="0026746B" w:rsidRPr="0026746B" w:rsidRDefault="0026746B" w:rsidP="0026746B">
            <w:pPr>
              <w:spacing w:after="0" w:line="240" w:lineRule="auto"/>
              <w:jc w:val="center"/>
              <w:rPr>
                <w:rFonts w:ascii="Calibri" w:eastAsia="Times New Roman" w:hAnsi="Calibri" w:cs="Calibri"/>
                <w:b/>
                <w:bCs/>
                <w:color w:val="000000"/>
                <w:lang w:eastAsia="cs-CZ"/>
              </w:rPr>
            </w:pPr>
          </w:p>
        </w:tc>
        <w:tc>
          <w:tcPr>
            <w:tcW w:w="2422" w:type="pct"/>
            <w:shd w:val="clear" w:color="auto" w:fill="auto"/>
            <w:vAlign w:val="center"/>
            <w:hideMark/>
          </w:tcPr>
          <w:p w:rsidR="0026746B" w:rsidRPr="0026746B" w:rsidRDefault="0026746B" w:rsidP="00282A62">
            <w:pPr>
              <w:pStyle w:val="Odstavecseseznamem"/>
              <w:numPr>
                <w:ilvl w:val="0"/>
                <w:numId w:val="2"/>
              </w:numPr>
              <w:spacing w:after="0" w:line="240" w:lineRule="auto"/>
              <w:jc w:val="center"/>
              <w:rPr>
                <w:rFonts w:ascii="Calibri" w:eastAsia="Calibri" w:hAnsi="Calibri" w:cs="Calibri"/>
                <w:b/>
                <w:bCs/>
                <w:color w:val="000000"/>
                <w:lang w:val="en-US" w:eastAsia="cs-CZ"/>
              </w:rPr>
            </w:pPr>
            <w:bookmarkStart w:id="3" w:name="RANGE!C51"/>
            <w:r w:rsidRPr="0026746B">
              <w:rPr>
                <w:rFonts w:ascii="Calibri" w:eastAsia="Calibri" w:hAnsi="Calibri" w:cs="Calibri"/>
                <w:b/>
                <w:bCs/>
                <w:color w:val="000000"/>
                <w:lang w:val="en-US" w:eastAsia="cs-CZ"/>
              </w:rPr>
              <w:t>MÍSTO A ČAS PLNĚNÍ</w:t>
            </w:r>
            <w:bookmarkEnd w:id="3"/>
          </w:p>
        </w:tc>
      </w:tr>
      <w:tr w:rsidR="0026746B" w:rsidRPr="0026746B" w:rsidTr="004C60F8">
        <w:trPr>
          <w:trHeight w:val="600"/>
        </w:trPr>
        <w:tc>
          <w:tcPr>
            <w:tcW w:w="2500" w:type="pct"/>
            <w:shd w:val="clear" w:color="auto" w:fill="auto"/>
            <w:vAlign w:val="center"/>
            <w:hideMark/>
          </w:tcPr>
          <w:p w:rsidR="00443972" w:rsidRPr="00443972" w:rsidRDefault="0026746B" w:rsidP="00251DBB">
            <w:pPr>
              <w:pStyle w:val="Odstavecseseznamem"/>
              <w:numPr>
                <w:ilvl w:val="0"/>
                <w:numId w:val="11"/>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The Seller agrees to deliver the Object of Purchase defined above</w:t>
            </w:r>
            <w:r w:rsidR="0030799B">
              <w:rPr>
                <w:rFonts w:ascii="Calibri" w:eastAsia="Calibri" w:hAnsi="Calibri" w:cs="Calibri"/>
                <w:color w:val="000000"/>
                <w:lang w:val="en-US" w:eastAsia="cs-CZ"/>
              </w:rPr>
              <w:t xml:space="preserve"> to the Buyer</w:t>
            </w:r>
            <w:r w:rsidR="00251DBB">
              <w:rPr>
                <w:rFonts w:ascii="Calibri" w:eastAsia="Calibri" w:hAnsi="Calibri" w:cs="Calibri"/>
                <w:color w:val="000000"/>
                <w:lang w:val="en-US" w:eastAsia="cs-CZ"/>
              </w:rPr>
              <w:t xml:space="preserve"> in these terms:</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2422" w:type="pct"/>
            <w:shd w:val="clear" w:color="auto" w:fill="auto"/>
            <w:hideMark/>
          </w:tcPr>
          <w:p w:rsidR="0026746B" w:rsidRPr="00576070" w:rsidRDefault="0026746B" w:rsidP="00DF40D9">
            <w:pPr>
              <w:pStyle w:val="Odstavecseseznamem"/>
              <w:numPr>
                <w:ilvl w:val="0"/>
                <w:numId w:val="12"/>
              </w:numPr>
              <w:spacing w:after="0" w:line="240" w:lineRule="auto"/>
              <w:jc w:val="both"/>
              <w:rPr>
                <w:rFonts w:ascii="Calibri" w:eastAsia="Calibri" w:hAnsi="Calibri" w:cs="Calibri"/>
                <w:color w:val="000000"/>
                <w:lang w:eastAsia="cs-CZ"/>
              </w:rPr>
            </w:pPr>
            <w:r w:rsidRPr="00576070">
              <w:rPr>
                <w:rFonts w:ascii="Calibri" w:eastAsia="Calibri" w:hAnsi="Calibri" w:cs="Calibri"/>
                <w:color w:val="000000"/>
                <w:lang w:eastAsia="cs-CZ"/>
              </w:rPr>
              <w:t>Prodávající se zavazuje odevzdat Kupujícímu shora uvedený Předmět koupě</w:t>
            </w:r>
            <w:r w:rsidR="00DF40D9" w:rsidRPr="00576070">
              <w:rPr>
                <w:rFonts w:ascii="Calibri" w:eastAsia="Calibri" w:hAnsi="Calibri" w:cs="Calibri"/>
                <w:color w:val="000000"/>
                <w:lang w:eastAsia="cs-CZ"/>
              </w:rPr>
              <w:t xml:space="preserve"> v těchto termínech:</w:t>
            </w:r>
          </w:p>
        </w:tc>
      </w:tr>
      <w:tr w:rsidR="00DF40D9" w:rsidRPr="0026746B" w:rsidTr="004C60F8">
        <w:trPr>
          <w:trHeight w:val="600"/>
        </w:trPr>
        <w:tc>
          <w:tcPr>
            <w:tcW w:w="2500" w:type="pct"/>
            <w:shd w:val="clear" w:color="auto" w:fill="auto"/>
            <w:vAlign w:val="center"/>
          </w:tcPr>
          <w:p w:rsidR="00DF40D9" w:rsidRPr="00576070" w:rsidRDefault="00251DBB" w:rsidP="00251DBB">
            <w:pPr>
              <w:pStyle w:val="Odstavecseseznamem"/>
              <w:numPr>
                <w:ilvl w:val="0"/>
                <w:numId w:val="26"/>
              </w:numPr>
              <w:spacing w:after="0" w:line="240" w:lineRule="auto"/>
              <w:jc w:val="both"/>
              <w:rPr>
                <w:rFonts w:ascii="Calibri" w:eastAsia="Calibri" w:hAnsi="Calibri" w:cs="Calibri"/>
                <w:color w:val="000000"/>
                <w:lang w:val="en-US" w:eastAsia="cs-CZ"/>
              </w:rPr>
            </w:pPr>
            <w:r w:rsidRPr="00576070">
              <w:rPr>
                <w:lang w:val="en"/>
              </w:rPr>
              <w:t>The deadline to submit the 3D model of the Object of Purchase in the STEP file format is within 1 month from the date of conclusion of the Contract.</w:t>
            </w:r>
          </w:p>
        </w:tc>
        <w:tc>
          <w:tcPr>
            <w:tcW w:w="78" w:type="pct"/>
            <w:shd w:val="clear" w:color="auto" w:fill="auto"/>
            <w:vAlign w:val="center"/>
          </w:tcPr>
          <w:p w:rsidR="00DF40D9" w:rsidRPr="0026746B" w:rsidRDefault="00DF40D9" w:rsidP="0026746B">
            <w:pPr>
              <w:spacing w:after="0" w:line="240" w:lineRule="auto"/>
              <w:jc w:val="both"/>
              <w:rPr>
                <w:rFonts w:ascii="Calibri" w:eastAsia="Times New Roman" w:hAnsi="Calibri" w:cs="Calibri"/>
                <w:color w:val="000000"/>
                <w:lang w:eastAsia="cs-CZ"/>
              </w:rPr>
            </w:pPr>
          </w:p>
        </w:tc>
        <w:tc>
          <w:tcPr>
            <w:tcW w:w="2422" w:type="pct"/>
            <w:shd w:val="clear" w:color="auto" w:fill="auto"/>
          </w:tcPr>
          <w:p w:rsidR="00DF40D9" w:rsidRPr="005A7AA7" w:rsidRDefault="00DF40D9" w:rsidP="00DF40D9">
            <w:pPr>
              <w:pStyle w:val="Odstavecseseznamem"/>
              <w:numPr>
                <w:ilvl w:val="0"/>
                <w:numId w:val="25"/>
              </w:numPr>
              <w:spacing w:after="0" w:line="240" w:lineRule="auto"/>
              <w:jc w:val="both"/>
              <w:rPr>
                <w:rFonts w:ascii="Calibri" w:eastAsia="Calibri" w:hAnsi="Calibri" w:cs="Calibri"/>
                <w:color w:val="000000"/>
                <w:lang w:eastAsia="cs-CZ"/>
              </w:rPr>
            </w:pPr>
            <w:r w:rsidRPr="00DF40D9">
              <w:rPr>
                <w:rFonts w:ascii="Calibri" w:hAnsi="Calibri"/>
              </w:rPr>
              <w:t xml:space="preserve">Termín </w:t>
            </w:r>
            <w:r>
              <w:rPr>
                <w:rFonts w:ascii="Calibri" w:hAnsi="Calibri"/>
              </w:rPr>
              <w:t xml:space="preserve">předání </w:t>
            </w:r>
            <w:r w:rsidRPr="00DF40D9">
              <w:rPr>
                <w:rFonts w:ascii="Calibri" w:eastAsia="Times New Roman" w:hAnsi="Calibri" w:cs="Calibri"/>
                <w:color w:val="000000"/>
                <w:lang w:eastAsia="cs-CZ"/>
              </w:rPr>
              <w:t xml:space="preserve">3D modelu Předmětu koupě ve formátu STEP file </w:t>
            </w:r>
            <w:r w:rsidR="00737A03">
              <w:rPr>
                <w:rFonts w:ascii="Calibri" w:eastAsia="Times New Roman" w:hAnsi="Calibri" w:cs="Calibri"/>
                <w:color w:val="000000"/>
                <w:lang w:eastAsia="cs-CZ"/>
              </w:rPr>
              <w:t xml:space="preserve">nejpozději </w:t>
            </w:r>
            <w:r w:rsidRPr="00DF40D9">
              <w:rPr>
                <w:rFonts w:ascii="Calibri" w:eastAsia="Times New Roman" w:hAnsi="Calibri" w:cs="Calibri"/>
                <w:b/>
                <w:color w:val="000000"/>
                <w:lang w:eastAsia="cs-CZ"/>
              </w:rPr>
              <w:t>do 1 měsíce</w:t>
            </w:r>
            <w:r w:rsidRPr="00DF40D9">
              <w:rPr>
                <w:rFonts w:ascii="Calibri" w:eastAsia="Times New Roman" w:hAnsi="Calibri" w:cs="Calibri"/>
                <w:color w:val="000000"/>
                <w:lang w:eastAsia="cs-CZ"/>
              </w:rPr>
              <w:t xml:space="preserve"> ode dne uzavření smlouvy.</w:t>
            </w:r>
          </w:p>
        </w:tc>
      </w:tr>
      <w:tr w:rsidR="00DF40D9" w:rsidRPr="0026746B" w:rsidTr="004C60F8">
        <w:trPr>
          <w:trHeight w:val="600"/>
        </w:trPr>
        <w:tc>
          <w:tcPr>
            <w:tcW w:w="2500" w:type="pct"/>
            <w:shd w:val="clear" w:color="auto" w:fill="auto"/>
            <w:vAlign w:val="center"/>
          </w:tcPr>
          <w:p w:rsidR="00DF40D9" w:rsidRPr="00576070" w:rsidRDefault="00251DBB" w:rsidP="00251DBB">
            <w:pPr>
              <w:pStyle w:val="Odstavecseseznamem"/>
              <w:numPr>
                <w:ilvl w:val="0"/>
                <w:numId w:val="26"/>
              </w:numPr>
              <w:spacing w:after="0" w:line="240" w:lineRule="auto"/>
              <w:jc w:val="both"/>
              <w:rPr>
                <w:rFonts w:ascii="Calibri" w:eastAsia="Calibri" w:hAnsi="Calibri" w:cs="Calibri"/>
                <w:color w:val="000000"/>
                <w:lang w:val="en-US" w:eastAsia="cs-CZ"/>
              </w:rPr>
            </w:pPr>
            <w:r w:rsidRPr="00576070">
              <w:rPr>
                <w:lang w:val="en"/>
              </w:rPr>
              <w:t>The date of delivery and acceptance of the Object of Purchase, including proof of full compatibility of the Object of Purchase is within 9 months from the date of conclusion of the Contract</w:t>
            </w:r>
          </w:p>
        </w:tc>
        <w:tc>
          <w:tcPr>
            <w:tcW w:w="78" w:type="pct"/>
            <w:shd w:val="clear" w:color="auto" w:fill="auto"/>
            <w:vAlign w:val="center"/>
          </w:tcPr>
          <w:p w:rsidR="00DF40D9" w:rsidRPr="0026746B" w:rsidRDefault="00DF40D9" w:rsidP="0026746B">
            <w:pPr>
              <w:spacing w:after="0" w:line="240" w:lineRule="auto"/>
              <w:jc w:val="both"/>
              <w:rPr>
                <w:rFonts w:ascii="Calibri" w:eastAsia="Times New Roman" w:hAnsi="Calibri" w:cs="Calibri"/>
                <w:color w:val="000000"/>
                <w:lang w:eastAsia="cs-CZ"/>
              </w:rPr>
            </w:pPr>
          </w:p>
        </w:tc>
        <w:tc>
          <w:tcPr>
            <w:tcW w:w="2422" w:type="pct"/>
            <w:shd w:val="clear" w:color="auto" w:fill="auto"/>
          </w:tcPr>
          <w:p w:rsidR="00DF40D9" w:rsidRPr="00576070" w:rsidRDefault="00DF40D9" w:rsidP="00DF40D9">
            <w:pPr>
              <w:pStyle w:val="Odstavecseseznamem"/>
              <w:numPr>
                <w:ilvl w:val="0"/>
                <w:numId w:val="25"/>
              </w:numPr>
              <w:spacing w:after="0" w:line="240" w:lineRule="auto"/>
              <w:jc w:val="both"/>
              <w:rPr>
                <w:rFonts w:ascii="Calibri" w:eastAsia="Calibri" w:hAnsi="Calibri" w:cs="Calibri"/>
                <w:color w:val="000000"/>
                <w:lang w:eastAsia="cs-CZ"/>
              </w:rPr>
            </w:pPr>
            <w:r w:rsidRPr="00576070">
              <w:rPr>
                <w:rFonts w:ascii="Calibri" w:eastAsia="Calibri" w:hAnsi="Calibri" w:cs="Calibri"/>
                <w:color w:val="000000"/>
                <w:lang w:eastAsia="cs-CZ"/>
              </w:rPr>
              <w:t xml:space="preserve">Termín předání a převzetí Předmětu koupě včetně prokázání plné kompatibility Předmětu koupě </w:t>
            </w:r>
            <w:r w:rsidR="00737A03" w:rsidRPr="00576070">
              <w:rPr>
                <w:rFonts w:ascii="Calibri" w:eastAsia="Calibri" w:hAnsi="Calibri" w:cs="Calibri"/>
                <w:color w:val="000000"/>
                <w:lang w:eastAsia="cs-CZ"/>
              </w:rPr>
              <w:t xml:space="preserve">nejpozději </w:t>
            </w:r>
            <w:r w:rsidRPr="00576070">
              <w:rPr>
                <w:rFonts w:ascii="Calibri" w:eastAsia="Calibri" w:hAnsi="Calibri" w:cs="Calibri"/>
                <w:b/>
                <w:color w:val="000000"/>
                <w:lang w:eastAsia="cs-CZ"/>
              </w:rPr>
              <w:t>do 9 měsíců</w:t>
            </w:r>
            <w:r w:rsidRPr="00576070">
              <w:rPr>
                <w:rFonts w:ascii="Calibri" w:eastAsia="Calibri" w:hAnsi="Calibri" w:cs="Calibri"/>
                <w:color w:val="000000"/>
                <w:lang w:eastAsia="cs-CZ"/>
              </w:rPr>
              <w:t xml:space="preserve"> ode dne uzavření smlouvy</w:t>
            </w:r>
          </w:p>
        </w:tc>
      </w:tr>
      <w:tr w:rsidR="0026746B" w:rsidRPr="0026746B" w:rsidTr="004C60F8">
        <w:trPr>
          <w:trHeight w:val="900"/>
        </w:trPr>
        <w:tc>
          <w:tcPr>
            <w:tcW w:w="2500" w:type="pct"/>
            <w:shd w:val="clear" w:color="auto" w:fill="auto"/>
            <w:vAlign w:val="center"/>
            <w:hideMark/>
          </w:tcPr>
          <w:p w:rsidR="0026746B" w:rsidRPr="0026746B" w:rsidRDefault="0026746B" w:rsidP="0030799B">
            <w:pPr>
              <w:spacing w:before="120" w:after="120" w:line="240" w:lineRule="auto"/>
              <w:ind w:left="352"/>
              <w:jc w:val="both"/>
              <w:rPr>
                <w:rFonts w:ascii="Calibri" w:eastAsia="Times New Roman" w:hAnsi="Calibri" w:cs="Calibri"/>
                <w:color w:val="000000"/>
                <w:lang w:eastAsia="cs-CZ"/>
              </w:rPr>
            </w:pPr>
            <w:r w:rsidRPr="0026746B">
              <w:rPr>
                <w:rFonts w:ascii="Calibri" w:eastAsia="Times New Roman" w:hAnsi="Calibri" w:cs="Calibri"/>
                <w:color w:val="000000"/>
                <w:lang w:val="en-US" w:eastAsia="cs-CZ"/>
              </w:rPr>
              <w:t>The Seller has fulfilled its obligation to deliver the above-specified Object of Purchase once the Object of Purchase is accepted by the Buyer as faultless.</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2422" w:type="pct"/>
            <w:shd w:val="clear" w:color="auto" w:fill="auto"/>
            <w:hideMark/>
          </w:tcPr>
          <w:p w:rsidR="0026746B" w:rsidRPr="0026746B" w:rsidRDefault="0026746B" w:rsidP="00731A9E">
            <w:pPr>
              <w:spacing w:before="120" w:after="120" w:line="240" w:lineRule="auto"/>
              <w:ind w:left="369"/>
              <w:jc w:val="both"/>
              <w:rPr>
                <w:rFonts w:ascii="Calibri" w:eastAsia="Times New Roman" w:hAnsi="Calibri" w:cs="Calibri"/>
                <w:color w:val="000000"/>
                <w:lang w:eastAsia="cs-CZ"/>
              </w:rPr>
            </w:pPr>
            <w:r w:rsidRPr="0026746B">
              <w:rPr>
                <w:rFonts w:ascii="Calibri" w:eastAsia="Times New Roman" w:hAnsi="Calibri" w:cs="Calibri"/>
                <w:color w:val="000000"/>
                <w:lang w:eastAsia="cs-CZ"/>
              </w:rPr>
              <w:t>Prodávající splní svou povinnost odevzdat shora uvedený Předmět koupě tím, že tento bude převzat jako bezvadný Kupujícím.</w:t>
            </w:r>
          </w:p>
        </w:tc>
      </w:tr>
      <w:tr w:rsidR="0026746B" w:rsidRPr="0026746B" w:rsidTr="004C60F8">
        <w:trPr>
          <w:trHeight w:val="2400"/>
        </w:trPr>
        <w:tc>
          <w:tcPr>
            <w:tcW w:w="2500" w:type="pct"/>
            <w:shd w:val="clear" w:color="auto" w:fill="auto"/>
            <w:vAlign w:val="center"/>
            <w:hideMark/>
          </w:tcPr>
          <w:p w:rsidR="0026746B" w:rsidRPr="0026746B" w:rsidRDefault="0026746B" w:rsidP="00443972">
            <w:pPr>
              <w:pStyle w:val="Odstavecseseznamem"/>
              <w:numPr>
                <w:ilvl w:val="0"/>
                <w:numId w:val="11"/>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At the same time, with view to the nature of the Object of Purchase the Seller agrees to provably notify the Buyer sufficiently in advance (at least 5 working days) of its intention to deliver the Object of Purchase, otherwise the Buyer is not obligated to take delivery of the Object of Purchase. If the Seller notifies the Buyer in time according to the previous sentence, the Buyer agrees to give the Seller access to the place of performance.</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26746B" w:rsidRPr="00576070" w:rsidRDefault="0026746B" w:rsidP="00737A03">
            <w:pPr>
              <w:pStyle w:val="Odstavecseseznamem"/>
              <w:numPr>
                <w:ilvl w:val="0"/>
                <w:numId w:val="12"/>
              </w:numPr>
              <w:spacing w:after="0" w:line="240" w:lineRule="auto"/>
              <w:jc w:val="both"/>
              <w:rPr>
                <w:rFonts w:ascii="Calibri" w:eastAsia="Calibri" w:hAnsi="Calibri" w:cs="Calibri"/>
                <w:color w:val="000000"/>
                <w:lang w:eastAsia="cs-CZ"/>
              </w:rPr>
            </w:pPr>
            <w:r w:rsidRPr="00576070">
              <w:rPr>
                <w:rFonts w:ascii="Calibri" w:eastAsia="Calibri" w:hAnsi="Calibri" w:cs="Calibri"/>
                <w:color w:val="000000"/>
                <w:lang w:eastAsia="cs-CZ"/>
              </w:rPr>
              <w:t>Prodávající se současně zavazuje, že s ohledem na povahu Předmětu koupě Kupujícího s dostatečným časovým předstihem (minimálně 5 pracovních dnů) prokazatelně uvědomí o tom, že má v úmyslu Předmět koupě</w:t>
            </w:r>
            <w:r w:rsidR="00737A03" w:rsidRPr="00576070">
              <w:rPr>
                <w:rFonts w:ascii="Calibri" w:eastAsia="Calibri" w:hAnsi="Calibri" w:cs="Calibri"/>
                <w:color w:val="000000"/>
                <w:lang w:eastAsia="cs-CZ"/>
              </w:rPr>
              <w:t xml:space="preserve"> nebo část Předmětu koupě </w:t>
            </w:r>
            <w:r w:rsidRPr="00576070">
              <w:rPr>
                <w:rFonts w:ascii="Calibri" w:eastAsia="Calibri" w:hAnsi="Calibri" w:cs="Calibri"/>
                <w:color w:val="000000"/>
                <w:lang w:eastAsia="cs-CZ"/>
              </w:rPr>
              <w:t>odevzdat, jinak Kupující není povinen Předmět koupě</w:t>
            </w:r>
            <w:r w:rsidR="00737A03" w:rsidRPr="00576070">
              <w:rPr>
                <w:rFonts w:ascii="Calibri" w:eastAsia="Calibri" w:hAnsi="Calibri" w:cs="Calibri"/>
                <w:color w:val="000000"/>
                <w:lang w:eastAsia="cs-CZ"/>
              </w:rPr>
              <w:t xml:space="preserve"> nebo část Předmětu koupě</w:t>
            </w:r>
            <w:r w:rsidRPr="00576070">
              <w:rPr>
                <w:rFonts w:ascii="Calibri" w:eastAsia="Calibri" w:hAnsi="Calibri" w:cs="Calibri"/>
                <w:color w:val="000000"/>
                <w:lang w:eastAsia="cs-CZ"/>
              </w:rPr>
              <w:t xml:space="preserve"> převzít. V případě, že Prodávající včas uvědomí Kupujícího dle předchozí věty, zavazuje se Kupující umožnit Prodávajícímu přístup do místa plnění.</w:t>
            </w:r>
          </w:p>
        </w:tc>
      </w:tr>
      <w:tr w:rsidR="0026746B" w:rsidRPr="0026746B" w:rsidTr="004C60F8">
        <w:trPr>
          <w:trHeight w:val="600"/>
        </w:trPr>
        <w:tc>
          <w:tcPr>
            <w:tcW w:w="2500" w:type="pct"/>
            <w:shd w:val="clear" w:color="auto" w:fill="auto"/>
            <w:vAlign w:val="center"/>
            <w:hideMark/>
          </w:tcPr>
          <w:p w:rsidR="0026746B" w:rsidRDefault="0026746B" w:rsidP="00731A9E">
            <w:pPr>
              <w:pStyle w:val="Odstavecseseznamem"/>
              <w:numPr>
                <w:ilvl w:val="0"/>
                <w:numId w:val="11"/>
              </w:numPr>
              <w:spacing w:before="120" w:after="0" w:line="240" w:lineRule="auto"/>
              <w:ind w:left="357" w:hanging="357"/>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The Seller agrees to hand over the Object of Purchase at the below-specified place:</w:t>
            </w:r>
          </w:p>
          <w:p w:rsidR="00561D19" w:rsidRPr="00561D19" w:rsidRDefault="005B08D3" w:rsidP="005B08D3">
            <w:pPr>
              <w:spacing w:before="120" w:after="120"/>
              <w:ind w:left="369"/>
              <w:rPr>
                <w:rFonts w:ascii="Calibri" w:eastAsia="Calibri" w:hAnsi="Calibri" w:cs="Calibri"/>
                <w:color w:val="000000"/>
                <w:lang w:val="en-US" w:eastAsia="cs-CZ"/>
              </w:rPr>
            </w:pPr>
            <w:r>
              <w:t>Brno University of Technology</w:t>
            </w:r>
            <w:r w:rsidRPr="005B08D3">
              <w:t xml:space="preserve">, </w:t>
            </w:r>
            <w:r w:rsidRPr="005B08D3">
              <w:rPr>
                <w:rFonts w:ascii="Calibri" w:eastAsia="Times New Roman" w:hAnsi="Calibri" w:cs="Calibri"/>
                <w:bCs/>
                <w:color w:val="000000"/>
                <w:lang w:eastAsia="cs-CZ"/>
              </w:rPr>
              <w:t>Central European Institute of Technology</w:t>
            </w:r>
            <w:r w:rsidRPr="005B08D3">
              <w:t xml:space="preserve">, </w:t>
            </w:r>
            <w:r w:rsidRPr="005B08D3">
              <w:rPr>
                <w:rFonts w:cs="Arial"/>
              </w:rPr>
              <w:t>Purkyňova</w:t>
            </w:r>
            <w:r w:rsidRPr="00AE292A">
              <w:rPr>
                <w:rFonts w:cs="Arial"/>
              </w:rPr>
              <w:t xml:space="preserve"> 123, 612 00 Brno</w:t>
            </w:r>
            <w:r>
              <w:rPr>
                <w:rFonts w:cs="Arial"/>
              </w:rPr>
              <w:t>, Czech Republic</w:t>
            </w:r>
            <w:r w:rsidR="00D67D7B">
              <w:rPr>
                <w:rFonts w:cs="Arial"/>
              </w:rPr>
              <w:t xml:space="preserve">; </w:t>
            </w:r>
            <w:proofErr w:type="spellStart"/>
            <w:r w:rsidR="00D67D7B">
              <w:rPr>
                <w:rFonts w:cs="Arial"/>
              </w:rPr>
              <w:t>building</w:t>
            </w:r>
            <w:proofErr w:type="spellEnd"/>
            <w:r w:rsidR="00D67D7B">
              <w:rPr>
                <w:rFonts w:cs="Arial"/>
              </w:rPr>
              <w:t xml:space="preserve"> C</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26746B" w:rsidRPr="001C323F" w:rsidRDefault="0026746B" w:rsidP="00731A9E">
            <w:pPr>
              <w:pStyle w:val="Odstavecseseznamem"/>
              <w:numPr>
                <w:ilvl w:val="0"/>
                <w:numId w:val="12"/>
              </w:numPr>
              <w:spacing w:before="120" w:after="0" w:line="240" w:lineRule="auto"/>
              <w:ind w:left="357" w:hanging="357"/>
              <w:jc w:val="both"/>
              <w:rPr>
                <w:rFonts w:ascii="Calibri" w:eastAsia="Calibri" w:hAnsi="Calibri" w:cs="Calibri"/>
                <w:color w:val="000000"/>
                <w:lang w:eastAsia="cs-CZ"/>
              </w:rPr>
            </w:pPr>
            <w:r w:rsidRPr="001C323F">
              <w:rPr>
                <w:rFonts w:ascii="Calibri" w:eastAsia="Calibri" w:hAnsi="Calibri" w:cs="Calibri"/>
                <w:color w:val="000000"/>
                <w:lang w:eastAsia="cs-CZ"/>
              </w:rPr>
              <w:t>Prodávající se zavazuje Předmět koupě odevzdat v níže uvedeném místě:</w:t>
            </w:r>
          </w:p>
          <w:p w:rsidR="00561D19" w:rsidRPr="001C323F" w:rsidRDefault="005B08D3" w:rsidP="005B08D3">
            <w:pPr>
              <w:spacing w:before="120" w:after="120"/>
              <w:ind w:left="369"/>
              <w:rPr>
                <w:rFonts w:ascii="Calibri" w:eastAsia="Calibri" w:hAnsi="Calibri" w:cs="Calibri"/>
                <w:color w:val="000000"/>
                <w:lang w:eastAsia="cs-CZ"/>
              </w:rPr>
            </w:pPr>
            <w:r w:rsidRPr="001C323F">
              <w:t xml:space="preserve">Vysoké učení technické v Brně, Středoevropský technologický institut, </w:t>
            </w:r>
            <w:r w:rsidRPr="001C323F">
              <w:rPr>
                <w:rFonts w:cs="Arial"/>
              </w:rPr>
              <w:t>Purkyňova 123, 612 00 Brno, Česká republ</w:t>
            </w:r>
            <w:r w:rsidR="00D67D7B">
              <w:rPr>
                <w:rFonts w:cs="Arial"/>
              </w:rPr>
              <w:t>ika; budova C</w:t>
            </w:r>
          </w:p>
        </w:tc>
      </w:tr>
      <w:tr w:rsidR="0026746B" w:rsidRPr="0026746B" w:rsidTr="004C60F8">
        <w:trPr>
          <w:trHeight w:val="900"/>
        </w:trPr>
        <w:tc>
          <w:tcPr>
            <w:tcW w:w="2500" w:type="pct"/>
            <w:shd w:val="clear" w:color="auto" w:fill="auto"/>
            <w:vAlign w:val="center"/>
            <w:hideMark/>
          </w:tcPr>
          <w:p w:rsidR="0026746B" w:rsidRDefault="0026746B" w:rsidP="00443972">
            <w:pPr>
              <w:pStyle w:val="Odstavecseseznamem"/>
              <w:numPr>
                <w:ilvl w:val="0"/>
                <w:numId w:val="11"/>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lastRenderedPageBreak/>
              <w:t>The Buyer declares that the person authorized to accept the Object of Purchase and sign the acceptance certificate on Buyer’s behalf is:</w:t>
            </w:r>
          </w:p>
          <w:p w:rsidR="00D271BB" w:rsidRDefault="00D271BB" w:rsidP="00303335">
            <w:pPr>
              <w:spacing w:before="120" w:after="0" w:line="240" w:lineRule="auto"/>
              <w:ind w:left="357"/>
              <w:rPr>
                <w:rFonts w:ascii="Calibri" w:eastAsia="Calibri" w:hAnsi="Calibri" w:cs="Calibri"/>
                <w:color w:val="000000"/>
                <w:lang w:val="de-DE" w:eastAsia="cs-CZ"/>
              </w:rPr>
            </w:pPr>
          </w:p>
          <w:p w:rsidR="00561D19" w:rsidRPr="005A7AA7" w:rsidRDefault="00B07E35" w:rsidP="00303335">
            <w:pPr>
              <w:spacing w:before="120" w:after="0" w:line="240" w:lineRule="auto"/>
              <w:ind w:left="357"/>
              <w:rPr>
                <w:rFonts w:ascii="Calibri" w:eastAsia="Calibri" w:hAnsi="Calibri" w:cs="Calibri"/>
                <w:color w:val="000000"/>
                <w:lang w:val="de-DE" w:eastAsia="cs-CZ"/>
              </w:rPr>
            </w:pPr>
            <w:r w:rsidRPr="005A7AA7">
              <w:rPr>
                <w:rFonts w:ascii="Calibri" w:eastAsia="Calibri" w:hAnsi="Calibri" w:cs="Calibri"/>
                <w:color w:val="000000"/>
                <w:lang w:val="de-DE" w:eastAsia="cs-CZ"/>
              </w:rPr>
              <w:t xml:space="preserve">, </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26746B" w:rsidRPr="005A7AA7" w:rsidRDefault="0026746B" w:rsidP="00443972">
            <w:pPr>
              <w:pStyle w:val="Odstavecseseznamem"/>
              <w:numPr>
                <w:ilvl w:val="0"/>
                <w:numId w:val="12"/>
              </w:numPr>
              <w:spacing w:after="0" w:line="240" w:lineRule="auto"/>
              <w:jc w:val="both"/>
              <w:rPr>
                <w:rFonts w:ascii="Calibri" w:eastAsia="Calibri" w:hAnsi="Calibri" w:cs="Calibri"/>
                <w:color w:val="000000"/>
                <w:lang w:eastAsia="cs-CZ"/>
              </w:rPr>
            </w:pPr>
            <w:r w:rsidRPr="005A7AA7">
              <w:rPr>
                <w:rFonts w:ascii="Calibri" w:eastAsia="Calibri" w:hAnsi="Calibri" w:cs="Calibri"/>
                <w:color w:val="000000"/>
                <w:lang w:eastAsia="cs-CZ"/>
              </w:rPr>
              <w:t>Kupující prohlašuje, že je jeho jménem oprávněn převzít Předmět koupě a podepsat předávací protokol:</w:t>
            </w:r>
          </w:p>
          <w:p w:rsidR="00D271BB" w:rsidRPr="00B92755" w:rsidRDefault="00D271BB" w:rsidP="00303335">
            <w:pPr>
              <w:spacing w:before="120" w:after="0" w:line="240" w:lineRule="auto"/>
              <w:ind w:left="357"/>
              <w:rPr>
                <w:rFonts w:ascii="Calibri" w:eastAsia="Calibri" w:hAnsi="Calibri" w:cs="Calibri"/>
                <w:color w:val="000000"/>
                <w:lang w:eastAsia="cs-CZ"/>
              </w:rPr>
            </w:pPr>
          </w:p>
          <w:p w:rsidR="00561D19" w:rsidRPr="00561D19" w:rsidRDefault="005B08D3" w:rsidP="00303335">
            <w:pPr>
              <w:spacing w:before="120" w:after="0" w:line="240" w:lineRule="auto"/>
              <w:ind w:left="357"/>
              <w:rPr>
                <w:rFonts w:ascii="Calibri" w:eastAsia="Calibri" w:hAnsi="Calibri" w:cs="Calibri"/>
                <w:color w:val="000000"/>
                <w:lang w:val="en-US" w:eastAsia="cs-CZ"/>
              </w:rPr>
            </w:pPr>
            <w:r w:rsidRPr="00B07E35">
              <w:rPr>
                <w:rFonts w:ascii="Calibri" w:eastAsia="Calibri" w:hAnsi="Calibri" w:cs="Calibri"/>
                <w:color w:val="000000"/>
                <w:lang w:val="en-US" w:eastAsia="cs-CZ"/>
              </w:rPr>
              <w:t>,</w:t>
            </w:r>
            <w:r w:rsidR="00B07E35" w:rsidRPr="00B07E35">
              <w:rPr>
                <w:rFonts w:ascii="Calibri" w:eastAsia="Calibri" w:hAnsi="Calibri" w:cs="Calibri"/>
                <w:color w:val="000000"/>
                <w:lang w:val="en-US" w:eastAsia="cs-CZ"/>
              </w:rPr>
              <w:t xml:space="preserve"> </w:t>
            </w:r>
          </w:p>
        </w:tc>
      </w:tr>
      <w:tr w:rsidR="0026746B" w:rsidRPr="0026746B" w:rsidTr="004C60F8">
        <w:trPr>
          <w:trHeight w:val="1200"/>
        </w:trPr>
        <w:tc>
          <w:tcPr>
            <w:tcW w:w="2500" w:type="pct"/>
            <w:shd w:val="clear" w:color="auto" w:fill="auto"/>
            <w:vAlign w:val="center"/>
            <w:hideMark/>
          </w:tcPr>
          <w:p w:rsidR="0026746B" w:rsidRPr="0026746B" w:rsidRDefault="0026746B" w:rsidP="00443972">
            <w:pPr>
              <w:pStyle w:val="Odstavecseseznamem"/>
              <w:numPr>
                <w:ilvl w:val="0"/>
                <w:numId w:val="11"/>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The Seller is aware that the Buyer explicitly requires the delivery of the entire necessary documentation to the Object of Purchase in accordance with Article IV clause 3 of the BUT General Purchase Terms and Conditions.</w:t>
            </w:r>
          </w:p>
        </w:tc>
        <w:tc>
          <w:tcPr>
            <w:tcW w:w="78"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2422" w:type="pct"/>
            <w:shd w:val="clear" w:color="auto" w:fill="auto"/>
            <w:hideMark/>
          </w:tcPr>
          <w:p w:rsidR="0026746B" w:rsidRPr="0026746B" w:rsidRDefault="0026746B" w:rsidP="00B07E35">
            <w:pPr>
              <w:pStyle w:val="Odstavecseseznamem"/>
              <w:numPr>
                <w:ilvl w:val="0"/>
                <w:numId w:val="12"/>
              </w:numPr>
              <w:spacing w:after="0" w:line="240" w:lineRule="auto"/>
              <w:rPr>
                <w:rFonts w:ascii="Calibri" w:eastAsia="Calibri" w:hAnsi="Calibri" w:cs="Calibri"/>
                <w:color w:val="000000"/>
                <w:lang w:val="en-US" w:eastAsia="cs-CZ"/>
              </w:rPr>
            </w:pPr>
            <w:r w:rsidRPr="005A7AA7">
              <w:rPr>
                <w:rFonts w:ascii="Calibri" w:eastAsia="Calibri" w:hAnsi="Calibri" w:cs="Calibri"/>
                <w:color w:val="000000"/>
                <w:lang w:eastAsia="cs-CZ"/>
              </w:rPr>
              <w:t xml:space="preserve">Prodávající bere na vědomí, že Kupující výslovně požaduje dodání veškeré nezbytné dokumentace Předmětu koupě v souladu s čl. </w:t>
            </w:r>
            <w:r w:rsidRPr="0026746B">
              <w:rPr>
                <w:rFonts w:ascii="Calibri" w:eastAsia="Calibri" w:hAnsi="Calibri" w:cs="Calibri"/>
                <w:color w:val="000000"/>
                <w:lang w:val="en-US" w:eastAsia="cs-CZ"/>
              </w:rPr>
              <w:t>IV </w:t>
            </w:r>
            <w:proofErr w:type="spellStart"/>
            <w:r w:rsidRPr="0026746B">
              <w:rPr>
                <w:rFonts w:ascii="Calibri" w:eastAsia="Calibri" w:hAnsi="Calibri" w:cs="Calibri"/>
                <w:color w:val="000000"/>
                <w:lang w:val="en-US" w:eastAsia="cs-CZ"/>
              </w:rPr>
              <w:t>odst</w:t>
            </w:r>
            <w:proofErr w:type="spellEnd"/>
            <w:r w:rsidRPr="0026746B">
              <w:rPr>
                <w:rFonts w:ascii="Calibri" w:eastAsia="Calibri" w:hAnsi="Calibri" w:cs="Calibri"/>
                <w:color w:val="000000"/>
                <w:lang w:val="en-US" w:eastAsia="cs-CZ"/>
              </w:rPr>
              <w:t>. 3 Všeobecných nákupních podmínek VUT.</w:t>
            </w:r>
          </w:p>
        </w:tc>
      </w:tr>
      <w:tr w:rsidR="0026746B" w:rsidRPr="0026746B" w:rsidTr="004C60F8">
        <w:trPr>
          <w:trHeight w:val="300"/>
        </w:trPr>
        <w:tc>
          <w:tcPr>
            <w:tcW w:w="2500" w:type="pct"/>
            <w:shd w:val="clear" w:color="auto" w:fill="auto"/>
            <w:vAlign w:val="center"/>
            <w:hideMark/>
          </w:tcPr>
          <w:p w:rsidR="0026746B" w:rsidRPr="0026746B" w:rsidRDefault="0026746B" w:rsidP="0026746B">
            <w:pPr>
              <w:spacing w:after="0" w:line="240" w:lineRule="auto"/>
              <w:jc w:val="both"/>
              <w:rPr>
                <w:rFonts w:ascii="Calibri" w:eastAsia="Times New Roman" w:hAnsi="Calibri" w:cs="Calibri"/>
                <w:color w:val="000000"/>
                <w:lang w:eastAsia="cs-CZ"/>
              </w:rPr>
            </w:pPr>
          </w:p>
        </w:tc>
        <w:tc>
          <w:tcPr>
            <w:tcW w:w="78" w:type="pct"/>
            <w:shd w:val="clear" w:color="auto" w:fill="auto"/>
            <w:vAlign w:val="center"/>
            <w:hideMark/>
          </w:tcPr>
          <w:p w:rsidR="0026746B" w:rsidRPr="0026746B" w:rsidRDefault="0026746B"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hideMark/>
          </w:tcPr>
          <w:p w:rsidR="00B07E35" w:rsidRPr="0026746B" w:rsidRDefault="00B07E35" w:rsidP="0026746B">
            <w:pPr>
              <w:spacing w:after="0" w:line="240" w:lineRule="auto"/>
              <w:jc w:val="both"/>
              <w:rPr>
                <w:rFonts w:ascii="Times New Roman" w:eastAsia="Times New Roman" w:hAnsi="Times New Roman" w:cs="Times New Roman"/>
                <w:sz w:val="20"/>
                <w:szCs w:val="20"/>
                <w:lang w:eastAsia="cs-CZ"/>
              </w:rPr>
            </w:pPr>
          </w:p>
        </w:tc>
      </w:tr>
      <w:tr w:rsidR="002363B3" w:rsidRPr="0026746B" w:rsidTr="004C60F8">
        <w:trPr>
          <w:trHeight w:val="300"/>
        </w:trPr>
        <w:tc>
          <w:tcPr>
            <w:tcW w:w="2500" w:type="pct"/>
            <w:shd w:val="clear" w:color="auto" w:fill="auto"/>
            <w:vAlign w:val="center"/>
          </w:tcPr>
          <w:p w:rsidR="002363B3" w:rsidRPr="0026746B" w:rsidRDefault="002363B3" w:rsidP="0026746B">
            <w:pPr>
              <w:spacing w:after="0" w:line="240" w:lineRule="auto"/>
              <w:jc w:val="both"/>
              <w:rPr>
                <w:rFonts w:ascii="Calibri" w:eastAsia="Times New Roman" w:hAnsi="Calibri" w:cs="Calibri"/>
                <w:color w:val="000000"/>
                <w:lang w:eastAsia="cs-CZ"/>
              </w:rPr>
            </w:pPr>
          </w:p>
        </w:tc>
        <w:tc>
          <w:tcPr>
            <w:tcW w:w="78" w:type="pct"/>
            <w:shd w:val="clear" w:color="auto" w:fill="auto"/>
            <w:vAlign w:val="center"/>
          </w:tcPr>
          <w:p w:rsidR="002363B3" w:rsidRPr="0026746B" w:rsidRDefault="002363B3" w:rsidP="0026746B">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2363B3" w:rsidRPr="0026746B" w:rsidRDefault="002363B3" w:rsidP="0026746B">
            <w:pPr>
              <w:spacing w:after="0" w:line="240" w:lineRule="auto"/>
              <w:jc w:val="both"/>
              <w:rPr>
                <w:rFonts w:ascii="Times New Roman" w:eastAsia="Times New Roman" w:hAnsi="Times New Roman" w:cs="Times New Roman"/>
                <w:sz w:val="20"/>
                <w:szCs w:val="20"/>
                <w:lang w:eastAsia="cs-CZ"/>
              </w:rPr>
            </w:pPr>
          </w:p>
        </w:tc>
      </w:tr>
      <w:tr w:rsidR="004E023E" w:rsidRPr="0026746B" w:rsidTr="004C60F8">
        <w:trPr>
          <w:trHeight w:val="300"/>
        </w:trPr>
        <w:tc>
          <w:tcPr>
            <w:tcW w:w="2500" w:type="pct"/>
            <w:shd w:val="clear" w:color="auto" w:fill="auto"/>
            <w:vAlign w:val="center"/>
          </w:tcPr>
          <w:p w:rsidR="004E023E" w:rsidRPr="00B44B4B" w:rsidRDefault="004E023E" w:rsidP="004E023E">
            <w:pPr>
              <w:pStyle w:val="Odstavecseseznamem"/>
              <w:numPr>
                <w:ilvl w:val="0"/>
                <w:numId w:val="1"/>
              </w:numPr>
              <w:spacing w:after="0" w:line="240" w:lineRule="auto"/>
              <w:jc w:val="center"/>
              <w:rPr>
                <w:rFonts w:ascii="Calibri" w:eastAsia="Calibri" w:hAnsi="Calibri" w:cs="Calibri"/>
                <w:b/>
                <w:bCs/>
                <w:color w:val="000000"/>
                <w:lang w:val="en-US" w:eastAsia="cs-CZ"/>
              </w:rPr>
            </w:pPr>
            <w:r>
              <w:rPr>
                <w:rFonts w:ascii="Calibri" w:eastAsia="Calibri" w:hAnsi="Calibri" w:cs="Calibri"/>
                <w:b/>
                <w:bCs/>
                <w:color w:val="000000"/>
                <w:lang w:val="en-US" w:eastAsia="cs-CZ"/>
              </w:rPr>
              <w:t>TRANSPORT AND DELIVER OF THE OBJECT OF PURCHASE</w:t>
            </w:r>
          </w:p>
        </w:tc>
        <w:tc>
          <w:tcPr>
            <w:tcW w:w="78"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4E023E" w:rsidRPr="005A7AA7" w:rsidRDefault="004E023E" w:rsidP="004E023E">
            <w:pPr>
              <w:pStyle w:val="Odstavecseseznamem"/>
              <w:numPr>
                <w:ilvl w:val="0"/>
                <w:numId w:val="2"/>
              </w:numPr>
              <w:spacing w:after="0" w:line="240" w:lineRule="auto"/>
              <w:jc w:val="center"/>
              <w:rPr>
                <w:rFonts w:ascii="Calibri" w:eastAsia="Calibri" w:hAnsi="Calibri" w:cs="Calibri"/>
                <w:b/>
                <w:bCs/>
                <w:color w:val="000000"/>
                <w:lang w:eastAsia="cs-CZ"/>
              </w:rPr>
            </w:pPr>
            <w:r w:rsidRPr="005A7AA7">
              <w:rPr>
                <w:rFonts w:ascii="Calibri" w:eastAsia="Calibri" w:hAnsi="Calibri" w:cs="Calibri"/>
                <w:b/>
                <w:bCs/>
                <w:color w:val="000000"/>
                <w:lang w:eastAsia="cs-CZ"/>
              </w:rPr>
              <w:t>DOPRAVA A ODEVZDÁNÍ PŘEDMĚTU KOUPĚ</w:t>
            </w:r>
          </w:p>
        </w:tc>
      </w:tr>
      <w:tr w:rsidR="004E023E" w:rsidRPr="0026746B" w:rsidTr="004C60F8">
        <w:trPr>
          <w:trHeight w:val="300"/>
        </w:trPr>
        <w:tc>
          <w:tcPr>
            <w:tcW w:w="2500" w:type="pct"/>
            <w:shd w:val="clear" w:color="auto" w:fill="auto"/>
            <w:vAlign w:val="center"/>
          </w:tcPr>
          <w:p w:rsidR="004E023E" w:rsidRPr="00B44B4B" w:rsidRDefault="004E023E" w:rsidP="00A84E78">
            <w:pPr>
              <w:pStyle w:val="Odstavecseseznamem"/>
              <w:numPr>
                <w:ilvl w:val="0"/>
                <w:numId w:val="20"/>
              </w:numPr>
              <w:spacing w:after="0" w:line="240" w:lineRule="auto"/>
              <w:jc w:val="both"/>
              <w:rPr>
                <w:rFonts w:ascii="Calibri" w:eastAsia="Calibri" w:hAnsi="Calibri" w:cs="Calibri"/>
                <w:color w:val="000000"/>
                <w:lang w:val="en-US" w:eastAsia="cs-CZ"/>
              </w:rPr>
            </w:pPr>
            <w:r w:rsidRPr="00B44B4B">
              <w:rPr>
                <w:rFonts w:ascii="Calibri" w:eastAsia="Calibri" w:hAnsi="Calibri" w:cs="Calibri"/>
                <w:color w:val="000000"/>
                <w:lang w:val="en-US" w:eastAsia="cs-CZ"/>
              </w:rPr>
              <w:t>The Object of Purchase will be delivered to the place of performanc</w:t>
            </w:r>
            <w:r>
              <w:rPr>
                <w:rFonts w:ascii="Calibri" w:eastAsia="Calibri" w:hAnsi="Calibri" w:cs="Calibri"/>
                <w:color w:val="000000"/>
                <w:lang w:val="en-US" w:eastAsia="cs-CZ"/>
              </w:rPr>
              <w:t>e in term according to article I</w:t>
            </w:r>
            <w:r w:rsidR="00A84E78">
              <w:rPr>
                <w:rFonts w:ascii="Calibri" w:eastAsia="Calibri" w:hAnsi="Calibri" w:cs="Calibri"/>
                <w:color w:val="000000"/>
                <w:lang w:val="en-US" w:eastAsia="cs-CZ"/>
              </w:rPr>
              <w:t>V</w:t>
            </w:r>
            <w:r w:rsidRPr="00B44B4B">
              <w:rPr>
                <w:rFonts w:ascii="Calibri" w:eastAsia="Calibri" w:hAnsi="Calibri" w:cs="Calibri"/>
                <w:color w:val="000000"/>
                <w:lang w:val="en-US" w:eastAsia="cs-CZ"/>
              </w:rPr>
              <w:t xml:space="preserve">.1 this Contract. After delivery of the Object of Purchase to the place of performance will be given to the Buyer an inventory of individual items. </w:t>
            </w:r>
          </w:p>
        </w:tc>
        <w:tc>
          <w:tcPr>
            <w:tcW w:w="78"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4E023E" w:rsidRPr="005A7AA7" w:rsidRDefault="004E023E" w:rsidP="00FC7A93">
            <w:pPr>
              <w:pStyle w:val="Odstavecseseznamem"/>
              <w:numPr>
                <w:ilvl w:val="0"/>
                <w:numId w:val="19"/>
              </w:numPr>
              <w:spacing w:after="0" w:line="240" w:lineRule="auto"/>
              <w:jc w:val="both"/>
              <w:rPr>
                <w:rFonts w:ascii="Calibri" w:eastAsia="Calibri" w:hAnsi="Calibri" w:cs="Calibri"/>
                <w:color w:val="000000"/>
                <w:lang w:eastAsia="cs-CZ"/>
              </w:rPr>
            </w:pPr>
            <w:r>
              <w:rPr>
                <w:rFonts w:ascii="Calibri" w:hAnsi="Calibri" w:cs="Arial"/>
                <w:bCs/>
              </w:rPr>
              <w:t xml:space="preserve">Předmět koupě </w:t>
            </w:r>
            <w:r w:rsidRPr="009416AF">
              <w:rPr>
                <w:rFonts w:ascii="Calibri" w:hAnsi="Calibri" w:cs="Arial"/>
                <w:bCs/>
              </w:rPr>
              <w:t xml:space="preserve">bude na místo plnění dopraven </w:t>
            </w:r>
            <w:r>
              <w:rPr>
                <w:rFonts w:ascii="Calibri" w:hAnsi="Calibri" w:cs="Arial"/>
                <w:bCs/>
              </w:rPr>
              <w:t>v termínu dle čl. I</w:t>
            </w:r>
            <w:r w:rsidR="00A84E78">
              <w:rPr>
                <w:rFonts w:ascii="Calibri" w:hAnsi="Calibri" w:cs="Arial"/>
                <w:bCs/>
              </w:rPr>
              <w:t>V</w:t>
            </w:r>
            <w:r>
              <w:rPr>
                <w:rFonts w:ascii="Calibri" w:hAnsi="Calibri" w:cs="Arial"/>
                <w:bCs/>
              </w:rPr>
              <w:t>.1 smlouvy</w:t>
            </w:r>
            <w:r w:rsidRPr="009416AF">
              <w:rPr>
                <w:rFonts w:ascii="Calibri" w:hAnsi="Calibri" w:cs="Arial"/>
                <w:bCs/>
              </w:rPr>
              <w:t>. Po dopravení Předmětu koupě</w:t>
            </w:r>
            <w:r w:rsidR="00FC7A93">
              <w:rPr>
                <w:rFonts w:ascii="Calibri" w:hAnsi="Calibri" w:cs="Arial"/>
                <w:bCs/>
              </w:rPr>
              <w:t xml:space="preserve"> </w:t>
            </w:r>
            <w:r w:rsidRPr="009416AF">
              <w:rPr>
                <w:rFonts w:ascii="Calibri" w:hAnsi="Calibri" w:cs="Arial"/>
                <w:bCs/>
              </w:rPr>
              <w:t xml:space="preserve">na místo plnění bude Kupujícímu předán </w:t>
            </w:r>
            <w:r w:rsidRPr="009416AF">
              <w:rPr>
                <w:rFonts w:ascii="Calibri" w:hAnsi="Calibri"/>
              </w:rPr>
              <w:t xml:space="preserve">soupis jednotlivých položek. </w:t>
            </w:r>
          </w:p>
        </w:tc>
      </w:tr>
      <w:tr w:rsidR="004E023E" w:rsidRPr="0026746B" w:rsidTr="004C60F8">
        <w:trPr>
          <w:trHeight w:val="300"/>
        </w:trPr>
        <w:tc>
          <w:tcPr>
            <w:tcW w:w="2500" w:type="pct"/>
            <w:shd w:val="clear" w:color="auto" w:fill="auto"/>
            <w:vAlign w:val="center"/>
          </w:tcPr>
          <w:p w:rsidR="004E023E" w:rsidRPr="00B44B4B" w:rsidRDefault="004E023E" w:rsidP="00303335">
            <w:pPr>
              <w:pStyle w:val="Odstavecseseznamem"/>
              <w:numPr>
                <w:ilvl w:val="0"/>
                <w:numId w:val="20"/>
              </w:numPr>
              <w:spacing w:after="0" w:line="240" w:lineRule="auto"/>
              <w:jc w:val="both"/>
              <w:rPr>
                <w:rFonts w:ascii="Calibri" w:eastAsia="Calibri" w:hAnsi="Calibri" w:cs="Calibri"/>
                <w:color w:val="000000"/>
                <w:lang w:val="en-US" w:eastAsia="cs-CZ"/>
              </w:rPr>
            </w:pPr>
            <w:r w:rsidRPr="00B44B4B">
              <w:rPr>
                <w:rFonts w:ascii="Calibri" w:eastAsia="Calibri" w:hAnsi="Calibri" w:cs="Calibri"/>
                <w:color w:val="000000"/>
                <w:u w:val="single"/>
                <w:lang w:val="en-US" w:eastAsia="cs-CZ"/>
              </w:rPr>
              <w:t>The Seller subsequently demonstrates the fulfillment of the Technical Paramet</w:t>
            </w:r>
            <w:r>
              <w:rPr>
                <w:rFonts w:ascii="Calibri" w:eastAsia="Calibri" w:hAnsi="Calibri" w:cs="Calibri"/>
                <w:color w:val="000000"/>
                <w:u w:val="single"/>
                <w:lang w:val="en-US" w:eastAsia="cs-CZ"/>
              </w:rPr>
              <w:t>e</w:t>
            </w:r>
            <w:r w:rsidRPr="00B44B4B">
              <w:rPr>
                <w:rFonts w:ascii="Calibri" w:eastAsia="Calibri" w:hAnsi="Calibri" w:cs="Calibri"/>
                <w:color w:val="000000"/>
                <w:u w:val="single"/>
                <w:lang w:val="en-US" w:eastAsia="cs-CZ"/>
              </w:rPr>
              <w:t>rs of the Object of Purchase after installation at the place of performance</w:t>
            </w:r>
            <w:r w:rsidRPr="00B44B4B">
              <w:rPr>
                <w:rFonts w:ascii="Calibri" w:eastAsia="Calibri" w:hAnsi="Calibri" w:cs="Calibri"/>
                <w:color w:val="000000"/>
                <w:lang w:val="en-US" w:eastAsia="cs-CZ"/>
              </w:rPr>
              <w:t>, where demonstration and verification of technical paramet</w:t>
            </w:r>
            <w:r>
              <w:rPr>
                <w:rFonts w:ascii="Calibri" w:eastAsia="Calibri" w:hAnsi="Calibri" w:cs="Calibri"/>
                <w:color w:val="000000"/>
                <w:lang w:val="en-US" w:eastAsia="cs-CZ"/>
              </w:rPr>
              <w:t>e</w:t>
            </w:r>
            <w:r w:rsidRPr="00B44B4B">
              <w:rPr>
                <w:rFonts w:ascii="Calibri" w:eastAsia="Calibri" w:hAnsi="Calibri" w:cs="Calibri"/>
                <w:color w:val="000000"/>
                <w:lang w:val="en-US" w:eastAsia="cs-CZ"/>
              </w:rPr>
              <w:t>rs will take place</w:t>
            </w:r>
            <w:r>
              <w:rPr>
                <w:rFonts w:ascii="Calibri" w:eastAsia="Calibri" w:hAnsi="Calibri" w:cs="Calibri"/>
                <w:color w:val="000000"/>
                <w:lang w:val="en-US" w:eastAsia="cs-CZ"/>
              </w:rPr>
              <w:t>.</w:t>
            </w:r>
          </w:p>
        </w:tc>
        <w:tc>
          <w:tcPr>
            <w:tcW w:w="78"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4E023E" w:rsidRPr="005A7AA7" w:rsidRDefault="004E023E" w:rsidP="00FC7A93">
            <w:pPr>
              <w:pStyle w:val="Odstavecseseznamem"/>
              <w:numPr>
                <w:ilvl w:val="0"/>
                <w:numId w:val="19"/>
              </w:numPr>
              <w:spacing w:after="0" w:line="240" w:lineRule="auto"/>
              <w:jc w:val="both"/>
              <w:rPr>
                <w:rFonts w:ascii="Calibri" w:eastAsia="Calibri" w:hAnsi="Calibri" w:cs="Calibri"/>
                <w:color w:val="000000"/>
                <w:lang w:eastAsia="cs-CZ"/>
              </w:rPr>
            </w:pPr>
            <w:r w:rsidRPr="000B0B55">
              <w:rPr>
                <w:rFonts w:ascii="Calibri" w:hAnsi="Calibri" w:cs="Arial"/>
                <w:u w:val="single"/>
              </w:rPr>
              <w:t>Prodávající prokáže splnění technických parametrů Předmětu koupě po instalaci na místě plnění</w:t>
            </w:r>
            <w:r w:rsidRPr="009416AF">
              <w:rPr>
                <w:rFonts w:ascii="Calibri" w:hAnsi="Calibri" w:cs="Arial"/>
              </w:rPr>
              <w:t>, kde dojde k</w:t>
            </w:r>
            <w:r>
              <w:rPr>
                <w:rFonts w:ascii="Calibri" w:hAnsi="Calibri" w:cs="Arial"/>
              </w:rPr>
              <w:t> </w:t>
            </w:r>
            <w:r w:rsidRPr="009416AF">
              <w:rPr>
                <w:rFonts w:ascii="Calibri" w:hAnsi="Calibri" w:cs="Arial"/>
              </w:rPr>
              <w:t>demonstraci</w:t>
            </w:r>
            <w:r>
              <w:rPr>
                <w:rFonts w:ascii="Calibri" w:hAnsi="Calibri" w:cs="Arial"/>
              </w:rPr>
              <w:t xml:space="preserve"> a</w:t>
            </w:r>
            <w:r w:rsidRPr="009416AF">
              <w:rPr>
                <w:rFonts w:ascii="Calibri" w:hAnsi="Calibri" w:cs="Arial"/>
              </w:rPr>
              <w:t xml:space="preserve"> ověření technických parametrů</w:t>
            </w:r>
            <w:r>
              <w:rPr>
                <w:rFonts w:ascii="Calibri" w:hAnsi="Calibri" w:cs="Arial"/>
              </w:rPr>
              <w:t xml:space="preserve">. </w:t>
            </w:r>
          </w:p>
        </w:tc>
      </w:tr>
      <w:tr w:rsidR="004E023E" w:rsidRPr="0026746B" w:rsidTr="004C60F8">
        <w:trPr>
          <w:trHeight w:val="300"/>
        </w:trPr>
        <w:tc>
          <w:tcPr>
            <w:tcW w:w="2500" w:type="pct"/>
            <w:shd w:val="clear" w:color="auto" w:fill="auto"/>
            <w:vAlign w:val="center"/>
          </w:tcPr>
          <w:p w:rsidR="004E023E" w:rsidRPr="00B44B4B" w:rsidRDefault="004E023E" w:rsidP="00303335">
            <w:pPr>
              <w:pStyle w:val="Odstavecseseznamem"/>
              <w:numPr>
                <w:ilvl w:val="0"/>
                <w:numId w:val="20"/>
              </w:numPr>
              <w:spacing w:after="0" w:line="240" w:lineRule="auto"/>
              <w:jc w:val="both"/>
              <w:rPr>
                <w:rFonts w:ascii="Calibri" w:eastAsia="Calibri" w:hAnsi="Calibri" w:cs="Calibri"/>
                <w:color w:val="000000"/>
                <w:lang w:val="en-US" w:eastAsia="cs-CZ"/>
              </w:rPr>
            </w:pPr>
            <w:r w:rsidRPr="00B44B4B">
              <w:rPr>
                <w:rFonts w:ascii="Calibri" w:eastAsia="Calibri" w:hAnsi="Calibri" w:cs="Calibri"/>
                <w:b/>
                <w:color w:val="000000"/>
                <w:lang w:val="en-US" w:eastAsia="cs-CZ"/>
              </w:rPr>
              <w:t>The Delivery Protocol</w:t>
            </w:r>
            <w:r w:rsidRPr="00B44B4B">
              <w:rPr>
                <w:rFonts w:ascii="Calibri" w:eastAsia="Calibri" w:hAnsi="Calibri" w:cs="Calibri"/>
                <w:color w:val="000000"/>
                <w:lang w:val="en-US" w:eastAsia="cs-CZ"/>
              </w:rPr>
              <w:t xml:space="preserve">, in addition to the information provided in Article IV.10) of the BUT General Purchasing Conditions </w:t>
            </w:r>
            <w:r w:rsidRPr="00B44B4B">
              <w:rPr>
                <w:rFonts w:ascii="Calibri" w:eastAsia="Calibri" w:hAnsi="Calibri" w:cs="Calibri"/>
                <w:b/>
                <w:color w:val="000000"/>
                <w:lang w:val="en-US" w:eastAsia="cs-CZ"/>
              </w:rPr>
              <w:t>will also include</w:t>
            </w:r>
            <w:r w:rsidRPr="00B44B4B">
              <w:rPr>
                <w:rFonts w:ascii="Calibri" w:eastAsia="Calibri" w:hAnsi="Calibri" w:cs="Calibri"/>
                <w:color w:val="000000"/>
                <w:lang w:val="en-US" w:eastAsia="cs-CZ"/>
              </w:rPr>
              <w:t xml:space="preserve"> a detailed </w:t>
            </w:r>
            <w:proofErr w:type="spellStart"/>
            <w:r w:rsidRPr="00B44B4B">
              <w:rPr>
                <w:rFonts w:ascii="Calibri" w:eastAsia="Calibri" w:hAnsi="Calibri" w:cs="Calibri"/>
                <w:color w:val="000000"/>
                <w:lang w:val="en-US" w:eastAsia="cs-CZ"/>
              </w:rPr>
              <w:t>assesment</w:t>
            </w:r>
            <w:proofErr w:type="spellEnd"/>
            <w:r w:rsidRPr="00B44B4B">
              <w:rPr>
                <w:rFonts w:ascii="Calibri" w:eastAsia="Calibri" w:hAnsi="Calibri" w:cs="Calibri"/>
                <w:color w:val="000000"/>
                <w:lang w:val="en-US" w:eastAsia="cs-CZ"/>
              </w:rPr>
              <w:t xml:space="preserve"> of the verification of the technical parameters. </w:t>
            </w:r>
          </w:p>
        </w:tc>
        <w:tc>
          <w:tcPr>
            <w:tcW w:w="78"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4E023E" w:rsidRPr="009416AF" w:rsidRDefault="004E023E" w:rsidP="00303335">
            <w:pPr>
              <w:pStyle w:val="Odstavecseseznamem"/>
              <w:numPr>
                <w:ilvl w:val="0"/>
                <w:numId w:val="19"/>
              </w:numPr>
              <w:spacing w:after="0" w:line="240" w:lineRule="auto"/>
              <w:jc w:val="both"/>
              <w:rPr>
                <w:rFonts w:ascii="Calibri" w:hAnsi="Calibri" w:cs="Arial"/>
              </w:rPr>
            </w:pPr>
            <w:r w:rsidRPr="000B0B55">
              <w:rPr>
                <w:rFonts w:ascii="Calibri" w:hAnsi="Calibri" w:cs="Arial"/>
                <w:b/>
              </w:rPr>
              <w:t xml:space="preserve">Předávací protokol, </w:t>
            </w:r>
            <w:r w:rsidRPr="000B0B55">
              <w:rPr>
                <w:rFonts w:ascii="Calibri" w:hAnsi="Calibri" w:cs="Arial"/>
                <w:b/>
                <w:bCs/>
              </w:rPr>
              <w:t>bude</w:t>
            </w:r>
            <w:r>
              <w:rPr>
                <w:rFonts w:ascii="Calibri" w:hAnsi="Calibri" w:cs="Arial"/>
                <w:bCs/>
              </w:rPr>
              <w:t xml:space="preserve"> kromě údajů uvedených v čl. IV.10) Všeobecných nákupních podmínek VUT</w:t>
            </w:r>
            <w:r w:rsidRPr="009416AF">
              <w:rPr>
                <w:rFonts w:ascii="Calibri" w:hAnsi="Calibri" w:cs="Arial"/>
                <w:bCs/>
              </w:rPr>
              <w:t xml:space="preserve"> </w:t>
            </w:r>
            <w:r w:rsidRPr="000B0B55">
              <w:rPr>
                <w:rFonts w:ascii="Calibri" w:hAnsi="Calibri" w:cs="Arial"/>
                <w:b/>
                <w:bCs/>
              </w:rPr>
              <w:t xml:space="preserve">obsahovat také </w:t>
            </w:r>
            <w:r w:rsidRPr="001E07FE">
              <w:rPr>
                <w:rFonts w:ascii="Calibri" w:hAnsi="Calibri" w:cs="Arial"/>
                <w:bCs/>
              </w:rPr>
              <w:t>podrobné vyhodnocení ověření technických parametrů</w:t>
            </w:r>
            <w:r w:rsidR="00303335">
              <w:rPr>
                <w:rFonts w:ascii="Calibri" w:hAnsi="Calibri" w:cs="Arial"/>
                <w:bCs/>
              </w:rPr>
              <w:t>.</w:t>
            </w:r>
          </w:p>
        </w:tc>
      </w:tr>
      <w:tr w:rsidR="004E023E" w:rsidRPr="0026746B" w:rsidTr="004C60F8">
        <w:trPr>
          <w:trHeight w:val="300"/>
        </w:trPr>
        <w:tc>
          <w:tcPr>
            <w:tcW w:w="2500" w:type="pct"/>
            <w:shd w:val="clear" w:color="auto" w:fill="auto"/>
            <w:vAlign w:val="center"/>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78"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r>
      <w:tr w:rsidR="004E023E" w:rsidRPr="0026746B" w:rsidTr="004C60F8">
        <w:trPr>
          <w:trHeight w:val="300"/>
        </w:trPr>
        <w:tc>
          <w:tcPr>
            <w:tcW w:w="2500" w:type="pct"/>
            <w:shd w:val="clear" w:color="auto" w:fill="auto"/>
            <w:vAlign w:val="center"/>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78"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r>
      <w:tr w:rsidR="004E023E" w:rsidRPr="0026746B" w:rsidTr="004C60F8">
        <w:trPr>
          <w:trHeight w:val="300"/>
        </w:trPr>
        <w:tc>
          <w:tcPr>
            <w:tcW w:w="2500" w:type="pct"/>
            <w:shd w:val="clear" w:color="auto" w:fill="auto"/>
            <w:vAlign w:val="center"/>
            <w:hideMark/>
          </w:tcPr>
          <w:p w:rsidR="004E023E" w:rsidRPr="0026746B" w:rsidRDefault="004E023E" w:rsidP="004E023E">
            <w:pPr>
              <w:pStyle w:val="Odstavecseseznamem"/>
              <w:numPr>
                <w:ilvl w:val="0"/>
                <w:numId w:val="1"/>
              </w:numPr>
              <w:spacing w:after="0" w:line="240" w:lineRule="auto"/>
              <w:jc w:val="center"/>
              <w:rPr>
                <w:rFonts w:ascii="Calibri" w:eastAsia="Calibri" w:hAnsi="Calibri" w:cs="Calibri"/>
                <w:b/>
                <w:bCs/>
                <w:color w:val="000000"/>
                <w:lang w:val="en-US" w:eastAsia="cs-CZ"/>
              </w:rPr>
            </w:pPr>
            <w:r w:rsidRPr="0026746B">
              <w:rPr>
                <w:rFonts w:ascii="Calibri" w:eastAsia="Calibri" w:hAnsi="Calibri" w:cs="Calibri"/>
                <w:b/>
                <w:bCs/>
                <w:color w:val="000000"/>
                <w:lang w:val="en-US" w:eastAsia="cs-CZ"/>
              </w:rPr>
              <w:t>QUALITY GUARANTEE</w:t>
            </w:r>
          </w:p>
        </w:tc>
        <w:tc>
          <w:tcPr>
            <w:tcW w:w="78" w:type="pct"/>
            <w:shd w:val="clear" w:color="auto" w:fill="auto"/>
            <w:vAlign w:val="center"/>
            <w:hideMark/>
          </w:tcPr>
          <w:p w:rsidR="004E023E" w:rsidRPr="0026746B" w:rsidRDefault="004E023E" w:rsidP="004E023E">
            <w:pPr>
              <w:spacing w:after="0" w:line="240" w:lineRule="auto"/>
              <w:jc w:val="center"/>
              <w:rPr>
                <w:rFonts w:ascii="Calibri" w:eastAsia="Times New Roman" w:hAnsi="Calibri" w:cs="Calibri"/>
                <w:b/>
                <w:bCs/>
                <w:color w:val="000000"/>
                <w:lang w:eastAsia="cs-CZ"/>
              </w:rPr>
            </w:pPr>
          </w:p>
        </w:tc>
        <w:tc>
          <w:tcPr>
            <w:tcW w:w="2422" w:type="pct"/>
            <w:shd w:val="clear" w:color="auto" w:fill="auto"/>
            <w:vAlign w:val="center"/>
            <w:hideMark/>
          </w:tcPr>
          <w:p w:rsidR="004E023E" w:rsidRPr="0026746B" w:rsidRDefault="004E023E" w:rsidP="004E023E">
            <w:pPr>
              <w:pStyle w:val="Odstavecseseznamem"/>
              <w:numPr>
                <w:ilvl w:val="0"/>
                <w:numId w:val="2"/>
              </w:numPr>
              <w:spacing w:after="0" w:line="240" w:lineRule="auto"/>
              <w:jc w:val="center"/>
              <w:rPr>
                <w:rFonts w:ascii="Calibri" w:eastAsia="Calibri" w:hAnsi="Calibri" w:cs="Calibri"/>
                <w:b/>
                <w:bCs/>
                <w:color w:val="000000"/>
                <w:lang w:val="en-US" w:eastAsia="cs-CZ"/>
              </w:rPr>
            </w:pPr>
            <w:bookmarkStart w:id="4" w:name="RANGE!C59"/>
            <w:r w:rsidRPr="0026746B">
              <w:rPr>
                <w:rFonts w:ascii="Calibri" w:eastAsia="Calibri" w:hAnsi="Calibri" w:cs="Calibri"/>
                <w:b/>
                <w:bCs/>
                <w:color w:val="000000"/>
                <w:lang w:val="en-US" w:eastAsia="cs-CZ"/>
              </w:rPr>
              <w:t>ZÁRUKA ZA JAKOST</w:t>
            </w:r>
            <w:bookmarkEnd w:id="4"/>
          </w:p>
        </w:tc>
      </w:tr>
      <w:tr w:rsidR="004E023E" w:rsidRPr="0026746B" w:rsidTr="004C60F8">
        <w:trPr>
          <w:trHeight w:val="1200"/>
        </w:trPr>
        <w:tc>
          <w:tcPr>
            <w:tcW w:w="2500" w:type="pct"/>
            <w:shd w:val="clear" w:color="auto" w:fill="auto"/>
            <w:vAlign w:val="center"/>
            <w:hideMark/>
          </w:tcPr>
          <w:p w:rsidR="004E023E" w:rsidRPr="0026746B" w:rsidRDefault="004E023E" w:rsidP="00814368">
            <w:p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val="en-US" w:eastAsia="cs-CZ"/>
              </w:rPr>
              <w:t xml:space="preserve">The Buyer and the Seller have agreed that the Warranty Period granted for the Object of Purchase as well as each part thereof is </w:t>
            </w:r>
            <w:r w:rsidR="00814368">
              <w:rPr>
                <w:rFonts w:ascii="Calibri" w:eastAsia="Times New Roman" w:hAnsi="Calibri" w:cs="Calibri"/>
                <w:color w:val="000000"/>
                <w:lang w:val="en-US" w:eastAsia="cs-CZ"/>
              </w:rPr>
              <w:t>36</w:t>
            </w:r>
            <w:r w:rsidRPr="0026746B">
              <w:rPr>
                <w:rFonts w:ascii="Calibri" w:eastAsia="Times New Roman" w:hAnsi="Calibri" w:cs="Calibri"/>
                <w:color w:val="000000"/>
                <w:lang w:val="en-US" w:eastAsia="cs-CZ"/>
              </w:rPr>
              <w:t xml:space="preserve"> months from the day when the Object of Purchase is accepted by the Buyer as faultless.</w:t>
            </w:r>
          </w:p>
        </w:tc>
        <w:tc>
          <w:tcPr>
            <w:tcW w:w="78"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4E023E" w:rsidRPr="0026746B" w:rsidRDefault="004E023E" w:rsidP="00737A03">
            <w:p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eastAsia="cs-CZ"/>
              </w:rPr>
              <w:t xml:space="preserve">Kupující a Prodávající ujednávají, že Záruční doba na Předmět koupě stejně jako na každou jeho část je </w:t>
            </w:r>
            <w:r w:rsidR="00737A03">
              <w:rPr>
                <w:rFonts w:ascii="Calibri" w:eastAsia="Times New Roman" w:hAnsi="Calibri" w:cs="Calibri"/>
                <w:color w:val="000000"/>
                <w:lang w:eastAsia="cs-CZ"/>
              </w:rPr>
              <w:t>36</w:t>
            </w:r>
            <w:r w:rsidRPr="0026746B">
              <w:rPr>
                <w:rFonts w:ascii="Calibri" w:eastAsia="Times New Roman" w:hAnsi="Calibri" w:cs="Calibri"/>
                <w:color w:val="000000"/>
                <w:lang w:eastAsia="cs-CZ"/>
              </w:rPr>
              <w:t xml:space="preserve"> měsíců ode dne, kdy byl Předmět koupě jako bezvadný převzat Kupujícím.</w:t>
            </w:r>
          </w:p>
        </w:tc>
      </w:tr>
      <w:tr w:rsidR="004E023E" w:rsidRPr="0026746B" w:rsidTr="004C60F8">
        <w:trPr>
          <w:trHeight w:val="300"/>
        </w:trPr>
        <w:tc>
          <w:tcPr>
            <w:tcW w:w="2500"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78" w:type="pct"/>
            <w:shd w:val="clear" w:color="auto" w:fill="auto"/>
            <w:vAlign w:val="center"/>
            <w:hideMark/>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hideMark/>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r>
      <w:tr w:rsidR="004E023E" w:rsidRPr="0026746B" w:rsidTr="004C60F8">
        <w:trPr>
          <w:trHeight w:val="300"/>
        </w:trPr>
        <w:tc>
          <w:tcPr>
            <w:tcW w:w="2500" w:type="pct"/>
            <w:shd w:val="clear" w:color="auto" w:fill="auto"/>
            <w:vAlign w:val="center"/>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78"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r>
    </w:tbl>
    <w:p w:rsidR="00D67D7B" w:rsidRDefault="00D67D7B"/>
    <w:p w:rsidR="00D67D7B" w:rsidRDefault="00D67D7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6"/>
        <w:gridCol w:w="160"/>
        <w:gridCol w:w="4938"/>
      </w:tblGrid>
      <w:tr w:rsidR="004E023E" w:rsidRPr="0026746B" w:rsidTr="004C60F8">
        <w:trPr>
          <w:trHeight w:val="300"/>
        </w:trPr>
        <w:tc>
          <w:tcPr>
            <w:tcW w:w="2500" w:type="pct"/>
            <w:shd w:val="clear" w:color="auto" w:fill="auto"/>
            <w:vAlign w:val="center"/>
            <w:hideMark/>
          </w:tcPr>
          <w:p w:rsidR="004E023E" w:rsidRPr="0026746B" w:rsidRDefault="004E023E" w:rsidP="004E023E">
            <w:pPr>
              <w:pStyle w:val="Odstavecseseznamem"/>
              <w:numPr>
                <w:ilvl w:val="0"/>
                <w:numId w:val="1"/>
              </w:numPr>
              <w:spacing w:after="0" w:line="240" w:lineRule="auto"/>
              <w:jc w:val="center"/>
              <w:rPr>
                <w:rFonts w:ascii="Calibri" w:eastAsia="Calibri" w:hAnsi="Calibri" w:cs="Calibri"/>
                <w:b/>
                <w:bCs/>
                <w:color w:val="000000"/>
                <w:lang w:val="en-US" w:eastAsia="cs-CZ"/>
              </w:rPr>
            </w:pPr>
            <w:r w:rsidRPr="0026746B">
              <w:rPr>
                <w:rFonts w:ascii="Calibri" w:eastAsia="Calibri" w:hAnsi="Calibri" w:cs="Calibri"/>
                <w:b/>
                <w:bCs/>
                <w:color w:val="000000"/>
                <w:lang w:val="en-US" w:eastAsia="cs-CZ"/>
              </w:rPr>
              <w:lastRenderedPageBreak/>
              <w:t>INSURANCE</w:t>
            </w:r>
          </w:p>
        </w:tc>
        <w:tc>
          <w:tcPr>
            <w:tcW w:w="78" w:type="pct"/>
            <w:shd w:val="clear" w:color="auto" w:fill="auto"/>
            <w:vAlign w:val="center"/>
            <w:hideMark/>
          </w:tcPr>
          <w:p w:rsidR="004E023E" w:rsidRPr="0026746B" w:rsidRDefault="004E023E" w:rsidP="004E023E">
            <w:pPr>
              <w:spacing w:after="0" w:line="240" w:lineRule="auto"/>
              <w:jc w:val="center"/>
              <w:rPr>
                <w:rFonts w:ascii="Calibri" w:eastAsia="Times New Roman" w:hAnsi="Calibri" w:cs="Calibri"/>
                <w:b/>
                <w:bCs/>
                <w:color w:val="000000"/>
                <w:lang w:eastAsia="cs-CZ"/>
              </w:rPr>
            </w:pPr>
          </w:p>
        </w:tc>
        <w:tc>
          <w:tcPr>
            <w:tcW w:w="2422" w:type="pct"/>
            <w:shd w:val="clear" w:color="auto" w:fill="auto"/>
            <w:vAlign w:val="center"/>
            <w:hideMark/>
          </w:tcPr>
          <w:p w:rsidR="004E023E" w:rsidRPr="0026746B" w:rsidRDefault="004E023E" w:rsidP="004E023E">
            <w:pPr>
              <w:pStyle w:val="Odstavecseseznamem"/>
              <w:numPr>
                <w:ilvl w:val="0"/>
                <w:numId w:val="2"/>
              </w:numPr>
              <w:spacing w:after="0" w:line="240" w:lineRule="auto"/>
              <w:jc w:val="center"/>
              <w:rPr>
                <w:rFonts w:ascii="Calibri" w:eastAsia="Calibri" w:hAnsi="Calibri" w:cs="Calibri"/>
                <w:b/>
                <w:bCs/>
                <w:color w:val="000000"/>
                <w:lang w:val="en-US" w:eastAsia="cs-CZ"/>
              </w:rPr>
            </w:pPr>
            <w:r w:rsidRPr="0026746B">
              <w:rPr>
                <w:rFonts w:ascii="Calibri" w:eastAsia="Calibri" w:hAnsi="Calibri" w:cs="Calibri"/>
                <w:b/>
                <w:bCs/>
                <w:color w:val="000000"/>
                <w:lang w:val="en-US" w:eastAsia="cs-CZ"/>
              </w:rPr>
              <w:t>POJIŠTĚNÍ</w:t>
            </w:r>
          </w:p>
        </w:tc>
      </w:tr>
      <w:tr w:rsidR="004E023E" w:rsidRPr="0026746B" w:rsidTr="004C60F8">
        <w:trPr>
          <w:trHeight w:val="2961"/>
        </w:trPr>
        <w:tc>
          <w:tcPr>
            <w:tcW w:w="2500" w:type="pct"/>
            <w:shd w:val="clear" w:color="auto" w:fill="auto"/>
            <w:vAlign w:val="center"/>
            <w:hideMark/>
          </w:tcPr>
          <w:p w:rsidR="004E023E" w:rsidRPr="0026746B" w:rsidRDefault="004E023E" w:rsidP="00303335">
            <w:p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val="en-US" w:eastAsia="cs-CZ"/>
              </w:rPr>
              <w:t xml:space="preserve">The Seller agrees that for the entire duration of its obligations from the Contract (i.e. until the expiry of the warranty period for any part of the Object of Purchase, including the fulfillment of its obligations from defects, if any, claimed by the Buyer under the warranty) the Seller will maintain an insurance policy covering the Seller’s liability for damage caused to property of the Buyer or third parties in collection with the performance of the Contract in consequence of Seller’s activity for the eventuality of causing damage, with the minimum sum insured of CZK </w:t>
            </w:r>
            <w:r w:rsidR="00303335">
              <w:rPr>
                <w:rFonts w:ascii="Calibri" w:eastAsia="Times New Roman" w:hAnsi="Calibri" w:cs="Calibri"/>
                <w:color w:val="000000"/>
                <w:lang w:val="en-US" w:eastAsia="cs-CZ"/>
              </w:rPr>
              <w:t>1</w:t>
            </w:r>
            <w:r>
              <w:rPr>
                <w:rFonts w:ascii="Calibri" w:eastAsia="Times New Roman" w:hAnsi="Calibri" w:cs="Calibri"/>
                <w:color w:val="000000"/>
                <w:lang w:val="en-US" w:eastAsia="cs-CZ"/>
              </w:rPr>
              <w:t>,000,000</w:t>
            </w:r>
            <w:r w:rsidRPr="0026746B">
              <w:rPr>
                <w:rFonts w:ascii="Calibri" w:eastAsia="Times New Roman" w:hAnsi="Calibri" w:cs="Calibri"/>
                <w:color w:val="000000"/>
                <w:lang w:val="en-US" w:eastAsia="cs-CZ"/>
              </w:rPr>
              <w:t xml:space="preserve"> (in words: </w:t>
            </w:r>
            <w:r w:rsidR="00303335">
              <w:rPr>
                <w:rFonts w:ascii="Calibri" w:eastAsia="Times New Roman" w:hAnsi="Calibri" w:cs="Calibri"/>
                <w:color w:val="000000"/>
                <w:lang w:val="en-US" w:eastAsia="cs-CZ"/>
              </w:rPr>
              <w:t>one</w:t>
            </w:r>
            <w:r>
              <w:rPr>
                <w:rFonts w:ascii="Calibri" w:eastAsia="Times New Roman" w:hAnsi="Calibri" w:cs="Calibri"/>
                <w:color w:val="000000"/>
                <w:lang w:val="en-US" w:eastAsia="cs-CZ"/>
              </w:rPr>
              <w:t xml:space="preserve"> million)</w:t>
            </w:r>
            <w:r w:rsidRPr="0026746B">
              <w:rPr>
                <w:rFonts w:ascii="Calibri" w:eastAsia="Times New Roman" w:hAnsi="Calibri" w:cs="Calibri"/>
                <w:color w:val="000000"/>
                <w:lang w:val="en-US" w:eastAsia="cs-CZ"/>
              </w:rPr>
              <w:t xml:space="preserve"> </w:t>
            </w:r>
          </w:p>
        </w:tc>
        <w:tc>
          <w:tcPr>
            <w:tcW w:w="78"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4E023E" w:rsidRPr="0026746B" w:rsidRDefault="004E023E" w:rsidP="00303335">
            <w:pPr>
              <w:spacing w:after="0" w:line="240" w:lineRule="auto"/>
              <w:jc w:val="both"/>
              <w:rPr>
                <w:rFonts w:ascii="Calibri" w:eastAsia="Times New Roman" w:hAnsi="Calibri" w:cs="Calibri"/>
                <w:color w:val="000000"/>
                <w:lang w:eastAsia="cs-CZ"/>
              </w:rPr>
            </w:pPr>
            <w:bookmarkStart w:id="5" w:name="RANGE!C63"/>
            <w:r w:rsidRPr="0026746B">
              <w:rPr>
                <w:rFonts w:ascii="Calibri" w:eastAsia="Times New Roman" w:hAnsi="Calibri" w:cs="Calibri"/>
                <w:color w:val="000000"/>
                <w:lang w:eastAsia="cs-CZ"/>
              </w:rPr>
              <w:t xml:space="preserve">Prodávající se zavazuje, že po celou dobu trvání jeho povinností ze Smlouvy (tj. do konce běhu záruční doby na kteroukoliv část Předmětu koupě včetně splnění jeho povinností plynoucích z případně uplatněných vad Kupujícím v rámci záruky) bude mít sjednánu pojistnou smlouvu, jejímž předmětem bude pojištění odpovědnosti Prodávajícího za škodu, která vznikne Kupujícímu nebo třetím osobám na jejich majetku v souvislosti s plněním Smlouvy v důsledku činnosti Prodávajícího pro případ způsobení škody, a to s limitem pojistného plnění alespoň ve výši </w:t>
            </w:r>
            <w:r w:rsidR="00303335">
              <w:rPr>
                <w:rFonts w:ascii="Calibri" w:eastAsia="Times New Roman" w:hAnsi="Calibri" w:cs="Calibri"/>
                <w:color w:val="000000"/>
                <w:lang w:eastAsia="cs-CZ"/>
              </w:rPr>
              <w:t>1</w:t>
            </w:r>
            <w:r>
              <w:rPr>
                <w:rFonts w:ascii="Calibri" w:eastAsia="Times New Roman" w:hAnsi="Calibri" w:cs="Calibri"/>
                <w:color w:val="000000"/>
                <w:lang w:eastAsia="cs-CZ"/>
              </w:rPr>
              <w:t>.000.000,-</w:t>
            </w:r>
            <w:r w:rsidRPr="0026746B">
              <w:rPr>
                <w:rFonts w:ascii="Calibri" w:eastAsia="Times New Roman" w:hAnsi="Calibri" w:cs="Calibri"/>
                <w:color w:val="000000"/>
                <w:lang w:eastAsia="cs-CZ"/>
              </w:rPr>
              <w:t xml:space="preserve"> (slovy: </w:t>
            </w:r>
            <w:r w:rsidR="00303335">
              <w:rPr>
                <w:rFonts w:ascii="Calibri" w:eastAsia="Times New Roman" w:hAnsi="Calibri" w:cs="Calibri"/>
                <w:color w:val="000000"/>
                <w:lang w:eastAsia="cs-CZ"/>
              </w:rPr>
              <w:t>jeden</w:t>
            </w:r>
            <w:r>
              <w:rPr>
                <w:rFonts w:ascii="Calibri" w:eastAsia="Times New Roman" w:hAnsi="Calibri" w:cs="Calibri"/>
                <w:color w:val="000000"/>
                <w:lang w:eastAsia="cs-CZ"/>
              </w:rPr>
              <w:t>milion)</w:t>
            </w:r>
            <w:r w:rsidRPr="0026746B">
              <w:rPr>
                <w:rFonts w:ascii="Calibri" w:eastAsia="Times New Roman" w:hAnsi="Calibri" w:cs="Calibri"/>
                <w:color w:val="000000"/>
                <w:lang w:eastAsia="cs-CZ"/>
              </w:rPr>
              <w:t xml:space="preserve"> Kč. </w:t>
            </w:r>
            <w:bookmarkEnd w:id="5"/>
          </w:p>
        </w:tc>
      </w:tr>
      <w:tr w:rsidR="004E023E" w:rsidRPr="0026746B" w:rsidTr="004C60F8">
        <w:trPr>
          <w:trHeight w:val="2111"/>
        </w:trPr>
        <w:tc>
          <w:tcPr>
            <w:tcW w:w="2500" w:type="pct"/>
            <w:shd w:val="clear" w:color="auto" w:fill="auto"/>
            <w:vAlign w:val="center"/>
          </w:tcPr>
          <w:p w:rsidR="004E023E" w:rsidRPr="0026746B" w:rsidRDefault="004E023E" w:rsidP="004E023E">
            <w:pPr>
              <w:spacing w:after="0" w:line="240" w:lineRule="auto"/>
              <w:jc w:val="both"/>
              <w:rPr>
                <w:rFonts w:ascii="Calibri" w:eastAsia="Times New Roman" w:hAnsi="Calibri" w:cs="Calibri"/>
                <w:color w:val="000000"/>
                <w:lang w:val="en-US" w:eastAsia="cs-CZ"/>
              </w:rPr>
            </w:pPr>
            <w:r w:rsidRPr="0026746B">
              <w:rPr>
                <w:rFonts w:ascii="Calibri" w:eastAsia="Times New Roman" w:hAnsi="Calibri" w:cs="Calibri"/>
                <w:color w:val="000000"/>
                <w:lang w:val="en-US" w:eastAsia="cs-CZ"/>
              </w:rPr>
              <w:t>The liability insurance shall also include the obligation to compensate damage or harm caused by a defective product or work inadequately performed. The Seller agrees to present this insurance policy upon request at any time to the Buyer’s contact person for inspection. Non-fulfillment of the obligations under this provision constitutes material breach of the Contract.</w:t>
            </w:r>
          </w:p>
        </w:tc>
        <w:tc>
          <w:tcPr>
            <w:tcW w:w="78" w:type="pct"/>
            <w:shd w:val="clear" w:color="auto" w:fill="auto"/>
            <w:vAlign w:val="center"/>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tcPr>
          <w:p w:rsidR="004E023E" w:rsidRPr="0026746B" w:rsidRDefault="004E023E" w:rsidP="004E023E">
            <w:p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eastAsia="cs-CZ"/>
              </w:rPr>
              <w:t>Pojištění odpovědnosti bude zahrnovat rovněž povinnost nahradit škodu či újmu způsobenou vadným výrobkem nebo vadně vykonanou prací. Tuto pojistnou smlouvu se Prodávající zavazuje kdykoliv na požádání předložit kontaktní osobě Kupujícího k nahlédnutí. Nesplnění závazků dle tohoto ustanovení je podstatným porušením Smlouvy.</w:t>
            </w:r>
          </w:p>
        </w:tc>
      </w:tr>
      <w:tr w:rsidR="004E023E" w:rsidRPr="0026746B" w:rsidTr="004C60F8">
        <w:trPr>
          <w:trHeight w:val="300"/>
        </w:trPr>
        <w:tc>
          <w:tcPr>
            <w:tcW w:w="2500"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78" w:type="pct"/>
            <w:shd w:val="clear" w:color="auto" w:fill="auto"/>
            <w:vAlign w:val="center"/>
            <w:hideMark/>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hideMark/>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r>
      <w:tr w:rsidR="004E023E" w:rsidRPr="0026746B" w:rsidTr="004C60F8">
        <w:trPr>
          <w:trHeight w:val="300"/>
        </w:trPr>
        <w:tc>
          <w:tcPr>
            <w:tcW w:w="2500" w:type="pct"/>
            <w:shd w:val="clear" w:color="auto" w:fill="auto"/>
            <w:vAlign w:val="center"/>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78"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r>
      <w:tr w:rsidR="004E023E" w:rsidRPr="0026746B" w:rsidTr="004C60F8">
        <w:trPr>
          <w:trHeight w:val="300"/>
        </w:trPr>
        <w:tc>
          <w:tcPr>
            <w:tcW w:w="2500" w:type="pct"/>
            <w:shd w:val="clear" w:color="auto" w:fill="auto"/>
            <w:vAlign w:val="center"/>
            <w:hideMark/>
          </w:tcPr>
          <w:p w:rsidR="004E023E" w:rsidRPr="0026746B" w:rsidRDefault="004E023E" w:rsidP="004E023E">
            <w:pPr>
              <w:pStyle w:val="Odstavecseseznamem"/>
              <w:numPr>
                <w:ilvl w:val="0"/>
                <w:numId w:val="1"/>
              </w:numPr>
              <w:spacing w:after="0" w:line="240" w:lineRule="auto"/>
              <w:jc w:val="center"/>
              <w:rPr>
                <w:rFonts w:ascii="Calibri" w:eastAsia="Calibri" w:hAnsi="Calibri" w:cs="Calibri"/>
                <w:b/>
                <w:bCs/>
                <w:color w:val="000000"/>
                <w:lang w:val="en-US" w:eastAsia="cs-CZ"/>
              </w:rPr>
            </w:pPr>
            <w:r w:rsidRPr="0026746B">
              <w:rPr>
                <w:rFonts w:ascii="Calibri" w:eastAsia="Calibri" w:hAnsi="Calibri" w:cs="Calibri"/>
                <w:b/>
                <w:bCs/>
                <w:color w:val="000000"/>
                <w:lang w:val="en-US" w:eastAsia="cs-CZ"/>
              </w:rPr>
              <w:t>FINAL PROVISIONS</w:t>
            </w:r>
          </w:p>
        </w:tc>
        <w:tc>
          <w:tcPr>
            <w:tcW w:w="78" w:type="pct"/>
            <w:shd w:val="clear" w:color="auto" w:fill="auto"/>
            <w:vAlign w:val="center"/>
            <w:hideMark/>
          </w:tcPr>
          <w:p w:rsidR="004E023E" w:rsidRPr="0026746B" w:rsidRDefault="004E023E" w:rsidP="004E023E">
            <w:pPr>
              <w:spacing w:after="0" w:line="240" w:lineRule="auto"/>
              <w:jc w:val="center"/>
              <w:rPr>
                <w:rFonts w:ascii="Calibri" w:eastAsia="Times New Roman" w:hAnsi="Calibri" w:cs="Calibri"/>
                <w:b/>
                <w:bCs/>
                <w:color w:val="000000"/>
                <w:lang w:eastAsia="cs-CZ"/>
              </w:rPr>
            </w:pPr>
          </w:p>
        </w:tc>
        <w:tc>
          <w:tcPr>
            <w:tcW w:w="2422" w:type="pct"/>
            <w:shd w:val="clear" w:color="auto" w:fill="auto"/>
            <w:vAlign w:val="center"/>
            <w:hideMark/>
          </w:tcPr>
          <w:p w:rsidR="004E023E" w:rsidRPr="0026746B" w:rsidRDefault="004E023E" w:rsidP="004E023E">
            <w:pPr>
              <w:pStyle w:val="Odstavecseseznamem"/>
              <w:numPr>
                <w:ilvl w:val="0"/>
                <w:numId w:val="2"/>
              </w:numPr>
              <w:spacing w:after="0" w:line="240" w:lineRule="auto"/>
              <w:jc w:val="center"/>
              <w:rPr>
                <w:rFonts w:ascii="Calibri" w:eastAsia="Calibri" w:hAnsi="Calibri" w:cs="Calibri"/>
                <w:b/>
                <w:bCs/>
                <w:color w:val="000000"/>
                <w:lang w:val="en-US" w:eastAsia="cs-CZ"/>
              </w:rPr>
            </w:pPr>
            <w:bookmarkStart w:id="6" w:name="_Toc482730627"/>
            <w:r w:rsidRPr="0026746B">
              <w:rPr>
                <w:rFonts w:ascii="Calibri" w:eastAsia="Calibri" w:hAnsi="Calibri" w:cs="Calibri"/>
                <w:b/>
                <w:bCs/>
                <w:color w:val="000000"/>
                <w:lang w:val="en-US" w:eastAsia="cs-CZ"/>
              </w:rPr>
              <w:t>ZÁVĚREČNÁ USTANOVENÍ</w:t>
            </w:r>
            <w:bookmarkEnd w:id="6"/>
          </w:p>
        </w:tc>
      </w:tr>
      <w:tr w:rsidR="004E023E" w:rsidRPr="0026746B" w:rsidTr="004C60F8">
        <w:trPr>
          <w:trHeight w:val="300"/>
        </w:trPr>
        <w:tc>
          <w:tcPr>
            <w:tcW w:w="2500" w:type="pct"/>
            <w:shd w:val="clear" w:color="auto" w:fill="auto"/>
            <w:vAlign w:val="center"/>
            <w:hideMark/>
          </w:tcPr>
          <w:p w:rsidR="004E023E" w:rsidRPr="0026746B" w:rsidRDefault="004E023E" w:rsidP="004E023E">
            <w:pPr>
              <w:pStyle w:val="Odstavecseseznamem"/>
              <w:numPr>
                <w:ilvl w:val="0"/>
                <w:numId w:val="13"/>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 xml:space="preserve">The following Annexes form an integral part of this Contract: </w:t>
            </w:r>
          </w:p>
        </w:tc>
        <w:tc>
          <w:tcPr>
            <w:tcW w:w="78"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4E023E" w:rsidRPr="005A7AA7" w:rsidRDefault="004E023E" w:rsidP="004E023E">
            <w:pPr>
              <w:pStyle w:val="Odstavecseseznamem"/>
              <w:numPr>
                <w:ilvl w:val="0"/>
                <w:numId w:val="15"/>
              </w:numPr>
              <w:spacing w:after="0" w:line="240" w:lineRule="auto"/>
              <w:jc w:val="both"/>
              <w:rPr>
                <w:rFonts w:ascii="Calibri" w:eastAsia="Calibri" w:hAnsi="Calibri" w:cs="Calibri"/>
                <w:color w:val="000000"/>
                <w:lang w:eastAsia="cs-CZ"/>
              </w:rPr>
            </w:pPr>
            <w:r w:rsidRPr="005A7AA7">
              <w:rPr>
                <w:rFonts w:ascii="Calibri" w:eastAsia="Calibri" w:hAnsi="Calibri" w:cs="Calibri"/>
                <w:color w:val="000000"/>
                <w:lang w:eastAsia="cs-CZ"/>
              </w:rPr>
              <w:t>Nedílnou součástí Smlouvy jsou níže uvedené přílohy:</w:t>
            </w:r>
          </w:p>
        </w:tc>
      </w:tr>
      <w:tr w:rsidR="004E023E" w:rsidRPr="0026746B" w:rsidTr="004C60F8">
        <w:trPr>
          <w:trHeight w:val="300"/>
        </w:trPr>
        <w:tc>
          <w:tcPr>
            <w:tcW w:w="2500" w:type="pct"/>
            <w:shd w:val="clear" w:color="auto" w:fill="auto"/>
            <w:vAlign w:val="center"/>
            <w:hideMark/>
          </w:tcPr>
          <w:p w:rsidR="004E023E" w:rsidRPr="00E22248" w:rsidRDefault="004E023E" w:rsidP="00D67D7B">
            <w:pPr>
              <w:pStyle w:val="Odstavecseseznamem"/>
              <w:numPr>
                <w:ilvl w:val="0"/>
                <w:numId w:val="14"/>
              </w:numPr>
              <w:spacing w:after="0" w:line="240" w:lineRule="auto"/>
              <w:rPr>
                <w:rFonts w:ascii="Calibri" w:eastAsia="Times New Roman" w:hAnsi="Calibri" w:cs="Calibri"/>
                <w:color w:val="000000"/>
                <w:lang w:eastAsia="cs-CZ"/>
              </w:rPr>
            </w:pPr>
            <w:r w:rsidRPr="00E22248">
              <w:rPr>
                <w:rFonts w:ascii="Calibri" w:eastAsia="Calibri" w:hAnsi="Calibri" w:cs="Calibri"/>
                <w:color w:val="000000"/>
                <w:lang w:val="en-US" w:eastAsia="cs-CZ"/>
              </w:rPr>
              <w:t>Annex no. 1 – Technical Description of Object of Purchase</w:t>
            </w:r>
            <w:r w:rsidR="00FC7A93">
              <w:rPr>
                <w:rFonts w:ascii="Calibri" w:eastAsia="Calibri" w:hAnsi="Calibri" w:cs="Calibri"/>
                <w:color w:val="000000"/>
                <w:lang w:val="en-US" w:eastAsia="cs-CZ"/>
              </w:rPr>
              <w:t xml:space="preserve"> </w:t>
            </w:r>
          </w:p>
        </w:tc>
        <w:tc>
          <w:tcPr>
            <w:tcW w:w="78" w:type="pct"/>
            <w:shd w:val="clear" w:color="auto" w:fill="auto"/>
            <w:vAlign w:val="center"/>
            <w:hideMark/>
          </w:tcPr>
          <w:p w:rsidR="004E023E" w:rsidRPr="0026746B" w:rsidRDefault="004E023E" w:rsidP="004E023E">
            <w:pPr>
              <w:spacing w:after="0" w:line="240" w:lineRule="auto"/>
              <w:ind w:firstLineChars="100" w:firstLine="220"/>
              <w:rPr>
                <w:rFonts w:ascii="Calibri" w:eastAsia="Times New Roman" w:hAnsi="Calibri" w:cs="Calibri"/>
                <w:color w:val="000000"/>
                <w:lang w:eastAsia="cs-CZ"/>
              </w:rPr>
            </w:pPr>
          </w:p>
        </w:tc>
        <w:tc>
          <w:tcPr>
            <w:tcW w:w="2422" w:type="pct"/>
            <w:shd w:val="clear" w:color="auto" w:fill="auto"/>
            <w:vAlign w:val="center"/>
            <w:hideMark/>
          </w:tcPr>
          <w:p w:rsidR="004E023E" w:rsidRPr="00E22248" w:rsidRDefault="004E023E" w:rsidP="00D67D7B">
            <w:pPr>
              <w:pStyle w:val="Odstavecseseznamem"/>
              <w:numPr>
                <w:ilvl w:val="0"/>
                <w:numId w:val="16"/>
              </w:numPr>
              <w:spacing w:after="0" w:line="240" w:lineRule="auto"/>
              <w:rPr>
                <w:rFonts w:ascii="Calibri" w:eastAsia="Times New Roman" w:hAnsi="Calibri" w:cs="Calibri"/>
                <w:color w:val="000000"/>
                <w:lang w:eastAsia="cs-CZ"/>
              </w:rPr>
            </w:pPr>
            <w:r w:rsidRPr="00E22248">
              <w:rPr>
                <w:rFonts w:ascii="Calibri" w:eastAsia="Times New Roman" w:hAnsi="Calibri" w:cs="Calibri"/>
                <w:color w:val="000000"/>
                <w:lang w:eastAsia="cs-CZ"/>
              </w:rPr>
              <w:t>Příloha č. 1 – Technický popis Předmětu koupě</w:t>
            </w:r>
          </w:p>
        </w:tc>
      </w:tr>
      <w:tr w:rsidR="004E023E" w:rsidRPr="0026746B" w:rsidTr="004C60F8">
        <w:trPr>
          <w:trHeight w:val="2100"/>
        </w:trPr>
        <w:tc>
          <w:tcPr>
            <w:tcW w:w="2500" w:type="pct"/>
            <w:shd w:val="clear" w:color="auto" w:fill="auto"/>
            <w:vAlign w:val="center"/>
            <w:hideMark/>
          </w:tcPr>
          <w:p w:rsidR="004E023E" w:rsidRPr="0026746B" w:rsidRDefault="004E023E" w:rsidP="004E023E">
            <w:pPr>
              <w:spacing w:after="0" w:line="240" w:lineRule="auto"/>
              <w:ind w:left="351"/>
              <w:jc w:val="both"/>
              <w:rPr>
                <w:rFonts w:ascii="Calibri" w:eastAsia="Times New Roman" w:hAnsi="Calibri" w:cs="Calibri"/>
                <w:color w:val="000000"/>
                <w:lang w:eastAsia="cs-CZ"/>
              </w:rPr>
            </w:pPr>
            <w:r w:rsidRPr="0026746B">
              <w:rPr>
                <w:rFonts w:ascii="Calibri" w:eastAsia="Times New Roman" w:hAnsi="Calibri" w:cs="Calibri"/>
                <w:color w:val="000000"/>
                <w:lang w:val="en-US" w:eastAsia="cs-CZ"/>
              </w:rPr>
              <w:t>The Parties have agreed that in the case of inconsistencies or contradictions the provisions of Article I to V</w:t>
            </w:r>
            <w:r w:rsidR="00C471F7">
              <w:rPr>
                <w:rFonts w:ascii="Calibri" w:eastAsia="Times New Roman" w:hAnsi="Calibri" w:cs="Calibri"/>
                <w:color w:val="000000"/>
                <w:lang w:val="en-US" w:eastAsia="cs-CZ"/>
              </w:rPr>
              <w:t>I</w:t>
            </w:r>
            <w:r>
              <w:rPr>
                <w:rFonts w:ascii="Calibri" w:eastAsia="Times New Roman" w:hAnsi="Calibri" w:cs="Calibri"/>
                <w:color w:val="000000"/>
                <w:lang w:val="en-US" w:eastAsia="cs-CZ"/>
              </w:rPr>
              <w:t>I</w:t>
            </w:r>
            <w:r w:rsidRPr="0026746B">
              <w:rPr>
                <w:rFonts w:ascii="Calibri" w:eastAsia="Times New Roman" w:hAnsi="Calibri" w:cs="Calibri"/>
                <w:color w:val="000000"/>
                <w:lang w:val="en-US" w:eastAsia="cs-CZ"/>
              </w:rPr>
              <w:t>I of the Contract have preference over the provisions of all the Annexes to the Contract. The Parties have further agreed that in the case of inconsistencies or contradictions between the individual annexes, relevant is the text of the annex the numbering of which mentioned in this clause is lower.</w:t>
            </w:r>
          </w:p>
        </w:tc>
        <w:tc>
          <w:tcPr>
            <w:tcW w:w="78" w:type="pct"/>
            <w:shd w:val="clear" w:color="auto" w:fill="auto"/>
            <w:vAlign w:val="center"/>
            <w:hideMark/>
          </w:tcPr>
          <w:p w:rsidR="004E023E" w:rsidRPr="0026746B" w:rsidRDefault="004E023E" w:rsidP="004E023E">
            <w:pPr>
              <w:spacing w:after="0" w:line="240" w:lineRule="auto"/>
              <w:ind w:firstLineChars="100" w:firstLine="220"/>
              <w:rPr>
                <w:rFonts w:ascii="Calibri" w:eastAsia="Times New Roman" w:hAnsi="Calibri" w:cs="Calibri"/>
                <w:color w:val="000000"/>
                <w:lang w:eastAsia="cs-CZ"/>
              </w:rPr>
            </w:pPr>
          </w:p>
        </w:tc>
        <w:tc>
          <w:tcPr>
            <w:tcW w:w="2422" w:type="pct"/>
            <w:shd w:val="clear" w:color="auto" w:fill="auto"/>
            <w:hideMark/>
          </w:tcPr>
          <w:p w:rsidR="004E023E" w:rsidRPr="0026746B" w:rsidRDefault="004E023E" w:rsidP="00FC7A93">
            <w:pPr>
              <w:spacing w:after="0" w:line="240" w:lineRule="auto"/>
              <w:ind w:left="368"/>
              <w:jc w:val="both"/>
              <w:rPr>
                <w:rFonts w:ascii="Calibri" w:eastAsia="Times New Roman" w:hAnsi="Calibri" w:cs="Calibri"/>
                <w:color w:val="000000"/>
                <w:lang w:eastAsia="cs-CZ"/>
              </w:rPr>
            </w:pPr>
            <w:r w:rsidRPr="0026746B">
              <w:rPr>
                <w:rFonts w:ascii="Calibri" w:eastAsia="Times New Roman" w:hAnsi="Calibri" w:cs="Calibri"/>
                <w:color w:val="000000"/>
                <w:lang w:eastAsia="cs-CZ"/>
              </w:rPr>
              <w:t>Smluvní strany sjednávají, že v případě nesrovnalostí či kontradikcí mají ustanovení čl. I. až V</w:t>
            </w:r>
            <w:r>
              <w:rPr>
                <w:rFonts w:ascii="Calibri" w:eastAsia="Times New Roman" w:hAnsi="Calibri" w:cs="Calibri"/>
                <w:color w:val="000000"/>
                <w:lang w:eastAsia="cs-CZ"/>
              </w:rPr>
              <w:t>I</w:t>
            </w:r>
            <w:r w:rsidR="00C471F7">
              <w:rPr>
                <w:rFonts w:ascii="Calibri" w:eastAsia="Times New Roman" w:hAnsi="Calibri" w:cs="Calibri"/>
                <w:color w:val="000000"/>
                <w:lang w:eastAsia="cs-CZ"/>
              </w:rPr>
              <w:t>I</w:t>
            </w:r>
            <w:r w:rsidRPr="0026746B">
              <w:rPr>
                <w:rFonts w:ascii="Calibri" w:eastAsia="Times New Roman" w:hAnsi="Calibri" w:cs="Calibri"/>
                <w:color w:val="000000"/>
                <w:lang w:eastAsia="cs-CZ"/>
              </w:rPr>
              <w:t>I. Smlouvy přednost před ustanoveními všech příloh Smlouvy. Smluvní strany dále sjednávají, že v případě nesrovnalostí či kontradikcí mezi jednotlivými přílohami je rozhodující znění přílohy, jejíž číselné označení uvedené v tomto odstavci je nižší.</w:t>
            </w:r>
          </w:p>
        </w:tc>
      </w:tr>
      <w:tr w:rsidR="004E023E" w:rsidRPr="0026746B" w:rsidTr="004C60F8">
        <w:trPr>
          <w:trHeight w:val="5100"/>
        </w:trPr>
        <w:tc>
          <w:tcPr>
            <w:tcW w:w="2500" w:type="pct"/>
            <w:shd w:val="clear" w:color="auto" w:fill="auto"/>
            <w:vAlign w:val="center"/>
            <w:hideMark/>
          </w:tcPr>
          <w:p w:rsidR="004E023E" w:rsidRPr="0026746B" w:rsidRDefault="004E023E" w:rsidP="004E023E">
            <w:pPr>
              <w:pStyle w:val="Odstavecseseznamem"/>
              <w:numPr>
                <w:ilvl w:val="0"/>
                <w:numId w:val="13"/>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lastRenderedPageBreak/>
              <w:t>This Contract also includes the BUT General Purchase Terms and Conditions in the version effective as of the date of the opening of the procurement/selection procedure based on which this Contract is entered into (hereinafter abbreviated as “GPTC”). The GPTC have the nature of business terms and conditions as defined in the provision of Section 1751 of Civil Code and provide for the rights and obligations of the Seller and the Buyer if they are not specified in this Contract. In order to prevent any speculations the Parties declare in this context and conclude an agreement to the effect that the expression Contract used in the GPTC means this Contract. At the same time the Parties have agreed that in cases of differences between the provisions of the Contract and the GPTC, preference shall always be given to the provisions of the Contract. The GPTC are available at http://vut.cz/vnp, and the Seller confirms by its signature attached below that it has made itself familiar in detail with and therefore is aware of the GPTC.</w:t>
            </w:r>
          </w:p>
        </w:tc>
        <w:tc>
          <w:tcPr>
            <w:tcW w:w="78" w:type="pct"/>
            <w:shd w:val="clear" w:color="auto" w:fill="auto"/>
            <w:vAlign w:val="center"/>
            <w:hideMark/>
          </w:tcPr>
          <w:p w:rsidR="004E023E" w:rsidRPr="0026746B" w:rsidRDefault="004E023E" w:rsidP="004E023E">
            <w:pPr>
              <w:spacing w:after="0" w:line="240" w:lineRule="auto"/>
              <w:rPr>
                <w:rFonts w:ascii="Calibri" w:eastAsia="Times New Roman" w:hAnsi="Calibri" w:cs="Calibri"/>
                <w:color w:val="000000"/>
                <w:lang w:eastAsia="cs-CZ"/>
              </w:rPr>
            </w:pPr>
          </w:p>
        </w:tc>
        <w:tc>
          <w:tcPr>
            <w:tcW w:w="2422" w:type="pct"/>
            <w:shd w:val="clear" w:color="auto" w:fill="auto"/>
            <w:hideMark/>
          </w:tcPr>
          <w:p w:rsidR="004E023E" w:rsidRPr="005A7AA7" w:rsidRDefault="004E023E" w:rsidP="004E023E">
            <w:pPr>
              <w:pStyle w:val="Odstavecseseznamem"/>
              <w:numPr>
                <w:ilvl w:val="0"/>
                <w:numId w:val="15"/>
              </w:numPr>
              <w:spacing w:after="0" w:line="240" w:lineRule="auto"/>
              <w:jc w:val="both"/>
              <w:rPr>
                <w:rFonts w:ascii="Calibri" w:eastAsia="Calibri" w:hAnsi="Calibri" w:cs="Calibri"/>
                <w:color w:val="000000"/>
                <w:lang w:eastAsia="cs-CZ"/>
              </w:rPr>
            </w:pPr>
            <w:r w:rsidRPr="005A7AA7">
              <w:rPr>
                <w:rFonts w:ascii="Calibri" w:eastAsia="Calibri" w:hAnsi="Calibri" w:cs="Calibri"/>
                <w:color w:val="000000"/>
                <w:lang w:eastAsia="cs-CZ"/>
              </w:rPr>
              <w:t>Součástí této Smlouvy jsou rovněž Všeobecné nákupní podmínky VUT ve znění účinném ke dni zahájení zadávacího/výběrového řízení, na jehož základě je uzavírána tato Smlouva (dále v textu pouze jako „VNP“). VNP mají povahu obchodních podmínek ve smyslu ustanovení § 1751 občanského zákoníku a upravují práva a povinnosti Prodávajícího a Kupujícího v případě, že tyto nejsou specifikovány v této Smlouvě. V té souvislosti rovněž smluvní strany k zamezení jakýchkoli spekulací prohlašují a uzavírají dohodu v tom smyslu, že ve VNP se Smlouvou myslí tato Smlouva. Obě smluvní strany současně ujednávají, že v případě odlišnosti ustanovení Smlouvy a VNP platí vždy ustanovení Smlouvy. VNP jsou dostupné na http://vut.cz/vnp, přičemž Prodávající svým níže uvedeným podpisem stvrzuje, že se s textem VNP detailně seznámil a že jsou mu tudíž známy.</w:t>
            </w:r>
          </w:p>
        </w:tc>
      </w:tr>
      <w:tr w:rsidR="004E023E" w:rsidRPr="0026746B" w:rsidTr="004C60F8">
        <w:trPr>
          <w:trHeight w:val="1200"/>
        </w:trPr>
        <w:tc>
          <w:tcPr>
            <w:tcW w:w="2500" w:type="pct"/>
            <w:shd w:val="clear" w:color="auto" w:fill="auto"/>
            <w:hideMark/>
          </w:tcPr>
          <w:p w:rsidR="004E023E" w:rsidRPr="0026746B" w:rsidRDefault="004E023E" w:rsidP="004E023E">
            <w:pPr>
              <w:pStyle w:val="Odstavecseseznamem"/>
              <w:numPr>
                <w:ilvl w:val="0"/>
                <w:numId w:val="13"/>
              </w:numPr>
              <w:spacing w:after="0" w:line="240" w:lineRule="auto"/>
              <w:rPr>
                <w:rFonts w:ascii="Calibri" w:eastAsia="Calibri" w:hAnsi="Calibri" w:cs="Calibri"/>
                <w:color w:val="000000"/>
                <w:lang w:val="en-US" w:eastAsia="cs-CZ"/>
              </w:rPr>
            </w:pPr>
            <w:r w:rsidRPr="0026746B">
              <w:rPr>
                <w:rFonts w:ascii="Calibri" w:eastAsia="Calibri" w:hAnsi="Calibri" w:cs="Calibri"/>
                <w:color w:val="000000"/>
                <w:lang w:val="en-US" w:eastAsia="cs-CZ"/>
              </w:rPr>
              <w:t>The Seller may only transfer its rights and obligations from this Contract to a third party with a prior written consent of the Buyer. The provision of Section 1879 of Civil Code shall not apply.</w:t>
            </w:r>
          </w:p>
        </w:tc>
        <w:tc>
          <w:tcPr>
            <w:tcW w:w="78"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4E023E" w:rsidRPr="00F523B7" w:rsidRDefault="004E023E" w:rsidP="004E023E">
            <w:pPr>
              <w:pStyle w:val="Odstavecseseznamem"/>
              <w:numPr>
                <w:ilvl w:val="0"/>
                <w:numId w:val="15"/>
              </w:numPr>
              <w:spacing w:after="0" w:line="240" w:lineRule="auto"/>
              <w:jc w:val="both"/>
              <w:rPr>
                <w:rFonts w:ascii="Calibri" w:eastAsia="Calibri" w:hAnsi="Calibri" w:cs="Calibri"/>
                <w:color w:val="000000"/>
                <w:lang w:eastAsia="cs-CZ"/>
              </w:rPr>
            </w:pPr>
            <w:r w:rsidRPr="00F523B7">
              <w:rPr>
                <w:rFonts w:ascii="Calibri" w:eastAsia="Calibri" w:hAnsi="Calibri" w:cs="Calibri"/>
                <w:color w:val="000000"/>
                <w:lang w:eastAsia="cs-CZ"/>
              </w:rPr>
              <w:t>Prodávající je oprávněn přenést svoje práva a povinnosti z této Smlouvy na třetí osobu pouze s předchozím písemným souhlasem Kupujícího. Ustanovení § 1879 občanského zákoníku se nepoužije.</w:t>
            </w:r>
          </w:p>
        </w:tc>
      </w:tr>
      <w:tr w:rsidR="004E023E" w:rsidRPr="0026746B" w:rsidTr="004C60F8">
        <w:trPr>
          <w:trHeight w:val="900"/>
        </w:trPr>
        <w:tc>
          <w:tcPr>
            <w:tcW w:w="2500" w:type="pct"/>
            <w:shd w:val="clear" w:color="auto" w:fill="auto"/>
            <w:vAlign w:val="center"/>
            <w:hideMark/>
          </w:tcPr>
          <w:p w:rsidR="004E023E" w:rsidRPr="0026746B" w:rsidRDefault="004E023E" w:rsidP="004E023E">
            <w:pPr>
              <w:pStyle w:val="Odstavecseseznamem"/>
              <w:numPr>
                <w:ilvl w:val="0"/>
                <w:numId w:val="13"/>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The Seller agrees to tolerate the publishing of this Contract, including amendments, if any, by the Buyer under Section 219 of Act no. 134/2016 Coll., on Public Procurement.</w:t>
            </w:r>
          </w:p>
        </w:tc>
        <w:tc>
          <w:tcPr>
            <w:tcW w:w="78"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4E023E" w:rsidRPr="005A7AA7" w:rsidRDefault="004E023E" w:rsidP="004E023E">
            <w:pPr>
              <w:pStyle w:val="Odstavecseseznamem"/>
              <w:numPr>
                <w:ilvl w:val="0"/>
                <w:numId w:val="15"/>
              </w:numPr>
              <w:spacing w:after="0" w:line="240" w:lineRule="auto"/>
              <w:jc w:val="both"/>
              <w:rPr>
                <w:rFonts w:ascii="Calibri" w:eastAsia="Calibri" w:hAnsi="Calibri" w:cs="Calibri"/>
                <w:color w:val="000000"/>
                <w:lang w:eastAsia="cs-CZ"/>
              </w:rPr>
            </w:pPr>
            <w:r w:rsidRPr="005A7AA7">
              <w:rPr>
                <w:rFonts w:ascii="Calibri" w:eastAsia="Calibri" w:hAnsi="Calibri" w:cs="Calibri"/>
                <w:color w:val="000000"/>
                <w:lang w:eastAsia="cs-CZ"/>
              </w:rPr>
              <w:t>Prodávající se zavazuje strpět uveřejnění této Smlouvy včetně případných dodatků Kupujícím podle § 219 zákona č. 134/2016 Sb., o zadávání veřejných zakázek.</w:t>
            </w:r>
          </w:p>
        </w:tc>
      </w:tr>
      <w:tr w:rsidR="004E023E" w:rsidRPr="0026746B" w:rsidTr="004C60F8">
        <w:trPr>
          <w:trHeight w:val="1500"/>
        </w:trPr>
        <w:tc>
          <w:tcPr>
            <w:tcW w:w="2500" w:type="pct"/>
            <w:shd w:val="clear" w:color="auto" w:fill="auto"/>
            <w:vAlign w:val="center"/>
            <w:hideMark/>
          </w:tcPr>
          <w:p w:rsidR="004E023E" w:rsidRPr="0026746B" w:rsidRDefault="004E023E" w:rsidP="004E023E">
            <w:pPr>
              <w:pStyle w:val="Odstavecseseznamem"/>
              <w:numPr>
                <w:ilvl w:val="0"/>
                <w:numId w:val="13"/>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By signing this Contract the Parties confirm they are aware of the fact that this Contract is subject to the obligation of publishing under Act no. 340/2015 Coll., on Register of Contracts, as amended. The publishing of the Contract is ensured by the Buyer.</w:t>
            </w:r>
          </w:p>
        </w:tc>
        <w:tc>
          <w:tcPr>
            <w:tcW w:w="78"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4E023E" w:rsidRPr="00F523B7" w:rsidRDefault="004E023E" w:rsidP="004E023E">
            <w:pPr>
              <w:pStyle w:val="Odstavecseseznamem"/>
              <w:numPr>
                <w:ilvl w:val="0"/>
                <w:numId w:val="15"/>
              </w:numPr>
              <w:spacing w:after="0" w:line="240" w:lineRule="auto"/>
              <w:jc w:val="both"/>
              <w:rPr>
                <w:rFonts w:ascii="Calibri" w:eastAsia="Calibri" w:hAnsi="Calibri" w:cs="Calibri"/>
                <w:color w:val="000000"/>
                <w:lang w:eastAsia="cs-CZ"/>
              </w:rPr>
            </w:pPr>
            <w:r w:rsidRPr="00F523B7">
              <w:rPr>
                <w:rFonts w:ascii="Calibri" w:eastAsia="Calibri" w:hAnsi="Calibri" w:cs="Calibri"/>
                <w:color w:val="000000"/>
                <w:lang w:eastAsia="cs-CZ"/>
              </w:rPr>
              <w:t>Smluvní strany podpisem na této Smlouvě potvrzují, že jsou si vědomy, že se na tuto Smlouvu vztahuje povinnost jejího uveřejnění dle zákona č. 340/2015 Sb., o registru smluv, v platném znění. Uveřejnění Smlouvy zajišťuje Kupující.</w:t>
            </w:r>
          </w:p>
        </w:tc>
      </w:tr>
      <w:tr w:rsidR="004E023E" w:rsidRPr="0026746B" w:rsidTr="004C60F8">
        <w:trPr>
          <w:trHeight w:val="2100"/>
        </w:trPr>
        <w:tc>
          <w:tcPr>
            <w:tcW w:w="2500" w:type="pct"/>
            <w:shd w:val="clear" w:color="auto" w:fill="auto"/>
            <w:vAlign w:val="center"/>
            <w:hideMark/>
          </w:tcPr>
          <w:p w:rsidR="004E023E" w:rsidRPr="0026746B" w:rsidRDefault="004E023E" w:rsidP="004E023E">
            <w:pPr>
              <w:pStyle w:val="Odstavecseseznamem"/>
              <w:numPr>
                <w:ilvl w:val="0"/>
                <w:numId w:val="13"/>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Should any of the provisions of the Contract become invalid or ineffective, this shall not affect the other provisions of this Contract which remain valid and effective. In such case the Parties undertake to replace by agreement the invalid or ineffective provision with valid and effective provision which best corresponds to the originally intended purpose of the invalid or ineffective provision.</w:t>
            </w:r>
          </w:p>
        </w:tc>
        <w:tc>
          <w:tcPr>
            <w:tcW w:w="78"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4E023E" w:rsidRPr="005A7AA7" w:rsidRDefault="004E023E" w:rsidP="004E023E">
            <w:pPr>
              <w:pStyle w:val="Odstavecseseznamem"/>
              <w:numPr>
                <w:ilvl w:val="0"/>
                <w:numId w:val="15"/>
              </w:numPr>
              <w:spacing w:after="0" w:line="240" w:lineRule="auto"/>
              <w:jc w:val="both"/>
              <w:rPr>
                <w:rFonts w:ascii="Calibri" w:eastAsia="Calibri" w:hAnsi="Calibri" w:cs="Calibri"/>
                <w:color w:val="000000"/>
                <w:lang w:eastAsia="cs-CZ"/>
              </w:rPr>
            </w:pPr>
            <w:r w:rsidRPr="005A7AA7">
              <w:rPr>
                <w:rFonts w:ascii="Calibri" w:eastAsia="Calibri" w:hAnsi="Calibri" w:cs="Calibri"/>
                <w:color w:val="000000"/>
                <w:lang w:eastAsia="cs-CZ"/>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tc>
      </w:tr>
      <w:tr w:rsidR="004E023E" w:rsidRPr="0026746B" w:rsidTr="004C60F8">
        <w:trPr>
          <w:trHeight w:val="1546"/>
        </w:trPr>
        <w:tc>
          <w:tcPr>
            <w:tcW w:w="2500" w:type="pct"/>
            <w:shd w:val="clear" w:color="auto" w:fill="auto"/>
            <w:vAlign w:val="center"/>
          </w:tcPr>
          <w:p w:rsidR="004E023E" w:rsidRPr="0026746B" w:rsidRDefault="004E023E" w:rsidP="004E023E">
            <w:pPr>
              <w:pStyle w:val="Odstavecseseznamem"/>
              <w:numPr>
                <w:ilvl w:val="0"/>
                <w:numId w:val="13"/>
              </w:numPr>
              <w:spacing w:after="0" w:line="240" w:lineRule="auto"/>
              <w:jc w:val="both"/>
              <w:rPr>
                <w:rFonts w:ascii="Calibri" w:eastAsia="Calibri" w:hAnsi="Calibri" w:cs="Calibri"/>
                <w:color w:val="000000"/>
                <w:lang w:val="en-US" w:eastAsia="cs-CZ"/>
              </w:rPr>
            </w:pPr>
            <w:r w:rsidRPr="00BF2609">
              <w:rPr>
                <w:rFonts w:ascii="Calibri" w:hAnsi="Calibri"/>
              </w:rPr>
              <w:lastRenderedPageBreak/>
              <w:t xml:space="preserve">Any dispute which may arise out of this </w:t>
            </w:r>
            <w:r>
              <w:rPr>
                <w:rFonts w:ascii="Calibri" w:hAnsi="Calibri"/>
              </w:rPr>
              <w:t>Contract</w:t>
            </w:r>
            <w:r w:rsidRPr="00BF2609">
              <w:rPr>
                <w:rFonts w:ascii="Calibri" w:hAnsi="Calibri"/>
              </w:rPr>
              <w:t xml:space="preserve"> or in connection herewith shall be resolved by the competent courts of the </w:t>
            </w:r>
            <w:r w:rsidRPr="005449B9">
              <w:rPr>
                <w:rFonts w:ascii="Calibri" w:hAnsi="Calibri"/>
              </w:rPr>
              <w:t>Czech Republic</w:t>
            </w:r>
            <w:r w:rsidRPr="00BF2609">
              <w:rPr>
                <w:rFonts w:ascii="Calibri" w:hAnsi="Calibri"/>
              </w:rPr>
              <w:t>, and each party accepts such jurisdiction as convenient.</w:t>
            </w:r>
          </w:p>
        </w:tc>
        <w:tc>
          <w:tcPr>
            <w:tcW w:w="78" w:type="pct"/>
            <w:shd w:val="clear" w:color="auto" w:fill="auto"/>
            <w:vAlign w:val="center"/>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tcPr>
          <w:p w:rsidR="004E023E" w:rsidRPr="005A7AA7" w:rsidRDefault="004E023E" w:rsidP="004E023E">
            <w:pPr>
              <w:pStyle w:val="Odstavecseseznamem"/>
              <w:numPr>
                <w:ilvl w:val="0"/>
                <w:numId w:val="15"/>
              </w:numPr>
              <w:spacing w:after="0" w:line="240" w:lineRule="auto"/>
              <w:jc w:val="both"/>
              <w:rPr>
                <w:rFonts w:ascii="Calibri" w:eastAsia="Calibri" w:hAnsi="Calibri" w:cs="Calibri"/>
                <w:color w:val="000000"/>
                <w:lang w:eastAsia="cs-CZ"/>
              </w:rPr>
            </w:pPr>
            <w:r w:rsidRPr="00F54DE3">
              <w:rPr>
                <w:rFonts w:ascii="Calibri" w:hAnsi="Calibri"/>
                <w:bCs/>
              </w:rPr>
              <w:t xml:space="preserve">Jakýkoli spor vyplývající z této Smlouvy nebo v souvislosti s ní bude rozhodován příslušnými soudy </w:t>
            </w:r>
            <w:r w:rsidRPr="005449B9">
              <w:rPr>
                <w:rFonts w:ascii="Calibri" w:hAnsi="Calibri"/>
                <w:bCs/>
              </w:rPr>
              <w:t>České republiky</w:t>
            </w:r>
            <w:r w:rsidRPr="00F54DE3">
              <w:rPr>
                <w:rFonts w:ascii="Calibri" w:hAnsi="Calibri"/>
                <w:bCs/>
              </w:rPr>
              <w:t>, přičemž každá ze Smluvních stran prohlašuje, že takovou příslušnost považuje za jí vyhovující.</w:t>
            </w:r>
          </w:p>
        </w:tc>
      </w:tr>
      <w:tr w:rsidR="004E023E" w:rsidRPr="0026746B" w:rsidTr="004C60F8">
        <w:trPr>
          <w:trHeight w:val="2400"/>
        </w:trPr>
        <w:tc>
          <w:tcPr>
            <w:tcW w:w="2500" w:type="pct"/>
            <w:shd w:val="clear" w:color="auto" w:fill="auto"/>
            <w:vAlign w:val="center"/>
            <w:hideMark/>
          </w:tcPr>
          <w:p w:rsidR="004E023E" w:rsidRPr="0026746B" w:rsidRDefault="004E023E" w:rsidP="004E023E">
            <w:pPr>
              <w:pStyle w:val="Odstavecseseznamem"/>
              <w:numPr>
                <w:ilvl w:val="0"/>
                <w:numId w:val="13"/>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This Contract contains the entire agreement on the subject-matter of the Contract and all the essentials which the Parties should and wished to agree on in the Contract and which they view as important for this Contract to be binding. No declaration of the Parties made during the negotiations of this Contract or declaration made after the signature of this Contract may be interpreted in conflict with the explicit provisions of this Contract and does not give rise to any obligation of any of the Parties.</w:t>
            </w:r>
          </w:p>
        </w:tc>
        <w:tc>
          <w:tcPr>
            <w:tcW w:w="78"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hideMark/>
          </w:tcPr>
          <w:p w:rsidR="004E023E" w:rsidRPr="005A7AA7" w:rsidRDefault="004E023E" w:rsidP="004E023E">
            <w:pPr>
              <w:pStyle w:val="Odstavecseseznamem"/>
              <w:numPr>
                <w:ilvl w:val="0"/>
                <w:numId w:val="15"/>
              </w:numPr>
              <w:spacing w:after="0" w:line="240" w:lineRule="auto"/>
              <w:jc w:val="both"/>
              <w:rPr>
                <w:rFonts w:ascii="Calibri" w:eastAsia="Calibri" w:hAnsi="Calibri" w:cs="Calibri"/>
                <w:color w:val="000000"/>
                <w:lang w:eastAsia="cs-CZ"/>
              </w:rPr>
            </w:pPr>
            <w:r w:rsidRPr="005A7AA7">
              <w:rPr>
                <w:rFonts w:ascii="Calibri" w:eastAsia="Calibri" w:hAnsi="Calibri" w:cs="Calibri"/>
                <w:color w:val="000000"/>
                <w:lang w:eastAsia="cs-CZ"/>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tc>
      </w:tr>
      <w:tr w:rsidR="004E023E" w:rsidRPr="0026746B" w:rsidTr="004C60F8">
        <w:trPr>
          <w:trHeight w:val="900"/>
        </w:trPr>
        <w:tc>
          <w:tcPr>
            <w:tcW w:w="2500" w:type="pct"/>
            <w:shd w:val="clear" w:color="auto" w:fill="auto"/>
            <w:vAlign w:val="center"/>
            <w:hideMark/>
          </w:tcPr>
          <w:p w:rsidR="004E023E" w:rsidRPr="0026746B" w:rsidRDefault="004E023E" w:rsidP="004E023E">
            <w:pPr>
              <w:pStyle w:val="Odstavecseseznamem"/>
              <w:numPr>
                <w:ilvl w:val="0"/>
                <w:numId w:val="13"/>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This Contract is drawn up in four counterparts of which each has the validity of original. Each Party shall receive two of these counterparts.</w:t>
            </w:r>
          </w:p>
        </w:tc>
        <w:tc>
          <w:tcPr>
            <w:tcW w:w="78"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4E023E" w:rsidRPr="00F523B7" w:rsidRDefault="004E023E" w:rsidP="004E023E">
            <w:pPr>
              <w:pStyle w:val="Odstavecseseznamem"/>
              <w:numPr>
                <w:ilvl w:val="0"/>
                <w:numId w:val="15"/>
              </w:numPr>
              <w:spacing w:after="0" w:line="240" w:lineRule="auto"/>
              <w:jc w:val="both"/>
              <w:rPr>
                <w:rFonts w:ascii="Calibri" w:eastAsia="Calibri" w:hAnsi="Calibri" w:cs="Calibri"/>
                <w:color w:val="000000"/>
                <w:lang w:eastAsia="cs-CZ"/>
              </w:rPr>
            </w:pPr>
            <w:r w:rsidRPr="00F523B7">
              <w:rPr>
                <w:rFonts w:ascii="Calibri" w:eastAsia="Calibri" w:hAnsi="Calibri" w:cs="Calibri"/>
                <w:color w:val="000000"/>
                <w:lang w:eastAsia="cs-CZ"/>
              </w:rPr>
              <w:t>Tato Smlouva je vyhotovena ve čtyřech stejnopisech, z nichž každý má platnost originálu. Každá smluvní strana obdrží po dvou z nich.</w:t>
            </w:r>
          </w:p>
        </w:tc>
      </w:tr>
      <w:tr w:rsidR="004E023E" w:rsidRPr="0026746B" w:rsidTr="004C60F8">
        <w:trPr>
          <w:trHeight w:val="900"/>
        </w:trPr>
        <w:tc>
          <w:tcPr>
            <w:tcW w:w="2500" w:type="pct"/>
            <w:shd w:val="clear" w:color="auto" w:fill="auto"/>
            <w:vAlign w:val="center"/>
          </w:tcPr>
          <w:p w:rsidR="004E023E" w:rsidRPr="0026746B" w:rsidRDefault="004E023E" w:rsidP="004E023E">
            <w:pPr>
              <w:pStyle w:val="Odstavecseseznamem"/>
              <w:numPr>
                <w:ilvl w:val="0"/>
                <w:numId w:val="13"/>
              </w:numPr>
              <w:spacing w:after="0" w:line="240" w:lineRule="auto"/>
              <w:jc w:val="both"/>
              <w:rPr>
                <w:rFonts w:ascii="Calibri" w:eastAsia="Calibri" w:hAnsi="Calibri" w:cs="Calibri"/>
                <w:color w:val="000000"/>
                <w:lang w:val="en-US" w:eastAsia="cs-CZ"/>
              </w:rPr>
            </w:pPr>
            <w:r w:rsidRPr="0011105A">
              <w:rPr>
                <w:rFonts w:ascii="Calibri" w:hAnsi="Calibri"/>
              </w:rPr>
              <w:t xml:space="preserve">This </w:t>
            </w:r>
            <w:r>
              <w:rPr>
                <w:rFonts w:ascii="Calibri" w:hAnsi="Calibri"/>
              </w:rPr>
              <w:t>Contract</w:t>
            </w:r>
            <w:r w:rsidRPr="0011105A">
              <w:rPr>
                <w:rFonts w:ascii="Calibri" w:hAnsi="Calibri"/>
              </w:rPr>
              <w:t xml:space="preserve"> has been concluded in English and Czech language. In case of any conflict between the English and the Czech version, </w:t>
            </w:r>
            <w:r w:rsidRPr="00C063F1">
              <w:rPr>
                <w:rFonts w:ascii="Calibri" w:hAnsi="Calibri"/>
              </w:rPr>
              <w:t xml:space="preserve">the </w:t>
            </w:r>
            <w:r w:rsidRPr="00B3058C">
              <w:rPr>
                <w:rFonts w:ascii="Calibri" w:hAnsi="Calibri"/>
              </w:rPr>
              <w:t xml:space="preserve">Czech </w:t>
            </w:r>
            <w:r w:rsidRPr="0011105A">
              <w:rPr>
                <w:rFonts w:ascii="Calibri" w:hAnsi="Calibri"/>
              </w:rPr>
              <w:t>version shall prevail.</w:t>
            </w:r>
          </w:p>
        </w:tc>
        <w:tc>
          <w:tcPr>
            <w:tcW w:w="78" w:type="pct"/>
            <w:shd w:val="clear" w:color="auto" w:fill="auto"/>
            <w:vAlign w:val="center"/>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tcPr>
          <w:p w:rsidR="004E023E" w:rsidRPr="005A7AA7" w:rsidRDefault="004E023E" w:rsidP="004E023E">
            <w:pPr>
              <w:pStyle w:val="Odstavecseseznamem"/>
              <w:numPr>
                <w:ilvl w:val="0"/>
                <w:numId w:val="15"/>
              </w:numPr>
              <w:spacing w:after="0" w:line="240" w:lineRule="auto"/>
              <w:jc w:val="both"/>
              <w:rPr>
                <w:rFonts w:ascii="Calibri" w:eastAsia="Calibri" w:hAnsi="Calibri" w:cs="Calibri"/>
                <w:color w:val="000000"/>
                <w:lang w:eastAsia="cs-CZ"/>
              </w:rPr>
            </w:pPr>
            <w:r w:rsidRPr="00A01508">
              <w:rPr>
                <w:rFonts w:ascii="Calibri" w:hAnsi="Calibri"/>
                <w:bCs/>
              </w:rPr>
              <w:t xml:space="preserve">Tato Smlouva je sepsána v anglickém a českém jazyce. V případě rozporu mezi anglickou a českou verzí je </w:t>
            </w:r>
            <w:r w:rsidRPr="00C063F1">
              <w:rPr>
                <w:rFonts w:ascii="Calibri" w:hAnsi="Calibri"/>
                <w:bCs/>
              </w:rPr>
              <w:t xml:space="preserve">česká </w:t>
            </w:r>
            <w:r w:rsidRPr="0011105A">
              <w:rPr>
                <w:rFonts w:ascii="Calibri" w:hAnsi="Calibri"/>
                <w:bCs/>
              </w:rPr>
              <w:t>verze</w:t>
            </w:r>
            <w:r w:rsidRPr="00A01508">
              <w:rPr>
                <w:rFonts w:ascii="Calibri" w:hAnsi="Calibri"/>
                <w:bCs/>
              </w:rPr>
              <w:t xml:space="preserve"> rozhodující.</w:t>
            </w:r>
          </w:p>
        </w:tc>
      </w:tr>
      <w:tr w:rsidR="004E023E" w:rsidRPr="0026746B" w:rsidTr="004C60F8">
        <w:trPr>
          <w:trHeight w:val="900"/>
        </w:trPr>
        <w:tc>
          <w:tcPr>
            <w:tcW w:w="2500" w:type="pct"/>
            <w:shd w:val="clear" w:color="auto" w:fill="auto"/>
            <w:vAlign w:val="center"/>
            <w:hideMark/>
          </w:tcPr>
          <w:p w:rsidR="004E023E" w:rsidRPr="0026746B" w:rsidRDefault="004E023E" w:rsidP="004E023E">
            <w:pPr>
              <w:pStyle w:val="Odstavecseseznamem"/>
              <w:numPr>
                <w:ilvl w:val="0"/>
                <w:numId w:val="13"/>
              </w:numPr>
              <w:spacing w:after="0" w:line="240" w:lineRule="auto"/>
              <w:jc w:val="both"/>
              <w:rPr>
                <w:rFonts w:ascii="Calibri" w:eastAsia="Calibri" w:hAnsi="Calibri" w:cs="Calibri"/>
                <w:color w:val="000000"/>
                <w:lang w:val="en-US" w:eastAsia="cs-CZ"/>
              </w:rPr>
            </w:pPr>
            <w:r w:rsidRPr="0026746B">
              <w:rPr>
                <w:rFonts w:ascii="Calibri" w:eastAsia="Calibri" w:hAnsi="Calibri" w:cs="Calibri"/>
                <w:color w:val="000000"/>
                <w:lang w:val="en-US" w:eastAsia="cs-CZ"/>
              </w:rPr>
              <w:t>The Parties confirm that they have read this Contract before signing it and they approve its content. In witness whereof they attach their signatures.</w:t>
            </w:r>
          </w:p>
        </w:tc>
        <w:tc>
          <w:tcPr>
            <w:tcW w:w="78"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4E023E" w:rsidRPr="00F523B7" w:rsidRDefault="004E023E" w:rsidP="004E023E">
            <w:pPr>
              <w:pStyle w:val="Odstavecseseznamem"/>
              <w:numPr>
                <w:ilvl w:val="0"/>
                <w:numId w:val="15"/>
              </w:numPr>
              <w:spacing w:after="0" w:line="240" w:lineRule="auto"/>
              <w:jc w:val="both"/>
              <w:rPr>
                <w:rFonts w:ascii="Calibri" w:eastAsia="Calibri" w:hAnsi="Calibri" w:cs="Calibri"/>
                <w:color w:val="000000"/>
                <w:lang w:eastAsia="cs-CZ"/>
              </w:rPr>
            </w:pPr>
            <w:r w:rsidRPr="00F523B7">
              <w:rPr>
                <w:rFonts w:ascii="Calibri" w:eastAsia="Calibri" w:hAnsi="Calibri" w:cs="Calibri"/>
                <w:color w:val="000000"/>
                <w:lang w:eastAsia="cs-CZ"/>
              </w:rPr>
              <w:t>Smluvní strany potvrzují, že si tuto Smlouvu před jejím podpisem přečetly a že s jejím obsahem souhlasí. Na důkaz toho připojují své podpisy.</w:t>
            </w:r>
          </w:p>
        </w:tc>
      </w:tr>
      <w:tr w:rsidR="004E023E" w:rsidRPr="0026746B" w:rsidTr="004C60F8">
        <w:trPr>
          <w:trHeight w:val="300"/>
        </w:trPr>
        <w:tc>
          <w:tcPr>
            <w:tcW w:w="2500"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78" w:type="pct"/>
            <w:shd w:val="clear" w:color="auto" w:fill="auto"/>
            <w:vAlign w:val="center"/>
            <w:hideMark/>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hideMark/>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r>
      <w:tr w:rsidR="004E023E" w:rsidRPr="0026746B" w:rsidTr="004C60F8">
        <w:trPr>
          <w:trHeight w:val="300"/>
        </w:trPr>
        <w:tc>
          <w:tcPr>
            <w:tcW w:w="2500" w:type="pct"/>
            <w:shd w:val="clear" w:color="auto" w:fill="auto"/>
            <w:vAlign w:val="center"/>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78"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r>
      <w:tr w:rsidR="004E023E" w:rsidRPr="0026746B" w:rsidTr="004C60F8">
        <w:trPr>
          <w:trHeight w:val="300"/>
        </w:trPr>
        <w:tc>
          <w:tcPr>
            <w:tcW w:w="2500" w:type="pct"/>
            <w:shd w:val="clear" w:color="auto" w:fill="auto"/>
            <w:vAlign w:val="center"/>
            <w:hideMark/>
          </w:tcPr>
          <w:p w:rsidR="004E023E" w:rsidRPr="0026746B" w:rsidRDefault="004E023E" w:rsidP="00D67D7B">
            <w:pPr>
              <w:spacing w:after="0" w:line="240" w:lineRule="auto"/>
              <w:jc w:val="both"/>
              <w:rPr>
                <w:rFonts w:ascii="Calibri" w:eastAsia="Times New Roman" w:hAnsi="Calibri" w:cs="Calibri"/>
                <w:color w:val="000000"/>
                <w:lang w:eastAsia="cs-CZ"/>
              </w:rPr>
            </w:pPr>
            <w:r w:rsidRPr="0026746B">
              <w:rPr>
                <w:rFonts w:ascii="Calibri" w:eastAsia="Times New Roman" w:hAnsi="Calibri" w:cs="Calibri"/>
                <w:color w:val="000000"/>
                <w:lang w:val="en-US" w:eastAsia="cs-CZ"/>
              </w:rPr>
              <w:t xml:space="preserve">In </w:t>
            </w:r>
            <w:r w:rsidR="00D67D7B">
              <w:rPr>
                <w:rFonts w:ascii="Calibri" w:eastAsia="Times New Roman" w:hAnsi="Calibri" w:cs="Calibri"/>
                <w:color w:val="000000"/>
                <w:lang w:val="en-US" w:eastAsia="cs-CZ"/>
              </w:rPr>
              <w:t>England</w:t>
            </w:r>
            <w:r w:rsidRPr="0026746B">
              <w:rPr>
                <w:rFonts w:ascii="Calibri" w:eastAsia="Times New Roman" w:hAnsi="Calibri" w:cs="Calibri"/>
                <w:color w:val="000000"/>
                <w:lang w:val="en-US" w:eastAsia="cs-CZ"/>
              </w:rPr>
              <w:t xml:space="preserve"> on </w:t>
            </w:r>
            <w:r w:rsidR="00D271BB">
              <w:rPr>
                <w:rFonts w:ascii="Calibri" w:eastAsia="Times New Roman" w:hAnsi="Calibri" w:cs="Calibri"/>
                <w:color w:val="000000"/>
                <w:lang w:val="en-US" w:eastAsia="cs-CZ"/>
              </w:rPr>
              <w:t>20/Feb/2018</w:t>
            </w:r>
          </w:p>
        </w:tc>
        <w:tc>
          <w:tcPr>
            <w:tcW w:w="78" w:type="pct"/>
            <w:shd w:val="clear" w:color="auto" w:fill="auto"/>
            <w:vAlign w:val="center"/>
            <w:hideMark/>
          </w:tcPr>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2422" w:type="pct"/>
            <w:shd w:val="clear" w:color="auto" w:fill="auto"/>
            <w:vAlign w:val="center"/>
            <w:hideMark/>
          </w:tcPr>
          <w:p w:rsidR="004E023E" w:rsidRPr="0026746B" w:rsidRDefault="004E023E" w:rsidP="00B92755">
            <w:pPr>
              <w:spacing w:after="0" w:line="240" w:lineRule="auto"/>
              <w:jc w:val="both"/>
              <w:rPr>
                <w:rFonts w:ascii="Calibri" w:eastAsia="Times New Roman" w:hAnsi="Calibri" w:cs="Calibri"/>
                <w:color w:val="000000"/>
                <w:lang w:eastAsia="cs-CZ"/>
              </w:rPr>
            </w:pPr>
            <w:r w:rsidRPr="0026746B">
              <w:rPr>
                <w:rFonts w:ascii="Calibri" w:eastAsia="Calibri" w:hAnsi="Calibri" w:cs="Calibri"/>
                <w:color w:val="000000"/>
                <w:lang w:eastAsia="cs-CZ"/>
              </w:rPr>
              <w:t xml:space="preserve">V Brně dne </w:t>
            </w:r>
            <w:r w:rsidR="00D271BB">
              <w:rPr>
                <w:rFonts w:ascii="Calibri" w:eastAsia="Calibri" w:hAnsi="Calibri" w:cs="Calibri"/>
                <w:color w:val="000000"/>
                <w:lang w:eastAsia="cs-CZ"/>
              </w:rPr>
              <w:t>2</w:t>
            </w:r>
            <w:r w:rsidR="00B92755">
              <w:rPr>
                <w:rFonts w:ascii="Calibri" w:eastAsia="Calibri" w:hAnsi="Calibri" w:cs="Calibri"/>
                <w:color w:val="000000"/>
                <w:lang w:eastAsia="cs-CZ"/>
              </w:rPr>
              <w:t>8</w:t>
            </w:r>
            <w:bookmarkStart w:id="7" w:name="_GoBack"/>
            <w:bookmarkEnd w:id="7"/>
            <w:r w:rsidR="00D271BB">
              <w:rPr>
                <w:rFonts w:ascii="Calibri" w:eastAsia="Calibri" w:hAnsi="Calibri" w:cs="Calibri"/>
                <w:color w:val="000000"/>
                <w:lang w:eastAsia="cs-CZ"/>
              </w:rPr>
              <w:t>. 2. 2018</w:t>
            </w:r>
          </w:p>
        </w:tc>
      </w:tr>
      <w:tr w:rsidR="004E023E" w:rsidRPr="0026746B" w:rsidTr="004C60F8">
        <w:trPr>
          <w:trHeight w:val="300"/>
        </w:trPr>
        <w:tc>
          <w:tcPr>
            <w:tcW w:w="2500" w:type="pct"/>
            <w:shd w:val="clear" w:color="auto" w:fill="auto"/>
            <w:vAlign w:val="center"/>
            <w:hideMark/>
          </w:tcPr>
          <w:p w:rsidR="004E023E" w:rsidRDefault="004E023E" w:rsidP="004E023E">
            <w:pPr>
              <w:spacing w:after="0" w:line="240" w:lineRule="auto"/>
              <w:jc w:val="both"/>
              <w:rPr>
                <w:rFonts w:ascii="Calibri" w:eastAsia="Times New Roman" w:hAnsi="Calibri" w:cs="Calibri"/>
                <w:color w:val="000000"/>
                <w:lang w:eastAsia="cs-CZ"/>
              </w:rPr>
            </w:pPr>
          </w:p>
          <w:p w:rsidR="004E023E" w:rsidRDefault="004E023E" w:rsidP="004E023E">
            <w:pPr>
              <w:spacing w:after="0" w:line="240" w:lineRule="auto"/>
              <w:jc w:val="both"/>
              <w:rPr>
                <w:rFonts w:ascii="Calibri" w:eastAsia="Times New Roman" w:hAnsi="Calibri" w:cs="Calibri"/>
                <w:color w:val="000000"/>
                <w:lang w:eastAsia="cs-CZ"/>
              </w:rPr>
            </w:pPr>
          </w:p>
          <w:p w:rsidR="004E023E" w:rsidRDefault="004E023E" w:rsidP="004E023E">
            <w:pPr>
              <w:spacing w:after="0" w:line="240" w:lineRule="auto"/>
              <w:jc w:val="both"/>
              <w:rPr>
                <w:rFonts w:ascii="Calibri" w:eastAsia="Times New Roman" w:hAnsi="Calibri" w:cs="Calibri"/>
                <w:color w:val="000000"/>
                <w:lang w:eastAsia="cs-CZ"/>
              </w:rPr>
            </w:pPr>
          </w:p>
          <w:p w:rsidR="004E023E" w:rsidRPr="00D271BB" w:rsidRDefault="00D271BB" w:rsidP="00D271BB">
            <w:pPr>
              <w:spacing w:after="0" w:line="240" w:lineRule="auto"/>
              <w:jc w:val="center"/>
              <w:rPr>
                <w:rFonts w:ascii="Calibri" w:eastAsia="Times New Roman" w:hAnsi="Calibri" w:cs="Calibri"/>
                <w:i/>
                <w:color w:val="A6A6A6" w:themeColor="background1" w:themeShade="A6"/>
                <w:lang w:eastAsia="cs-CZ"/>
              </w:rPr>
            </w:pPr>
            <w:r w:rsidRPr="00D271BB">
              <w:rPr>
                <w:rFonts w:ascii="Calibri" w:eastAsia="Times New Roman" w:hAnsi="Calibri" w:cs="Calibri"/>
                <w:i/>
                <w:color w:val="A6A6A6" w:themeColor="background1" w:themeShade="A6"/>
                <w:lang w:eastAsia="cs-CZ"/>
              </w:rPr>
              <w:t>podpis, otisk razítka</w:t>
            </w:r>
          </w:p>
          <w:p w:rsidR="004E023E" w:rsidRPr="0026746B" w:rsidRDefault="004E023E" w:rsidP="004E023E">
            <w:pPr>
              <w:spacing w:after="0" w:line="240" w:lineRule="auto"/>
              <w:jc w:val="both"/>
              <w:rPr>
                <w:rFonts w:ascii="Calibri" w:eastAsia="Times New Roman" w:hAnsi="Calibri" w:cs="Calibri"/>
                <w:color w:val="000000"/>
                <w:lang w:eastAsia="cs-CZ"/>
              </w:rPr>
            </w:pPr>
          </w:p>
        </w:tc>
        <w:tc>
          <w:tcPr>
            <w:tcW w:w="78" w:type="pct"/>
            <w:shd w:val="clear" w:color="auto" w:fill="auto"/>
            <w:vAlign w:val="center"/>
            <w:hideMark/>
          </w:tcPr>
          <w:p w:rsidR="004E023E" w:rsidRPr="0026746B" w:rsidRDefault="004E023E" w:rsidP="004E023E">
            <w:pPr>
              <w:spacing w:after="0" w:line="240" w:lineRule="auto"/>
              <w:jc w:val="both"/>
              <w:rPr>
                <w:rFonts w:ascii="Times New Roman" w:eastAsia="Times New Roman" w:hAnsi="Times New Roman" w:cs="Times New Roman"/>
                <w:sz w:val="20"/>
                <w:szCs w:val="20"/>
                <w:lang w:eastAsia="cs-CZ"/>
              </w:rPr>
            </w:pPr>
          </w:p>
        </w:tc>
        <w:tc>
          <w:tcPr>
            <w:tcW w:w="2422" w:type="pct"/>
            <w:shd w:val="clear" w:color="auto" w:fill="auto"/>
            <w:vAlign w:val="center"/>
            <w:hideMark/>
          </w:tcPr>
          <w:p w:rsidR="004E023E" w:rsidRPr="00A51C51" w:rsidRDefault="004E023E" w:rsidP="004E023E">
            <w:pPr>
              <w:spacing w:after="0" w:line="240" w:lineRule="auto"/>
              <w:jc w:val="both"/>
              <w:rPr>
                <w:rFonts w:ascii="Calibri" w:eastAsia="Times New Roman" w:hAnsi="Calibri" w:cs="Calibri"/>
                <w:color w:val="000000"/>
                <w:lang w:eastAsia="cs-CZ"/>
              </w:rPr>
            </w:pPr>
          </w:p>
          <w:p w:rsidR="004E023E" w:rsidRPr="00A51C51" w:rsidRDefault="004E023E" w:rsidP="004E023E">
            <w:pPr>
              <w:spacing w:after="0" w:line="240" w:lineRule="auto"/>
              <w:jc w:val="both"/>
              <w:rPr>
                <w:rFonts w:ascii="Calibri" w:eastAsia="Times New Roman" w:hAnsi="Calibri" w:cs="Calibri"/>
                <w:color w:val="000000"/>
                <w:lang w:eastAsia="cs-CZ"/>
              </w:rPr>
            </w:pPr>
          </w:p>
          <w:p w:rsidR="004E023E" w:rsidRPr="00A51C51" w:rsidRDefault="004E023E" w:rsidP="004E023E">
            <w:pPr>
              <w:spacing w:after="0" w:line="240" w:lineRule="auto"/>
              <w:jc w:val="both"/>
              <w:rPr>
                <w:rFonts w:ascii="Calibri" w:eastAsia="Times New Roman" w:hAnsi="Calibri" w:cs="Calibri"/>
                <w:color w:val="000000"/>
                <w:lang w:eastAsia="cs-CZ"/>
              </w:rPr>
            </w:pPr>
          </w:p>
          <w:p w:rsidR="004E023E" w:rsidRPr="00A51C51" w:rsidRDefault="00D271BB" w:rsidP="00D271BB">
            <w:pPr>
              <w:spacing w:after="0" w:line="240" w:lineRule="auto"/>
              <w:jc w:val="center"/>
              <w:rPr>
                <w:rFonts w:ascii="Calibri" w:eastAsia="Times New Roman" w:hAnsi="Calibri" w:cs="Calibri"/>
                <w:color w:val="000000"/>
                <w:lang w:eastAsia="cs-CZ"/>
              </w:rPr>
            </w:pPr>
            <w:r w:rsidRPr="00D271BB">
              <w:rPr>
                <w:rFonts w:ascii="Calibri" w:eastAsia="Times New Roman" w:hAnsi="Calibri" w:cs="Calibri"/>
                <w:i/>
                <w:color w:val="A6A6A6" w:themeColor="background1" w:themeShade="A6"/>
                <w:lang w:eastAsia="cs-CZ"/>
              </w:rPr>
              <w:t>podpis, otisk razítka</w:t>
            </w:r>
          </w:p>
          <w:p w:rsidR="004E023E" w:rsidRPr="0026746B" w:rsidRDefault="004E023E" w:rsidP="004E023E">
            <w:pPr>
              <w:spacing w:after="0" w:line="240" w:lineRule="auto"/>
              <w:jc w:val="both"/>
              <w:rPr>
                <w:rFonts w:ascii="Calibri" w:eastAsia="Times New Roman" w:hAnsi="Calibri" w:cs="Calibri"/>
                <w:color w:val="000000"/>
                <w:lang w:eastAsia="cs-CZ"/>
              </w:rPr>
            </w:pPr>
          </w:p>
        </w:tc>
      </w:tr>
      <w:tr w:rsidR="004E023E" w:rsidRPr="0026746B" w:rsidTr="004C60F8">
        <w:trPr>
          <w:trHeight w:val="300"/>
        </w:trPr>
        <w:tc>
          <w:tcPr>
            <w:tcW w:w="2500" w:type="pct"/>
            <w:shd w:val="clear" w:color="auto" w:fill="auto"/>
            <w:vAlign w:val="center"/>
            <w:hideMark/>
          </w:tcPr>
          <w:p w:rsidR="004E023E" w:rsidRPr="0026746B" w:rsidRDefault="004E023E" w:rsidP="004E023E">
            <w:pPr>
              <w:spacing w:after="0" w:line="240" w:lineRule="auto"/>
              <w:jc w:val="center"/>
              <w:rPr>
                <w:rFonts w:ascii="Calibri" w:eastAsia="Times New Roman" w:hAnsi="Calibri" w:cs="Calibri"/>
                <w:color w:val="000000"/>
                <w:lang w:eastAsia="cs-CZ"/>
              </w:rPr>
            </w:pPr>
            <w:r w:rsidRPr="0026746B">
              <w:rPr>
                <w:rFonts w:ascii="Calibri" w:eastAsia="Times New Roman" w:hAnsi="Calibri" w:cs="Calibri"/>
                <w:color w:val="000000"/>
                <w:lang w:val="en-US" w:eastAsia="cs-CZ"/>
              </w:rPr>
              <w:t>………………………………....................</w:t>
            </w:r>
          </w:p>
        </w:tc>
        <w:tc>
          <w:tcPr>
            <w:tcW w:w="78" w:type="pct"/>
            <w:shd w:val="clear" w:color="auto" w:fill="auto"/>
            <w:vAlign w:val="center"/>
            <w:hideMark/>
          </w:tcPr>
          <w:p w:rsidR="004E023E" w:rsidRPr="0026746B" w:rsidRDefault="004E023E" w:rsidP="004E023E">
            <w:pPr>
              <w:spacing w:after="0" w:line="240" w:lineRule="auto"/>
              <w:jc w:val="center"/>
              <w:rPr>
                <w:rFonts w:ascii="Calibri" w:eastAsia="Times New Roman" w:hAnsi="Calibri" w:cs="Calibri"/>
                <w:color w:val="000000"/>
                <w:lang w:eastAsia="cs-CZ"/>
              </w:rPr>
            </w:pPr>
          </w:p>
        </w:tc>
        <w:tc>
          <w:tcPr>
            <w:tcW w:w="2422" w:type="pct"/>
            <w:shd w:val="clear" w:color="auto" w:fill="auto"/>
            <w:vAlign w:val="center"/>
            <w:hideMark/>
          </w:tcPr>
          <w:p w:rsidR="004E023E" w:rsidRPr="0026746B" w:rsidRDefault="004E023E" w:rsidP="004E023E">
            <w:pPr>
              <w:spacing w:after="0" w:line="240" w:lineRule="auto"/>
              <w:jc w:val="center"/>
              <w:rPr>
                <w:rFonts w:ascii="Calibri" w:eastAsia="Times New Roman" w:hAnsi="Calibri" w:cs="Calibri"/>
                <w:color w:val="000000"/>
                <w:lang w:eastAsia="cs-CZ"/>
              </w:rPr>
            </w:pPr>
            <w:r w:rsidRPr="0026746B">
              <w:rPr>
                <w:rFonts w:ascii="Calibri" w:eastAsia="Calibri" w:hAnsi="Calibri" w:cs="Calibri"/>
                <w:color w:val="000000"/>
                <w:lang w:eastAsia="cs-CZ"/>
              </w:rPr>
              <w:t>………………………………....................</w:t>
            </w:r>
          </w:p>
        </w:tc>
      </w:tr>
      <w:tr w:rsidR="004E023E" w:rsidRPr="0026746B" w:rsidTr="004C60F8">
        <w:trPr>
          <w:trHeight w:val="300"/>
        </w:trPr>
        <w:tc>
          <w:tcPr>
            <w:tcW w:w="2500" w:type="pct"/>
            <w:shd w:val="clear" w:color="auto" w:fill="auto"/>
            <w:hideMark/>
          </w:tcPr>
          <w:p w:rsidR="004E023E" w:rsidRDefault="00D67D7B" w:rsidP="004E023E">
            <w:pPr>
              <w:spacing w:after="0" w:line="240" w:lineRule="auto"/>
              <w:jc w:val="center"/>
              <w:rPr>
                <w:rFonts w:ascii="Calibri" w:eastAsia="Times New Roman" w:hAnsi="Calibri" w:cs="Calibri"/>
                <w:color w:val="000000"/>
                <w:lang w:val="en-US" w:eastAsia="cs-CZ"/>
              </w:rPr>
            </w:pPr>
            <w:r>
              <w:rPr>
                <w:rFonts w:ascii="Calibri" w:eastAsia="Times New Roman" w:hAnsi="Calibri" w:cs="Calibri"/>
                <w:color w:val="000000"/>
                <w:lang w:val="en-US" w:eastAsia="cs-CZ"/>
              </w:rPr>
              <w:t xml:space="preserve">Dr. Richard J. </w:t>
            </w:r>
            <w:proofErr w:type="spellStart"/>
            <w:r>
              <w:rPr>
                <w:rFonts w:ascii="Calibri" w:eastAsia="Times New Roman" w:hAnsi="Calibri" w:cs="Calibri"/>
                <w:color w:val="000000"/>
                <w:lang w:val="en-US" w:eastAsia="cs-CZ"/>
              </w:rPr>
              <w:t>Wylde</w:t>
            </w:r>
            <w:proofErr w:type="spellEnd"/>
            <w:r>
              <w:rPr>
                <w:rFonts w:ascii="Calibri" w:eastAsia="Times New Roman" w:hAnsi="Calibri" w:cs="Calibri"/>
                <w:color w:val="000000"/>
                <w:lang w:val="en-US" w:eastAsia="cs-CZ"/>
              </w:rPr>
              <w:t>,</w:t>
            </w:r>
          </w:p>
          <w:p w:rsidR="00D67D7B" w:rsidRPr="0026746B" w:rsidRDefault="00D67D7B" w:rsidP="004E023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val="en-US" w:eastAsia="cs-CZ"/>
              </w:rPr>
              <w:t>of Thomas Keating Ltd.</w:t>
            </w:r>
          </w:p>
        </w:tc>
        <w:tc>
          <w:tcPr>
            <w:tcW w:w="78" w:type="pct"/>
            <w:shd w:val="clear" w:color="auto" w:fill="auto"/>
            <w:vAlign w:val="center"/>
            <w:hideMark/>
          </w:tcPr>
          <w:p w:rsidR="004E023E" w:rsidRPr="0026746B" w:rsidRDefault="004E023E" w:rsidP="004E023E">
            <w:pPr>
              <w:spacing w:after="0" w:line="240" w:lineRule="auto"/>
              <w:jc w:val="center"/>
              <w:rPr>
                <w:rFonts w:ascii="Calibri" w:eastAsia="Times New Roman" w:hAnsi="Calibri" w:cs="Calibri"/>
                <w:color w:val="000000"/>
                <w:lang w:eastAsia="cs-CZ"/>
              </w:rPr>
            </w:pPr>
          </w:p>
        </w:tc>
        <w:tc>
          <w:tcPr>
            <w:tcW w:w="2422" w:type="pct"/>
            <w:shd w:val="clear" w:color="auto" w:fill="auto"/>
            <w:vAlign w:val="center"/>
            <w:hideMark/>
          </w:tcPr>
          <w:p w:rsidR="004E023E" w:rsidRDefault="004E023E" w:rsidP="004E023E">
            <w:pPr>
              <w:spacing w:after="0" w:line="240" w:lineRule="atLeast"/>
              <w:jc w:val="center"/>
            </w:pPr>
            <w:r w:rsidRPr="00BD6322">
              <w:t>prof. Ing. Radimír Vrba, CSc.</w:t>
            </w:r>
            <w:r>
              <w:t>,</w:t>
            </w:r>
          </w:p>
          <w:p w:rsidR="004E023E" w:rsidRPr="00BD6322" w:rsidRDefault="004E023E" w:rsidP="004E023E">
            <w:pPr>
              <w:spacing w:after="0" w:line="240" w:lineRule="atLeast"/>
              <w:jc w:val="center"/>
            </w:pPr>
            <w:r w:rsidRPr="00BD6322">
              <w:t xml:space="preserve">ředitel </w:t>
            </w:r>
            <w:r>
              <w:t>S</w:t>
            </w:r>
            <w:r w:rsidRPr="00BD6322">
              <w:t>tředoevropského technologického</w:t>
            </w:r>
          </w:p>
          <w:p w:rsidR="004E023E" w:rsidRPr="0026746B" w:rsidRDefault="004E023E" w:rsidP="002B1C1F">
            <w:pPr>
              <w:spacing w:after="0" w:line="240" w:lineRule="auto"/>
              <w:jc w:val="center"/>
              <w:rPr>
                <w:rFonts w:ascii="Calibri" w:eastAsia="Times New Roman" w:hAnsi="Calibri" w:cs="Calibri"/>
                <w:color w:val="000000"/>
                <w:lang w:eastAsia="cs-CZ"/>
              </w:rPr>
            </w:pPr>
            <w:r w:rsidRPr="00BD6322">
              <w:t>institutu VUT v</w:t>
            </w:r>
            <w:r>
              <w:t> </w:t>
            </w:r>
            <w:r w:rsidRPr="00BD6322">
              <w:t>Brně</w:t>
            </w:r>
            <w:r>
              <w:t xml:space="preserve"> / </w:t>
            </w:r>
            <w:r>
              <w:rPr>
                <w:rFonts w:ascii="Calibri" w:hAnsi="Calibri"/>
              </w:rPr>
              <w:t xml:space="preserve">Director of the Central European Institute of Technology of </w:t>
            </w:r>
            <w:r w:rsidR="002B1C1F">
              <w:rPr>
                <w:rFonts w:ascii="Calibri" w:hAnsi="Calibri"/>
              </w:rPr>
              <w:t>B</w:t>
            </w:r>
            <w:r>
              <w:rPr>
                <w:rFonts w:ascii="Calibri" w:hAnsi="Calibri"/>
              </w:rPr>
              <w:t>UT in Brno</w:t>
            </w:r>
          </w:p>
        </w:tc>
      </w:tr>
      <w:tr w:rsidR="004E023E" w:rsidRPr="0026746B" w:rsidTr="004C60F8">
        <w:trPr>
          <w:trHeight w:val="300"/>
        </w:trPr>
        <w:tc>
          <w:tcPr>
            <w:tcW w:w="2500" w:type="pct"/>
            <w:shd w:val="clear" w:color="auto" w:fill="auto"/>
            <w:vAlign w:val="center"/>
            <w:hideMark/>
          </w:tcPr>
          <w:p w:rsidR="004E023E" w:rsidRPr="0026746B" w:rsidRDefault="004E023E" w:rsidP="004E023E">
            <w:pPr>
              <w:spacing w:after="0" w:line="240" w:lineRule="auto"/>
              <w:jc w:val="center"/>
              <w:rPr>
                <w:rFonts w:ascii="Calibri" w:eastAsia="Times New Roman" w:hAnsi="Calibri" w:cs="Calibri"/>
                <w:color w:val="000000"/>
                <w:lang w:eastAsia="cs-CZ"/>
              </w:rPr>
            </w:pPr>
            <w:proofErr w:type="spellStart"/>
            <w:r>
              <w:rPr>
                <w:rFonts w:ascii="Calibri" w:eastAsia="Times New Roman" w:hAnsi="Calibri" w:cs="Calibri"/>
                <w:color w:val="000000"/>
                <w:lang w:val="en-US" w:eastAsia="cs-CZ"/>
              </w:rPr>
              <w:t>za</w:t>
            </w:r>
            <w:proofErr w:type="spellEnd"/>
            <w:r>
              <w:rPr>
                <w:rFonts w:ascii="Calibri" w:eastAsia="Times New Roman" w:hAnsi="Calibri" w:cs="Calibri"/>
                <w:color w:val="000000"/>
                <w:lang w:val="en-US" w:eastAsia="cs-CZ"/>
              </w:rPr>
              <w:t xml:space="preserve"> </w:t>
            </w:r>
            <w:proofErr w:type="spellStart"/>
            <w:r>
              <w:rPr>
                <w:rFonts w:ascii="Calibri" w:eastAsia="Times New Roman" w:hAnsi="Calibri" w:cs="Calibri"/>
                <w:color w:val="000000"/>
                <w:lang w:val="en-US" w:eastAsia="cs-CZ"/>
              </w:rPr>
              <w:t>Prodávajícího</w:t>
            </w:r>
            <w:proofErr w:type="spellEnd"/>
            <w:r>
              <w:rPr>
                <w:rFonts w:ascii="Calibri" w:eastAsia="Times New Roman" w:hAnsi="Calibri" w:cs="Calibri"/>
                <w:color w:val="000000"/>
                <w:lang w:val="en-US" w:eastAsia="cs-CZ"/>
              </w:rPr>
              <w:t>/</w:t>
            </w:r>
            <w:r w:rsidRPr="0026746B">
              <w:rPr>
                <w:rFonts w:ascii="Calibri" w:eastAsia="Times New Roman" w:hAnsi="Calibri" w:cs="Calibri"/>
                <w:color w:val="000000"/>
                <w:lang w:val="en-US" w:eastAsia="cs-CZ"/>
              </w:rPr>
              <w:t xml:space="preserve">For the </w:t>
            </w:r>
            <w:r>
              <w:rPr>
                <w:rFonts w:ascii="Calibri" w:eastAsia="Times New Roman" w:hAnsi="Calibri" w:cs="Calibri"/>
                <w:color w:val="000000"/>
                <w:lang w:val="en-US" w:eastAsia="cs-CZ"/>
              </w:rPr>
              <w:t>Seller</w:t>
            </w:r>
          </w:p>
        </w:tc>
        <w:tc>
          <w:tcPr>
            <w:tcW w:w="78" w:type="pct"/>
            <w:shd w:val="clear" w:color="auto" w:fill="auto"/>
            <w:vAlign w:val="center"/>
            <w:hideMark/>
          </w:tcPr>
          <w:p w:rsidR="004E023E" w:rsidRPr="0026746B" w:rsidRDefault="004E023E" w:rsidP="004E023E">
            <w:pPr>
              <w:spacing w:after="0" w:line="240" w:lineRule="auto"/>
              <w:jc w:val="center"/>
              <w:rPr>
                <w:rFonts w:ascii="Calibri" w:eastAsia="Times New Roman" w:hAnsi="Calibri" w:cs="Calibri"/>
                <w:color w:val="000000"/>
                <w:lang w:eastAsia="cs-CZ"/>
              </w:rPr>
            </w:pPr>
          </w:p>
        </w:tc>
        <w:tc>
          <w:tcPr>
            <w:tcW w:w="2422" w:type="pct"/>
            <w:shd w:val="clear" w:color="auto" w:fill="auto"/>
            <w:vAlign w:val="center"/>
            <w:hideMark/>
          </w:tcPr>
          <w:p w:rsidR="004E023E" w:rsidRPr="0026746B" w:rsidRDefault="004E023E" w:rsidP="004E023E">
            <w:pPr>
              <w:spacing w:after="0" w:line="240" w:lineRule="auto"/>
              <w:jc w:val="center"/>
              <w:rPr>
                <w:rFonts w:ascii="Calibri" w:eastAsia="Times New Roman" w:hAnsi="Calibri" w:cs="Calibri"/>
                <w:color w:val="000000"/>
                <w:lang w:eastAsia="cs-CZ"/>
              </w:rPr>
            </w:pPr>
            <w:r w:rsidRPr="0026746B">
              <w:rPr>
                <w:rFonts w:ascii="Calibri" w:eastAsia="Calibri" w:hAnsi="Calibri" w:cs="Calibri"/>
                <w:color w:val="000000"/>
                <w:lang w:eastAsia="cs-CZ"/>
              </w:rPr>
              <w:t>za Kupujícího</w:t>
            </w:r>
            <w:r>
              <w:rPr>
                <w:rFonts w:ascii="Calibri" w:eastAsia="Calibri" w:hAnsi="Calibri" w:cs="Calibri"/>
                <w:color w:val="000000"/>
                <w:lang w:eastAsia="cs-CZ"/>
              </w:rPr>
              <w:t>/For the Buyer</w:t>
            </w:r>
          </w:p>
        </w:tc>
      </w:tr>
    </w:tbl>
    <w:p w:rsidR="0026746B" w:rsidRDefault="0026746B"/>
    <w:p w:rsidR="001E2859" w:rsidRDefault="001E2859">
      <w:r>
        <w:br w:type="page"/>
      </w:r>
    </w:p>
    <w:p w:rsidR="001E2859" w:rsidRDefault="001E2859" w:rsidP="001E2859">
      <w:pPr>
        <w:pStyle w:val="Nadpis1"/>
        <w:numPr>
          <w:ilvl w:val="0"/>
          <w:numId w:val="0"/>
        </w:numPr>
        <w:jc w:val="center"/>
        <w:rPr>
          <w:lang w:val="en-GB"/>
        </w:rPr>
      </w:pPr>
      <w:bookmarkStart w:id="8" w:name="_Toc483291326"/>
      <w:r>
        <w:rPr>
          <w:lang w:val="en-GB"/>
        </w:rPr>
        <w:lastRenderedPageBreak/>
        <w:t>Příloha č. 1 smlouvy – Technický popis předmětu koupě</w:t>
      </w:r>
    </w:p>
    <w:p w:rsidR="001E2859" w:rsidRPr="001850BB" w:rsidRDefault="001E2859" w:rsidP="001E2859">
      <w:pPr>
        <w:pStyle w:val="Nadpis1"/>
        <w:keepNext/>
        <w:keepLines/>
        <w:pBdr>
          <w:top w:val="none" w:sz="0" w:space="0" w:color="auto"/>
          <w:left w:val="none" w:sz="0" w:space="0" w:color="auto"/>
          <w:bottom w:val="single" w:sz="18" w:space="1" w:color="auto"/>
          <w:right w:val="none" w:sz="0" w:space="0" w:color="auto"/>
        </w:pBdr>
        <w:shd w:val="clear" w:color="auto" w:fill="auto"/>
        <w:spacing w:before="600" w:after="600" w:line="259" w:lineRule="auto"/>
        <w:ind w:left="431" w:hanging="431"/>
        <w:jc w:val="left"/>
        <w:rPr>
          <w:lang w:val="en-GB"/>
        </w:rPr>
      </w:pPr>
      <w:r w:rsidRPr="001850BB">
        <w:rPr>
          <w:lang w:val="en-GB"/>
        </w:rPr>
        <w:t>Introduction</w:t>
      </w:r>
      <w:bookmarkEnd w:id="8"/>
    </w:p>
    <w:p w:rsidR="001E2859" w:rsidRPr="001850BB" w:rsidRDefault="001E2859" w:rsidP="001E2859">
      <w:pPr>
        <w:pStyle w:val="Zkladntext"/>
        <w:rPr>
          <w:lang w:val="en-GB"/>
        </w:rPr>
      </w:pPr>
      <w:r w:rsidRPr="001850BB">
        <w:rPr>
          <w:lang w:val="en-GB"/>
        </w:rPr>
        <w:t xml:space="preserve">The research group wishes to procure a state-of-the-art quasi-optic (QO) mm-wave and terahertz beam transmission and processing system that will form </w:t>
      </w:r>
      <w:r>
        <w:rPr>
          <w:lang w:val="en-GB"/>
        </w:rPr>
        <w:t xml:space="preserve">part of a THz </w:t>
      </w:r>
      <w:r w:rsidRPr="001850BB">
        <w:rPr>
          <w:lang w:val="en-GB"/>
        </w:rPr>
        <w:t>EPR spectrometer at the Brno University of Technology.</w:t>
      </w:r>
    </w:p>
    <w:p w:rsidR="001E2859" w:rsidRPr="001850BB" w:rsidRDefault="001E2859" w:rsidP="001E2859">
      <w:pPr>
        <w:pStyle w:val="Zkladntext"/>
        <w:rPr>
          <w:lang w:val="en-GB"/>
        </w:rPr>
      </w:pPr>
      <w:r w:rsidRPr="001850BB">
        <w:rPr>
          <w:lang w:val="en-GB"/>
        </w:rPr>
        <w:t xml:space="preserve">The spectrometer will be designed such that it can be upgraded to cover a continuous series of waveguide bands from </w:t>
      </w:r>
      <w:r>
        <w:rPr>
          <w:lang w:val="en-GB"/>
        </w:rPr>
        <w:t xml:space="preserve">W-band </w:t>
      </w:r>
      <w:r w:rsidRPr="001850BB">
        <w:rPr>
          <w:lang w:val="en-GB"/>
        </w:rPr>
        <w:t>to 1</w:t>
      </w:r>
      <w:r>
        <w:rPr>
          <w:lang w:val="en-GB"/>
        </w:rPr>
        <w:t>500</w:t>
      </w:r>
      <w:r w:rsidRPr="001850BB">
        <w:rPr>
          <w:lang w:val="en-GB"/>
        </w:rPr>
        <w:t xml:space="preserve"> </w:t>
      </w:r>
      <w:r>
        <w:rPr>
          <w:lang w:val="en-GB"/>
        </w:rPr>
        <w:t>G</w:t>
      </w:r>
      <w:r w:rsidRPr="001850BB">
        <w:rPr>
          <w:lang w:val="en-GB"/>
        </w:rPr>
        <w:t>Hz.</w:t>
      </w:r>
    </w:p>
    <w:p w:rsidR="001E2859" w:rsidRPr="001850BB" w:rsidRDefault="001E2859" w:rsidP="001E2859">
      <w:pPr>
        <w:pStyle w:val="Zkladntext"/>
        <w:rPr>
          <w:lang w:val="en-GB"/>
        </w:rPr>
      </w:pPr>
      <w:r w:rsidRPr="001850BB">
        <w:rPr>
          <w:lang w:val="en-GB"/>
        </w:rPr>
        <w:t xml:space="preserve">This document defines the specifications that must be met by the supplier of the QO EPR </w:t>
      </w:r>
      <w:proofErr w:type="gramStart"/>
      <w:r w:rsidRPr="001850BB">
        <w:rPr>
          <w:lang w:val="en-GB"/>
        </w:rPr>
        <w:t>bridge</w:t>
      </w:r>
      <w:proofErr w:type="gramEnd"/>
      <w:r w:rsidRPr="001850BB">
        <w:rPr>
          <w:lang w:val="en-GB"/>
        </w:rPr>
        <w:t xml:space="preserve"> and the HE11 corrugated waveguide probe.</w:t>
      </w:r>
    </w:p>
    <w:p w:rsidR="001E2859" w:rsidRPr="001850BB" w:rsidRDefault="001E2859" w:rsidP="001E2859">
      <w:pPr>
        <w:pStyle w:val="Zkladntext"/>
        <w:rPr>
          <w:lang w:val="en-GB"/>
        </w:rPr>
      </w:pPr>
      <w:r w:rsidRPr="001850BB">
        <w:rPr>
          <w:lang w:val="en-GB"/>
        </w:rPr>
        <w:t xml:space="preserve">Spectrometer components outside of the work described in this document include a high magnetic field cryogenic magnet, EM-wave source and detector electronic components, mechanical support structures, magnetic field oscillation coils and electronics, interfaces and electronics control by computer and experiment control and data collection software.  </w:t>
      </w:r>
    </w:p>
    <w:p w:rsidR="001E2859" w:rsidRPr="001850BB" w:rsidRDefault="001E2859" w:rsidP="001E2859">
      <w:pPr>
        <w:pStyle w:val="Zkladntext"/>
        <w:rPr>
          <w:lang w:val="en-GB"/>
        </w:rPr>
      </w:pPr>
      <w:r w:rsidRPr="001850BB">
        <w:rPr>
          <w:lang w:val="en-GB"/>
        </w:rPr>
        <w:t xml:space="preserve">The </w:t>
      </w:r>
      <w:r>
        <w:rPr>
          <w:lang w:val="en-GB"/>
        </w:rPr>
        <w:t xml:space="preserve">THz EPR </w:t>
      </w:r>
      <w:r w:rsidRPr="001850BB">
        <w:rPr>
          <w:lang w:val="en-GB"/>
        </w:rPr>
        <w:t>spectrometer will be used for</w:t>
      </w:r>
      <w:r>
        <w:rPr>
          <w:lang w:val="en-GB"/>
        </w:rPr>
        <w:t xml:space="preserve"> investigation of variety of samples ranging from molecular complexes over biological samples to solid state materials in a form of bulk or thin layers.</w:t>
      </w:r>
    </w:p>
    <w:p w:rsidR="001E2859" w:rsidRPr="001850BB" w:rsidRDefault="001E2859" w:rsidP="001E2859">
      <w:pPr>
        <w:pStyle w:val="Nadpis1"/>
        <w:keepNext/>
        <w:keepLines/>
        <w:pBdr>
          <w:top w:val="none" w:sz="0" w:space="0" w:color="auto"/>
          <w:left w:val="none" w:sz="0" w:space="0" w:color="auto"/>
          <w:bottom w:val="single" w:sz="18" w:space="1" w:color="auto"/>
          <w:right w:val="none" w:sz="0" w:space="0" w:color="auto"/>
        </w:pBdr>
        <w:shd w:val="clear" w:color="auto" w:fill="auto"/>
        <w:spacing w:before="600" w:after="600" w:line="259" w:lineRule="auto"/>
        <w:ind w:left="431" w:hanging="431"/>
        <w:jc w:val="left"/>
        <w:rPr>
          <w:lang w:val="en-GB"/>
        </w:rPr>
      </w:pPr>
      <w:r w:rsidRPr="001850BB">
        <w:rPr>
          <w:lang w:val="en-GB"/>
        </w:rPr>
        <w:t>Technical Specifications</w:t>
      </w:r>
    </w:p>
    <w:p w:rsidR="001E2859" w:rsidRPr="001850BB" w:rsidRDefault="001E2859" w:rsidP="001E2859">
      <w:pPr>
        <w:pStyle w:val="Zkladntext"/>
        <w:rPr>
          <w:lang w:val="en-GB"/>
        </w:rPr>
      </w:pPr>
      <w:r w:rsidRPr="001850BB">
        <w:rPr>
          <w:lang w:val="en-GB"/>
        </w:rPr>
        <w:t>The vendor shall carry out the design, manufacture and installation of the QO beam transmission line, which must include the facilities/capabilities that are defined in the following sections.</w:t>
      </w:r>
    </w:p>
    <w:p w:rsidR="001E2859" w:rsidRPr="001850BB" w:rsidRDefault="001E2859" w:rsidP="001E2859">
      <w:pPr>
        <w:pStyle w:val="Nadpis2"/>
        <w:keepNext/>
        <w:keepLines/>
        <w:spacing w:before="400" w:after="200" w:line="259" w:lineRule="auto"/>
        <w:ind w:left="567" w:hanging="567"/>
        <w:jc w:val="left"/>
        <w:rPr>
          <w:lang w:val="en-GB"/>
        </w:rPr>
      </w:pPr>
      <w:r w:rsidRPr="001850BB">
        <w:rPr>
          <w:lang w:val="en-GB"/>
        </w:rPr>
        <w:t>Equipment purpose</w:t>
      </w:r>
    </w:p>
    <w:p w:rsidR="001E2859" w:rsidRPr="001850BB" w:rsidRDefault="001E2859" w:rsidP="001E2859">
      <w:pPr>
        <w:pStyle w:val="Zkladntext"/>
        <w:rPr>
          <w:lang w:val="en-GB"/>
        </w:rPr>
      </w:pPr>
      <w:r w:rsidRPr="001850BB">
        <w:rPr>
          <w:lang w:val="en-GB"/>
        </w:rPr>
        <w:t xml:space="preserve">The QO </w:t>
      </w:r>
      <w:r>
        <w:rPr>
          <w:lang w:val="en-GB"/>
        </w:rPr>
        <w:t>bridge</w:t>
      </w:r>
      <w:r w:rsidRPr="001850BB">
        <w:rPr>
          <w:lang w:val="en-GB"/>
        </w:rPr>
        <w:t xml:space="preserve"> forms part of the </w:t>
      </w:r>
      <w:r>
        <w:rPr>
          <w:lang w:val="en-GB"/>
        </w:rPr>
        <w:t>THz EPR spectrometer and</w:t>
      </w:r>
      <w:r w:rsidRPr="001850BB">
        <w:rPr>
          <w:lang w:val="en-GB"/>
        </w:rPr>
        <w:t xml:space="preserve"> must take an input signal at the horn aperture and route this via an isolator and an inductive-mode wire-grid polariser to form the correct beam waist at the top of the HE11 corrugated waveguide </w:t>
      </w:r>
      <w:proofErr w:type="gramStart"/>
      <w:r w:rsidRPr="001850BB">
        <w:rPr>
          <w:lang w:val="en-GB"/>
        </w:rPr>
        <w:t>probe</w:t>
      </w:r>
      <w:r w:rsidRPr="001850BB" w:rsidDel="00A8573E">
        <w:rPr>
          <w:lang w:val="en-GB"/>
        </w:rPr>
        <w:t xml:space="preserve"> </w:t>
      </w:r>
      <w:r w:rsidRPr="001850BB">
        <w:rPr>
          <w:lang w:val="en-GB"/>
        </w:rPr>
        <w:t>.</w:t>
      </w:r>
      <w:proofErr w:type="gramEnd"/>
    </w:p>
    <w:p w:rsidR="001E2859" w:rsidRPr="001850BB" w:rsidRDefault="001E2859" w:rsidP="001E2859">
      <w:pPr>
        <w:pStyle w:val="Zkladntext"/>
        <w:rPr>
          <w:lang w:val="en-GB"/>
        </w:rPr>
      </w:pPr>
      <w:r w:rsidRPr="001850BB">
        <w:rPr>
          <w:lang w:val="en-GB"/>
        </w:rPr>
        <w:t>The return signal from the HE11 corrugated waveguide probe</w:t>
      </w:r>
      <w:r w:rsidRPr="001850BB" w:rsidDel="00A8573E">
        <w:rPr>
          <w:lang w:val="en-GB"/>
        </w:rPr>
        <w:t xml:space="preserve"> </w:t>
      </w:r>
      <w:r w:rsidRPr="001850BB">
        <w:rPr>
          <w:lang w:val="en-GB"/>
        </w:rPr>
        <w:t>must be separated from the input signal path into a second beam branch, before passing through a second isolator to a receiver feed horn aperture.</w:t>
      </w:r>
    </w:p>
    <w:p w:rsidR="001E2859" w:rsidRPr="001850BB" w:rsidRDefault="001E2859" w:rsidP="001E2859">
      <w:pPr>
        <w:pStyle w:val="Zkladntext"/>
        <w:rPr>
          <w:lang w:val="en-GB"/>
        </w:rPr>
      </w:pPr>
      <w:r w:rsidRPr="001850BB">
        <w:rPr>
          <w:lang w:val="en-GB"/>
        </w:rPr>
        <w:t>Two additional beam branches are used for local oscillator (LO) frequency reference beams that enable a QO heterodyne capability, with both branches connecting beam waists at the two LO horns with that at the HE11 corrugated waveguide probe.</w:t>
      </w:r>
    </w:p>
    <w:p w:rsidR="001E2859" w:rsidRPr="001850BB" w:rsidRDefault="001E2859" w:rsidP="001E2859">
      <w:pPr>
        <w:pStyle w:val="Zkladntext"/>
        <w:rPr>
          <w:lang w:val="en-GB"/>
        </w:rPr>
      </w:pPr>
      <w:r w:rsidRPr="001850BB">
        <w:rPr>
          <w:lang w:val="en-GB"/>
        </w:rPr>
        <w:lastRenderedPageBreak/>
        <w:t>The probe will transmit the beams through the cryostat inside the superconducting magnet using a corrugated waveguide whose lower end tapers to the sample region diameter.  The top of the probe provides connectors for vacuum and electronic equipment and seals the top of the cryostat</w:t>
      </w:r>
      <w:r>
        <w:rPr>
          <w:lang w:val="en-GB"/>
        </w:rPr>
        <w:t>.  The top of the cryostat and the internal profile of the probe must be designed to reduce standing waves</w:t>
      </w:r>
      <w:r w:rsidRPr="001850BB">
        <w:rPr>
          <w:lang w:val="en-GB"/>
        </w:rPr>
        <w:t>.</w:t>
      </w:r>
    </w:p>
    <w:p w:rsidR="001E2859" w:rsidRPr="001850BB" w:rsidRDefault="001E2859" w:rsidP="001E2859">
      <w:pPr>
        <w:pStyle w:val="Zkladntext"/>
        <w:rPr>
          <w:lang w:val="en-GB"/>
        </w:rPr>
      </w:pPr>
      <w:r w:rsidRPr="001850BB">
        <w:rPr>
          <w:lang w:val="en-GB"/>
        </w:rPr>
        <w:t>Corrugated feed horns will convert between Gaussian-profiled QO beams and the TE10 rectangular waveguide in waveguides.</w:t>
      </w:r>
    </w:p>
    <w:p w:rsidR="001E2859" w:rsidRPr="001850BB" w:rsidRDefault="001E2859" w:rsidP="001E2859">
      <w:pPr>
        <w:pStyle w:val="Nadpis3"/>
        <w:keepNext/>
        <w:keepLines/>
        <w:spacing w:before="200" w:after="200" w:line="259" w:lineRule="auto"/>
        <w:ind w:left="709" w:hanging="709"/>
        <w:jc w:val="left"/>
        <w:rPr>
          <w:lang w:val="en-GB"/>
        </w:rPr>
      </w:pPr>
      <w:r w:rsidRPr="001850BB">
        <w:rPr>
          <w:lang w:val="en-GB"/>
        </w:rPr>
        <w:t xml:space="preserve">QO </w:t>
      </w:r>
      <w:r>
        <w:rPr>
          <w:lang w:val="en-GB"/>
        </w:rPr>
        <w:t>bridge</w:t>
      </w:r>
      <w:r w:rsidRPr="001850BB">
        <w:rPr>
          <w:lang w:val="en-GB"/>
        </w:rPr>
        <w:t xml:space="preserve"> components</w:t>
      </w:r>
    </w:p>
    <w:p w:rsidR="001E2859" w:rsidRPr="001850BB" w:rsidRDefault="001E2859" w:rsidP="001E2859">
      <w:pPr>
        <w:pStyle w:val="Zkladntext"/>
        <w:rPr>
          <w:lang w:val="en-GB"/>
        </w:rPr>
      </w:pPr>
      <w:r w:rsidRPr="001850BB">
        <w:rPr>
          <w:lang w:val="en-GB"/>
        </w:rPr>
        <w:t xml:space="preserve">The </w:t>
      </w:r>
      <w:r>
        <w:rPr>
          <w:lang w:val="en-GB"/>
        </w:rPr>
        <w:t xml:space="preserve">bridge is a </w:t>
      </w:r>
      <w:r w:rsidRPr="001850BB">
        <w:rPr>
          <w:lang w:val="en-GB"/>
        </w:rPr>
        <w:t xml:space="preserve">QO table </w:t>
      </w:r>
      <w:r>
        <w:rPr>
          <w:lang w:val="en-GB"/>
        </w:rPr>
        <w:t xml:space="preserve">that </w:t>
      </w:r>
      <w:r w:rsidRPr="001850BB">
        <w:rPr>
          <w:lang w:val="en-GB"/>
        </w:rPr>
        <w:t>must include the following the facilities and capabilities.</w:t>
      </w:r>
    </w:p>
    <w:p w:rsidR="001E2859" w:rsidRPr="001850BB" w:rsidRDefault="001E2859" w:rsidP="001E2859">
      <w:pPr>
        <w:pStyle w:val="Seznam"/>
        <w:numPr>
          <w:ilvl w:val="6"/>
          <w:numId w:val="30"/>
        </w:numPr>
        <w:rPr>
          <w:lang w:val="en-GB"/>
        </w:rPr>
      </w:pPr>
      <w:r w:rsidRPr="001850BB">
        <w:rPr>
          <w:lang w:val="en-GB"/>
        </w:rPr>
        <w:t>It must be fully heterodyne for both signal and phase reference using QO beam branches.</w:t>
      </w:r>
    </w:p>
    <w:p w:rsidR="001E2859" w:rsidRPr="001850BB" w:rsidRDefault="001E2859" w:rsidP="001E2859">
      <w:pPr>
        <w:pStyle w:val="Seznam"/>
        <w:numPr>
          <w:ilvl w:val="7"/>
          <w:numId w:val="30"/>
        </w:numPr>
        <w:rPr>
          <w:lang w:val="en-GB"/>
        </w:rPr>
      </w:pPr>
      <w:r w:rsidRPr="001850BB">
        <w:rPr>
          <w:lang w:val="en-GB"/>
        </w:rPr>
        <w:t>With equal length signal and reference beam paths to eliminate frequency-dependent phase differences or a proved alternative QO scheme.</w:t>
      </w:r>
    </w:p>
    <w:p w:rsidR="001E2859" w:rsidRPr="001850BB" w:rsidRDefault="001E2859" w:rsidP="001E2859">
      <w:pPr>
        <w:pStyle w:val="Seznam"/>
        <w:numPr>
          <w:ilvl w:val="6"/>
          <w:numId w:val="30"/>
        </w:numPr>
        <w:rPr>
          <w:lang w:val="en-GB"/>
        </w:rPr>
      </w:pPr>
      <w:r w:rsidRPr="001850BB">
        <w:rPr>
          <w:lang w:val="en-GB"/>
        </w:rPr>
        <w:t>Frequency-independent operation of optical components using sum of focal length quasi optics (horns and isolators can be exchanged) or a proved alternative QO scheme.</w:t>
      </w:r>
    </w:p>
    <w:p w:rsidR="001E2859" w:rsidRPr="001850BB" w:rsidRDefault="001E2859" w:rsidP="001E2859">
      <w:pPr>
        <w:pStyle w:val="Seznam"/>
        <w:numPr>
          <w:ilvl w:val="6"/>
          <w:numId w:val="30"/>
        </w:numPr>
        <w:rPr>
          <w:lang w:val="en-GB"/>
        </w:rPr>
      </w:pPr>
      <w:r w:rsidRPr="001850BB">
        <w:rPr>
          <w:lang w:val="en-GB"/>
        </w:rPr>
        <w:t>Must accommodate the feed horns described below.</w:t>
      </w:r>
    </w:p>
    <w:p w:rsidR="001E2859" w:rsidRPr="001850BB" w:rsidRDefault="001E2859" w:rsidP="001E2859">
      <w:pPr>
        <w:pStyle w:val="Seznam"/>
        <w:numPr>
          <w:ilvl w:val="6"/>
          <w:numId w:val="30"/>
        </w:numPr>
        <w:rPr>
          <w:lang w:val="en-GB"/>
        </w:rPr>
      </w:pPr>
      <w:r>
        <w:rPr>
          <w:lang w:val="en-GB"/>
        </w:rPr>
        <w:t>Free-space w</w:t>
      </w:r>
      <w:r w:rsidRPr="001850BB">
        <w:rPr>
          <w:lang w:val="en-GB"/>
        </w:rPr>
        <w:t>ire grid polarisers ensuring that well-defined beam polarisations are propagated, eliminating unwanted cross-polar distortions caused by affects such as refocussing at mirrors.</w:t>
      </w:r>
    </w:p>
    <w:p w:rsidR="001E2859" w:rsidRPr="001850BB" w:rsidRDefault="001E2859" w:rsidP="001E2859">
      <w:pPr>
        <w:pStyle w:val="Seznam"/>
        <w:numPr>
          <w:ilvl w:val="6"/>
          <w:numId w:val="30"/>
        </w:numPr>
        <w:rPr>
          <w:lang w:val="en-GB"/>
        </w:rPr>
      </w:pPr>
      <w:r w:rsidRPr="001850BB">
        <w:rPr>
          <w:lang w:val="en-GB"/>
        </w:rPr>
        <w:t>Free-space isolation using tiles of Faraday rotation material (these are included in the required options, below, for different bands) and wire grid polarisers on transmitted and received beams to reduce standing waves and protect active components.</w:t>
      </w:r>
    </w:p>
    <w:p w:rsidR="001E2859" w:rsidRDefault="001E2859" w:rsidP="001E2859">
      <w:pPr>
        <w:pStyle w:val="Seznam"/>
        <w:numPr>
          <w:ilvl w:val="6"/>
          <w:numId w:val="30"/>
        </w:numPr>
        <w:rPr>
          <w:lang w:val="en-GB"/>
        </w:rPr>
      </w:pPr>
      <w:r w:rsidRPr="001850BB">
        <w:rPr>
          <w:lang w:val="en-GB"/>
        </w:rPr>
        <w:t>High performance absorbing loads for terminating unwanted beam polarisations, reducing standing waves to very low levels</w:t>
      </w:r>
      <w:r>
        <w:rPr>
          <w:lang w:val="en-GB"/>
        </w:rPr>
        <w:t xml:space="preserve"> (30 dB)</w:t>
      </w:r>
      <w:r w:rsidRPr="001850BB">
        <w:rPr>
          <w:lang w:val="en-GB"/>
        </w:rPr>
        <w:t>.</w:t>
      </w:r>
    </w:p>
    <w:p w:rsidR="001E2859" w:rsidRDefault="001E2859" w:rsidP="001E2859">
      <w:pPr>
        <w:pStyle w:val="Seznam"/>
        <w:numPr>
          <w:ilvl w:val="6"/>
          <w:numId w:val="30"/>
        </w:numPr>
        <w:rPr>
          <w:lang w:val="en-GB"/>
        </w:rPr>
      </w:pPr>
      <w:r>
        <w:rPr>
          <w:lang w:val="en-GB"/>
        </w:rPr>
        <w:t xml:space="preserve">Sufficient </w:t>
      </w:r>
      <w:r w:rsidRPr="00C10387">
        <w:rPr>
          <w:lang w:val="en-GB"/>
        </w:rPr>
        <w:t xml:space="preserve">sealing </w:t>
      </w:r>
      <w:r w:rsidRPr="0042251D">
        <w:rPr>
          <w:lang w:val="en-GB"/>
        </w:rPr>
        <w:t>with a covering so that beams can propagate in dry air or nitrogen gas.</w:t>
      </w:r>
    </w:p>
    <w:p w:rsidR="001E2859" w:rsidRPr="00C10387" w:rsidRDefault="001E2859" w:rsidP="001E2859">
      <w:pPr>
        <w:pStyle w:val="Seznam"/>
        <w:numPr>
          <w:ilvl w:val="6"/>
          <w:numId w:val="30"/>
        </w:numPr>
        <w:rPr>
          <w:lang w:val="en-GB"/>
        </w:rPr>
      </w:pPr>
      <w:r>
        <w:rPr>
          <w:lang w:val="en-GB"/>
        </w:rPr>
        <w:t>Plate size must be sufficient to support microwave sources and detectors.</w:t>
      </w:r>
    </w:p>
    <w:p w:rsidR="001E2859" w:rsidRPr="001850BB" w:rsidRDefault="001E2859" w:rsidP="001E2859">
      <w:pPr>
        <w:pStyle w:val="Seznam"/>
        <w:numPr>
          <w:ilvl w:val="6"/>
          <w:numId w:val="30"/>
        </w:numPr>
        <w:rPr>
          <w:lang w:val="en-GB"/>
        </w:rPr>
      </w:pPr>
      <w:r w:rsidRPr="001850BB">
        <w:rPr>
          <w:lang w:val="en-GB"/>
        </w:rPr>
        <w:t>Quasi-optics bench plate that has a standardised mounting configuration.</w:t>
      </w:r>
    </w:p>
    <w:p w:rsidR="001E2859" w:rsidRPr="001850BB" w:rsidRDefault="001E2859" w:rsidP="001E2859">
      <w:pPr>
        <w:pStyle w:val="Seznam"/>
        <w:numPr>
          <w:ilvl w:val="7"/>
          <w:numId w:val="30"/>
        </w:numPr>
        <w:rPr>
          <w:lang w:val="en-GB"/>
        </w:rPr>
      </w:pPr>
      <w:r w:rsidRPr="001850BB">
        <w:rPr>
          <w:lang w:val="en-GB"/>
        </w:rPr>
        <w:t>That can be used for precise reconfiguration of component positions to form different beam circuits and functions.</w:t>
      </w:r>
    </w:p>
    <w:p w:rsidR="001E2859" w:rsidRDefault="001E2859" w:rsidP="001E2859">
      <w:pPr>
        <w:pStyle w:val="Seznam"/>
        <w:numPr>
          <w:ilvl w:val="7"/>
          <w:numId w:val="30"/>
        </w:numPr>
        <w:rPr>
          <w:lang w:val="en-GB"/>
        </w:rPr>
      </w:pPr>
      <w:r w:rsidRPr="001850BB">
        <w:rPr>
          <w:lang w:val="en-GB"/>
        </w:rPr>
        <w:t>That can be used to mount and implement further components in the future.</w:t>
      </w:r>
    </w:p>
    <w:p w:rsidR="001E2859" w:rsidRPr="001850BB" w:rsidRDefault="001E2859" w:rsidP="001E2859">
      <w:pPr>
        <w:pStyle w:val="Zkladntext"/>
        <w:rPr>
          <w:lang w:val="en-GB"/>
        </w:rPr>
      </w:pPr>
      <w:r w:rsidRPr="001850BB">
        <w:rPr>
          <w:lang w:val="en-GB"/>
        </w:rPr>
        <w:t>The price for the table must be specified separately.  The price of feed horns, Faraday rotation material and EPR probes must be separate from this.</w:t>
      </w:r>
    </w:p>
    <w:p w:rsidR="001E2859" w:rsidRPr="001850BB" w:rsidRDefault="001E2859" w:rsidP="001E2859">
      <w:pPr>
        <w:pStyle w:val="Nadpis2"/>
        <w:keepNext/>
        <w:keepLines/>
        <w:spacing w:before="400" w:after="200" w:line="259" w:lineRule="auto"/>
        <w:ind w:left="567" w:hanging="567"/>
        <w:jc w:val="left"/>
        <w:rPr>
          <w:lang w:val="en-GB"/>
        </w:rPr>
      </w:pPr>
      <w:r w:rsidRPr="001850BB">
        <w:rPr>
          <w:lang w:val="en-GB"/>
        </w:rPr>
        <w:t>EPR probe components</w:t>
      </w:r>
    </w:p>
    <w:p w:rsidR="001E2859" w:rsidRPr="001850BB" w:rsidRDefault="001E2859" w:rsidP="001E2859">
      <w:pPr>
        <w:pStyle w:val="Zkladntext"/>
        <w:rPr>
          <w:lang w:val="en-GB"/>
        </w:rPr>
      </w:pPr>
      <w:r w:rsidRPr="001850BB">
        <w:rPr>
          <w:lang w:val="en-GB"/>
        </w:rPr>
        <w:t>The EPR probe(s) are options but at least one will be ordered at a similar time to the QO table so that the performances can be proved.  They must include the following facilities and capabilities.</w:t>
      </w:r>
    </w:p>
    <w:p w:rsidR="001E2859" w:rsidRPr="001850BB" w:rsidRDefault="001E2859" w:rsidP="001E2859">
      <w:pPr>
        <w:pStyle w:val="Seznam"/>
        <w:numPr>
          <w:ilvl w:val="6"/>
          <w:numId w:val="29"/>
        </w:numPr>
        <w:rPr>
          <w:lang w:val="en-GB"/>
        </w:rPr>
      </w:pPr>
      <w:r w:rsidRPr="001850BB">
        <w:rPr>
          <w:lang w:val="en-GB"/>
        </w:rPr>
        <w:lastRenderedPageBreak/>
        <w:t>Corrugated circular waveguide with the internal diameters (IDs) specified in the options lists.  Any IDs not specified should be assumed to be 18 mm.</w:t>
      </w:r>
    </w:p>
    <w:p w:rsidR="001E2859" w:rsidRPr="001850BB" w:rsidRDefault="001E2859" w:rsidP="001E2859">
      <w:pPr>
        <w:pStyle w:val="Seznam"/>
        <w:numPr>
          <w:ilvl w:val="7"/>
          <w:numId w:val="29"/>
        </w:numPr>
        <w:rPr>
          <w:lang w:val="en-GB"/>
        </w:rPr>
      </w:pPr>
      <w:r w:rsidRPr="001850BB">
        <w:rPr>
          <w:lang w:val="en-GB"/>
        </w:rPr>
        <w:t>Manufactured of a low thermal conductivity cryogenically compatible metal that is compatible with high field EPR and DNP-NMR.  This should be nickel silver, but alternatives will be considered with proof of their suitability.</w:t>
      </w:r>
    </w:p>
    <w:p w:rsidR="001E2859" w:rsidRPr="001850BB" w:rsidRDefault="001E2859" w:rsidP="001E2859">
      <w:pPr>
        <w:pStyle w:val="Seznam"/>
        <w:numPr>
          <w:ilvl w:val="6"/>
          <w:numId w:val="29"/>
        </w:numPr>
        <w:rPr>
          <w:lang w:val="en-GB"/>
        </w:rPr>
      </w:pPr>
      <w:r w:rsidRPr="001850BB">
        <w:rPr>
          <w:lang w:val="en-GB"/>
        </w:rPr>
        <w:t>Corrugated circular taper from the main waveguide taper to the sample taper.  Dimensions are given in the options list.</w:t>
      </w:r>
    </w:p>
    <w:p w:rsidR="001E2859" w:rsidRPr="001850BB" w:rsidRDefault="001E2859" w:rsidP="001E2859">
      <w:pPr>
        <w:pStyle w:val="Seznam"/>
        <w:numPr>
          <w:ilvl w:val="7"/>
          <w:numId w:val="29"/>
        </w:numPr>
        <w:rPr>
          <w:lang w:val="en-GB"/>
        </w:rPr>
      </w:pPr>
      <w:r w:rsidRPr="001850BB">
        <w:rPr>
          <w:lang w:val="en-GB"/>
        </w:rPr>
        <w:t>To be manufactured from a cryogenically compatible metal that is compatible with high field EPR and DNP-NMR.</w:t>
      </w:r>
    </w:p>
    <w:p w:rsidR="001E2859" w:rsidRPr="001850BB" w:rsidRDefault="001E2859" w:rsidP="001E2859">
      <w:pPr>
        <w:pStyle w:val="Seznam"/>
        <w:numPr>
          <w:ilvl w:val="6"/>
          <w:numId w:val="29"/>
        </w:numPr>
        <w:rPr>
          <w:lang w:val="en-GB"/>
        </w:rPr>
      </w:pPr>
      <w:r w:rsidRPr="001850BB">
        <w:rPr>
          <w:lang w:val="en-GB"/>
        </w:rPr>
        <w:t>Probe head.</w:t>
      </w:r>
    </w:p>
    <w:p w:rsidR="001E2859" w:rsidRPr="001850BB" w:rsidRDefault="001E2859" w:rsidP="001E2859">
      <w:pPr>
        <w:pStyle w:val="Seznam"/>
        <w:numPr>
          <w:ilvl w:val="7"/>
          <w:numId w:val="29"/>
        </w:numPr>
        <w:rPr>
          <w:lang w:val="en-GB"/>
        </w:rPr>
      </w:pPr>
      <w:r w:rsidRPr="001850BB">
        <w:rPr>
          <w:lang w:val="en-GB"/>
        </w:rPr>
        <w:t>To provide a vacuum seal between the cryostat and itself.</w:t>
      </w:r>
    </w:p>
    <w:p w:rsidR="001E2859" w:rsidRPr="001850BB" w:rsidRDefault="001E2859" w:rsidP="001E2859">
      <w:pPr>
        <w:pStyle w:val="Seznam"/>
        <w:numPr>
          <w:ilvl w:val="7"/>
          <w:numId w:val="29"/>
        </w:numPr>
        <w:rPr>
          <w:lang w:val="en-GB"/>
        </w:rPr>
      </w:pPr>
      <w:r w:rsidRPr="001850BB">
        <w:rPr>
          <w:lang w:val="en-GB"/>
        </w:rPr>
        <w:t xml:space="preserve">To provide </w:t>
      </w:r>
      <w:r>
        <w:rPr>
          <w:lang w:val="en-GB"/>
        </w:rPr>
        <w:t>electrical feed-through connectors with a total of at least 2</w:t>
      </w:r>
      <w:r w:rsidRPr="001850BB">
        <w:rPr>
          <w:lang w:val="en-GB"/>
        </w:rPr>
        <w:t>0</w:t>
      </w:r>
      <w:r>
        <w:rPr>
          <w:lang w:val="en-GB"/>
        </w:rPr>
        <w:t xml:space="preserve"> </w:t>
      </w:r>
      <w:r w:rsidRPr="001850BB">
        <w:rPr>
          <w:lang w:val="en-GB"/>
        </w:rPr>
        <w:t>pins.</w:t>
      </w:r>
    </w:p>
    <w:p w:rsidR="001E2859" w:rsidRPr="001850BB" w:rsidRDefault="001E2859" w:rsidP="001E2859">
      <w:pPr>
        <w:pStyle w:val="Seznam"/>
        <w:numPr>
          <w:ilvl w:val="7"/>
          <w:numId w:val="29"/>
        </w:numPr>
        <w:rPr>
          <w:lang w:val="en-GB"/>
        </w:rPr>
      </w:pPr>
      <w:r w:rsidRPr="001850BB">
        <w:rPr>
          <w:lang w:val="en-GB"/>
        </w:rPr>
        <w:t>To provide a KF vacuum port that enables the waveguide and the volume around it to be evacuated.</w:t>
      </w:r>
    </w:p>
    <w:p w:rsidR="001E2859" w:rsidRPr="001850BB" w:rsidRDefault="001E2859" w:rsidP="001E2859">
      <w:pPr>
        <w:pStyle w:val="Seznam"/>
        <w:numPr>
          <w:ilvl w:val="7"/>
          <w:numId w:val="29"/>
        </w:numPr>
        <w:rPr>
          <w:lang w:val="en-GB"/>
        </w:rPr>
      </w:pPr>
      <w:r w:rsidRPr="001850BB">
        <w:rPr>
          <w:lang w:val="en-GB"/>
        </w:rPr>
        <w:t>Vacuum compatible window impedance-matched to the specified central frequency.</w:t>
      </w:r>
    </w:p>
    <w:p w:rsidR="001E2859" w:rsidRPr="001850BB" w:rsidRDefault="001E2859" w:rsidP="001E2859">
      <w:pPr>
        <w:pStyle w:val="Zkladntext"/>
        <w:rPr>
          <w:lang w:val="en-GB"/>
        </w:rPr>
      </w:pPr>
      <w:r w:rsidRPr="001850BB">
        <w:rPr>
          <w:lang w:val="en-GB"/>
        </w:rPr>
        <w:t>The prices for the EPR probes must be specified separately from each other and separately from the QO table and the other components.</w:t>
      </w:r>
    </w:p>
    <w:p w:rsidR="001E2859" w:rsidRPr="001850BB" w:rsidRDefault="001E2859" w:rsidP="001E2859">
      <w:pPr>
        <w:pStyle w:val="Nadpis2"/>
        <w:keepNext/>
        <w:keepLines/>
        <w:spacing w:before="400" w:after="200" w:line="259" w:lineRule="auto"/>
        <w:ind w:left="567" w:hanging="567"/>
        <w:jc w:val="left"/>
        <w:rPr>
          <w:lang w:val="en-GB"/>
        </w:rPr>
      </w:pPr>
      <w:r w:rsidRPr="001850BB">
        <w:rPr>
          <w:lang w:val="en-GB"/>
        </w:rPr>
        <w:t>Feed horns</w:t>
      </w:r>
    </w:p>
    <w:p w:rsidR="001E2859" w:rsidRPr="001850BB" w:rsidRDefault="001E2859" w:rsidP="001E2859">
      <w:pPr>
        <w:pStyle w:val="Zkladntext"/>
        <w:rPr>
          <w:lang w:val="en-GB"/>
        </w:rPr>
      </w:pPr>
      <w:r w:rsidRPr="001850BB">
        <w:rPr>
          <w:lang w:val="en-GB"/>
        </w:rPr>
        <w:t>The antenna horns are options but at least one set will be ordered at a similar time to the QO table so that the performances can be proved.  They must include the following the facilities/capabilities.</w:t>
      </w:r>
    </w:p>
    <w:p w:rsidR="001E2859" w:rsidRPr="001850BB" w:rsidRDefault="001E2859" w:rsidP="001E2859">
      <w:pPr>
        <w:pStyle w:val="Seznam"/>
        <w:numPr>
          <w:ilvl w:val="6"/>
          <w:numId w:val="31"/>
        </w:numPr>
        <w:rPr>
          <w:lang w:val="en-GB"/>
        </w:rPr>
      </w:pPr>
      <w:r w:rsidRPr="001850BB">
        <w:rPr>
          <w:lang w:val="en-GB"/>
        </w:rPr>
        <w:t xml:space="preserve">Corrugated feed horns with a </w:t>
      </w:r>
      <w:r>
        <w:rPr>
          <w:lang w:val="en-GB"/>
        </w:rPr>
        <w:t>98 %</w:t>
      </w:r>
      <w:r w:rsidRPr="001850BB">
        <w:rPr>
          <w:lang w:val="en-GB"/>
        </w:rPr>
        <w:t xml:space="preserve"> Gaussian beam component.</w:t>
      </w:r>
    </w:p>
    <w:p w:rsidR="001E2859" w:rsidRPr="001850BB" w:rsidRDefault="001E2859" w:rsidP="001E2859">
      <w:pPr>
        <w:pStyle w:val="Seznam"/>
        <w:numPr>
          <w:ilvl w:val="6"/>
          <w:numId w:val="31"/>
        </w:numPr>
        <w:rPr>
          <w:lang w:val="en-GB"/>
        </w:rPr>
      </w:pPr>
      <w:r w:rsidRPr="001850BB">
        <w:rPr>
          <w:lang w:val="en-GB"/>
        </w:rPr>
        <w:t>Designed to minimise loss and scattering.</w:t>
      </w:r>
    </w:p>
    <w:p w:rsidR="001E2859" w:rsidRPr="001850BB" w:rsidRDefault="001E2859" w:rsidP="001E2859">
      <w:pPr>
        <w:pStyle w:val="Seznam"/>
        <w:numPr>
          <w:ilvl w:val="6"/>
          <w:numId w:val="31"/>
        </w:numPr>
        <w:rPr>
          <w:lang w:val="en-GB"/>
        </w:rPr>
      </w:pPr>
      <w:r w:rsidRPr="001850BB">
        <w:rPr>
          <w:lang w:val="en-GB"/>
        </w:rPr>
        <w:t>To be manufactured form a material with a high electrical conductivity.</w:t>
      </w:r>
    </w:p>
    <w:p w:rsidR="001E2859" w:rsidRPr="001850BB" w:rsidRDefault="001E2859" w:rsidP="001E2859">
      <w:pPr>
        <w:pStyle w:val="Seznam"/>
        <w:numPr>
          <w:ilvl w:val="6"/>
          <w:numId w:val="31"/>
        </w:numPr>
        <w:rPr>
          <w:lang w:val="en-GB"/>
        </w:rPr>
      </w:pPr>
      <w:r w:rsidRPr="001850BB">
        <w:rPr>
          <w:lang w:val="en-GB"/>
        </w:rPr>
        <w:t>Rectangular waveguide interface connections to be UG-387/U-M flanges.</w:t>
      </w:r>
    </w:p>
    <w:p w:rsidR="001E2859" w:rsidRPr="001850BB" w:rsidRDefault="001E2859" w:rsidP="001E2859">
      <w:pPr>
        <w:pStyle w:val="Seznam"/>
        <w:numPr>
          <w:ilvl w:val="6"/>
          <w:numId w:val="31"/>
        </w:numPr>
        <w:rPr>
          <w:lang w:val="en-GB"/>
        </w:rPr>
      </w:pPr>
      <w:r w:rsidRPr="001850BB">
        <w:rPr>
          <w:lang w:val="en-GB"/>
        </w:rPr>
        <w:t>Mounts for connection to the QO table to be included.</w:t>
      </w:r>
    </w:p>
    <w:p w:rsidR="001E2859" w:rsidRPr="001850BB" w:rsidRDefault="001E2859" w:rsidP="001E2859">
      <w:pPr>
        <w:pStyle w:val="Zkladntext"/>
        <w:rPr>
          <w:lang w:val="en-GB"/>
        </w:rPr>
      </w:pPr>
      <w:r w:rsidRPr="001850BB">
        <w:rPr>
          <w:lang w:val="en-GB"/>
        </w:rPr>
        <w:t xml:space="preserve">The prices for the </w:t>
      </w:r>
      <w:r>
        <w:rPr>
          <w:lang w:val="en-GB"/>
        </w:rPr>
        <w:t>f</w:t>
      </w:r>
      <w:r w:rsidRPr="001850BB">
        <w:rPr>
          <w:lang w:val="en-GB"/>
        </w:rPr>
        <w:t>eed horns</w:t>
      </w:r>
      <w:r w:rsidRPr="001850BB" w:rsidDel="00936A43">
        <w:rPr>
          <w:lang w:val="en-GB"/>
        </w:rPr>
        <w:t xml:space="preserve"> </w:t>
      </w:r>
      <w:r w:rsidRPr="001850BB">
        <w:rPr>
          <w:lang w:val="en-GB"/>
        </w:rPr>
        <w:t>must be specified separately from each other and separately from the QO table and the other components.</w:t>
      </w:r>
    </w:p>
    <w:p w:rsidR="001E2859" w:rsidRPr="001850BB" w:rsidRDefault="001E2859" w:rsidP="001E2859">
      <w:pPr>
        <w:pStyle w:val="Nadpis2"/>
        <w:keepNext/>
        <w:keepLines/>
        <w:spacing w:before="400" w:after="200" w:line="259" w:lineRule="auto"/>
        <w:ind w:left="567" w:hanging="567"/>
        <w:jc w:val="left"/>
        <w:rPr>
          <w:lang w:val="en-GB"/>
        </w:rPr>
      </w:pPr>
      <w:r w:rsidRPr="001850BB">
        <w:rPr>
          <w:lang w:val="en-GB"/>
        </w:rPr>
        <w:t>Isolator tiles</w:t>
      </w:r>
    </w:p>
    <w:p w:rsidR="001E2859" w:rsidRPr="001850BB" w:rsidRDefault="001E2859" w:rsidP="001E2859">
      <w:pPr>
        <w:pStyle w:val="Zkladntext"/>
        <w:rPr>
          <w:lang w:val="en-GB"/>
        </w:rPr>
      </w:pPr>
      <w:r w:rsidRPr="001850BB">
        <w:rPr>
          <w:lang w:val="en-GB"/>
        </w:rPr>
        <w:t>The tiles used for isolation are options but at least one set will be ordered at a similar time to the QO table so that the performances can be proved.  They must include the following facilities and capabilities.</w:t>
      </w:r>
    </w:p>
    <w:p w:rsidR="001E2859" w:rsidRPr="001850BB" w:rsidRDefault="001E2859" w:rsidP="001E2859">
      <w:pPr>
        <w:pStyle w:val="Seznam"/>
        <w:numPr>
          <w:ilvl w:val="6"/>
          <w:numId w:val="28"/>
        </w:numPr>
        <w:rPr>
          <w:lang w:val="en-GB"/>
        </w:rPr>
      </w:pPr>
      <w:r w:rsidRPr="001850BB">
        <w:rPr>
          <w:lang w:val="en-GB"/>
        </w:rPr>
        <w:t>To be manufactured from a Faraday rotation material.  The beam should be rotated in the same sense during each pass to allow forward and reflected beams to be separated by other components.</w:t>
      </w:r>
    </w:p>
    <w:p w:rsidR="001E2859" w:rsidRDefault="001E2859" w:rsidP="001E2859">
      <w:pPr>
        <w:pStyle w:val="Seznam"/>
        <w:numPr>
          <w:ilvl w:val="6"/>
          <w:numId w:val="28"/>
        </w:numPr>
        <w:rPr>
          <w:lang w:val="en-GB"/>
        </w:rPr>
      </w:pPr>
      <w:r w:rsidRPr="001850BB">
        <w:rPr>
          <w:lang w:val="en-GB"/>
        </w:rPr>
        <w:t>To enable free-space isolation of the beams with minimal edge-taper losses.</w:t>
      </w:r>
    </w:p>
    <w:p w:rsidR="001E2859" w:rsidRDefault="001E2859" w:rsidP="001E2859">
      <w:pPr>
        <w:pStyle w:val="Seznam"/>
        <w:numPr>
          <w:ilvl w:val="6"/>
          <w:numId w:val="28"/>
        </w:numPr>
        <w:rPr>
          <w:lang w:val="en-GB"/>
        </w:rPr>
      </w:pPr>
      <w:r>
        <w:rPr>
          <w:lang w:val="en-GB"/>
        </w:rPr>
        <w:t>Bandwidths:</w:t>
      </w:r>
    </w:p>
    <w:p w:rsidR="001E2859" w:rsidRDefault="001E2859" w:rsidP="001E2859">
      <w:pPr>
        <w:pStyle w:val="Seznam"/>
        <w:numPr>
          <w:ilvl w:val="7"/>
          <w:numId w:val="28"/>
        </w:numPr>
        <w:rPr>
          <w:lang w:val="en-GB"/>
        </w:rPr>
      </w:pPr>
      <w:r>
        <w:rPr>
          <w:lang w:val="en-GB"/>
        </w:rPr>
        <w:lastRenderedPageBreak/>
        <w:t>Above W-band, bandwidths must be equivalent to the corresponding rectangular waveguide bandwidth.</w:t>
      </w:r>
    </w:p>
    <w:p w:rsidR="001E2859" w:rsidRPr="00335ADB" w:rsidRDefault="001E2859" w:rsidP="001E2859">
      <w:pPr>
        <w:pStyle w:val="Seznam"/>
        <w:numPr>
          <w:ilvl w:val="7"/>
          <w:numId w:val="28"/>
        </w:numPr>
        <w:rPr>
          <w:lang w:val="en-GB"/>
        </w:rPr>
      </w:pPr>
      <w:r w:rsidRPr="00C10387">
        <w:rPr>
          <w:lang w:val="en-GB"/>
        </w:rPr>
        <w:t>For W-band</w:t>
      </w:r>
      <w:r w:rsidRPr="00335ADB">
        <w:rPr>
          <w:lang w:val="en-GB"/>
        </w:rPr>
        <w:t>, bandwidths must be &gt; 1 GHz, and bandwidth and frequency restrictions must be stated in the bid.</w:t>
      </w:r>
    </w:p>
    <w:p w:rsidR="001E2859" w:rsidRDefault="001E2859" w:rsidP="001E2859">
      <w:pPr>
        <w:pStyle w:val="Seznam"/>
        <w:numPr>
          <w:ilvl w:val="6"/>
          <w:numId w:val="28"/>
        </w:numPr>
        <w:rPr>
          <w:lang w:val="en-GB"/>
        </w:rPr>
      </w:pPr>
      <w:r w:rsidRPr="001850BB">
        <w:rPr>
          <w:lang w:val="en-GB"/>
        </w:rPr>
        <w:t>To include impedance-matching material coatings for the centre frequencies of the bands given.</w:t>
      </w:r>
    </w:p>
    <w:p w:rsidR="001E2859" w:rsidRPr="001850BB" w:rsidRDefault="001E2859" w:rsidP="001E2859">
      <w:pPr>
        <w:pStyle w:val="Seznam"/>
        <w:numPr>
          <w:ilvl w:val="6"/>
          <w:numId w:val="28"/>
        </w:numPr>
        <w:rPr>
          <w:lang w:val="en-GB"/>
        </w:rPr>
      </w:pPr>
      <w:r>
        <w:rPr>
          <w:lang w:val="en-GB"/>
        </w:rPr>
        <w:t>To be quickly exchangeable between experiments.</w:t>
      </w:r>
    </w:p>
    <w:p w:rsidR="001E2859" w:rsidRPr="001850BB" w:rsidRDefault="001E2859" w:rsidP="001E2859">
      <w:pPr>
        <w:pStyle w:val="Zkladntext"/>
        <w:rPr>
          <w:lang w:val="en-GB"/>
        </w:rPr>
      </w:pPr>
      <w:r w:rsidRPr="001850BB">
        <w:rPr>
          <w:lang w:val="en-GB"/>
        </w:rPr>
        <w:t>The prices for the isolator tiles must be specified separately from each other and separately from the QO table and the other components.</w:t>
      </w:r>
    </w:p>
    <w:p w:rsidR="001E2859" w:rsidRPr="001850BB" w:rsidRDefault="001E2859" w:rsidP="001E2859">
      <w:pPr>
        <w:pStyle w:val="Nadpis2"/>
        <w:keepNext/>
        <w:keepLines/>
        <w:spacing w:before="400" w:after="200" w:line="259" w:lineRule="auto"/>
        <w:ind w:left="567" w:hanging="567"/>
        <w:jc w:val="left"/>
        <w:rPr>
          <w:lang w:val="en-GB"/>
        </w:rPr>
      </w:pPr>
      <w:r w:rsidRPr="001850BB">
        <w:rPr>
          <w:lang w:val="en-GB"/>
        </w:rPr>
        <w:t>Performance specifications</w:t>
      </w:r>
    </w:p>
    <w:p w:rsidR="001E2859" w:rsidRDefault="001E2859" w:rsidP="001E2859">
      <w:pPr>
        <w:pStyle w:val="Seznam"/>
        <w:numPr>
          <w:ilvl w:val="6"/>
          <w:numId w:val="32"/>
        </w:numPr>
        <w:rPr>
          <w:lang w:val="en-GB"/>
        </w:rPr>
      </w:pPr>
      <w:r w:rsidRPr="001850BB">
        <w:rPr>
          <w:lang w:val="en-GB"/>
        </w:rPr>
        <w:t xml:space="preserve">The full sub-system frequency range is 75 GHz to </w:t>
      </w:r>
      <w:r w:rsidRPr="004B0E9C">
        <w:rPr>
          <w:lang w:val="en-GB"/>
        </w:rPr>
        <w:t>1200</w:t>
      </w:r>
      <w:r w:rsidRPr="001850BB">
        <w:rPr>
          <w:lang w:val="en-GB"/>
        </w:rPr>
        <w:t xml:space="preserve"> GHz</w:t>
      </w:r>
    </w:p>
    <w:p w:rsidR="001E2859" w:rsidRPr="001850BB" w:rsidRDefault="001E2859" w:rsidP="001E2859">
      <w:pPr>
        <w:pStyle w:val="Seznam"/>
        <w:numPr>
          <w:ilvl w:val="6"/>
          <w:numId w:val="32"/>
        </w:numPr>
        <w:rPr>
          <w:lang w:val="en-GB"/>
        </w:rPr>
      </w:pPr>
      <w:r>
        <w:rPr>
          <w:lang w:val="en-GB"/>
        </w:rPr>
        <w:t xml:space="preserve">The extended </w:t>
      </w:r>
      <w:r w:rsidRPr="001850BB">
        <w:rPr>
          <w:lang w:val="en-GB"/>
        </w:rPr>
        <w:t xml:space="preserve">sub-system </w:t>
      </w:r>
      <w:r>
        <w:rPr>
          <w:lang w:val="en-GB"/>
        </w:rPr>
        <w:t>frequency range reaches 1500 GHz, where the system will be still.</w:t>
      </w:r>
    </w:p>
    <w:p w:rsidR="001E2859" w:rsidRPr="001850BB" w:rsidRDefault="001E2859" w:rsidP="001E2859">
      <w:pPr>
        <w:pStyle w:val="Seznam"/>
        <w:numPr>
          <w:ilvl w:val="6"/>
          <w:numId w:val="32"/>
        </w:numPr>
        <w:rPr>
          <w:lang w:val="en-GB"/>
        </w:rPr>
      </w:pPr>
      <w:r w:rsidRPr="001850BB">
        <w:rPr>
          <w:lang w:val="en-GB"/>
        </w:rPr>
        <w:t xml:space="preserve">The QO table must be optimised for a frequency of </w:t>
      </w:r>
      <w:r w:rsidRPr="004B0E9C">
        <w:rPr>
          <w:lang w:val="en-GB"/>
        </w:rPr>
        <w:t>430</w:t>
      </w:r>
      <w:r w:rsidRPr="001850BB">
        <w:rPr>
          <w:lang w:val="en-GB"/>
        </w:rPr>
        <w:t xml:space="preserve"> GHz.</w:t>
      </w:r>
    </w:p>
    <w:p w:rsidR="001E2859" w:rsidRPr="001850BB" w:rsidRDefault="001E2859" w:rsidP="001E2859">
      <w:pPr>
        <w:pStyle w:val="Seznam"/>
        <w:numPr>
          <w:ilvl w:val="6"/>
          <w:numId w:val="32"/>
        </w:numPr>
        <w:rPr>
          <w:lang w:val="en-GB"/>
        </w:rPr>
      </w:pPr>
      <w:r w:rsidRPr="001850BB">
        <w:rPr>
          <w:lang w:val="en-GB"/>
        </w:rPr>
        <w:t xml:space="preserve">The QO table must meet </w:t>
      </w:r>
      <w:r>
        <w:rPr>
          <w:lang w:val="en-GB"/>
        </w:rPr>
        <w:t xml:space="preserve">all </w:t>
      </w:r>
      <w:r w:rsidRPr="001850BB">
        <w:rPr>
          <w:lang w:val="en-GB"/>
        </w:rPr>
        <w:t>specification</w:t>
      </w:r>
      <w:r>
        <w:rPr>
          <w:lang w:val="en-GB"/>
        </w:rPr>
        <w:t>s</w:t>
      </w:r>
      <w:r w:rsidRPr="001850BB">
        <w:rPr>
          <w:lang w:val="en-GB"/>
        </w:rPr>
        <w:t xml:space="preserve"> for the full frequency range of the sub-system.</w:t>
      </w:r>
    </w:p>
    <w:p w:rsidR="001E2859" w:rsidRPr="001850BB" w:rsidRDefault="001E2859" w:rsidP="001E2859">
      <w:pPr>
        <w:pStyle w:val="Seznam"/>
        <w:numPr>
          <w:ilvl w:val="6"/>
          <w:numId w:val="32"/>
        </w:numPr>
        <w:rPr>
          <w:lang w:val="en-GB"/>
        </w:rPr>
      </w:pPr>
      <w:r w:rsidRPr="001850BB">
        <w:rPr>
          <w:lang w:val="en-GB"/>
        </w:rPr>
        <w:t xml:space="preserve">Losses from the horn rectangular waveguides to the sample positions (one-pass, transmission or reflection) must be better </w:t>
      </w:r>
      <w:r>
        <w:rPr>
          <w:lang w:val="en-GB"/>
        </w:rPr>
        <w:t xml:space="preserve">(lower) </w:t>
      </w:r>
      <w:r w:rsidRPr="001850BB">
        <w:rPr>
          <w:lang w:val="en-GB"/>
        </w:rPr>
        <w:t>than the following</w:t>
      </w:r>
      <w:r>
        <w:rPr>
          <w:lang w:val="en-GB"/>
        </w:rPr>
        <w:t xml:space="preserve"> for </w:t>
      </w:r>
      <w:r w:rsidRPr="004B0E9C">
        <w:rPr>
          <w:lang w:val="en-GB"/>
        </w:rPr>
        <w:t>60 %</w:t>
      </w:r>
      <w:r>
        <w:rPr>
          <w:lang w:val="en-GB"/>
        </w:rPr>
        <w:t xml:space="preserve"> of each waveguide band and include isolation when it is included in a frequency option</w:t>
      </w:r>
      <w:r w:rsidRPr="001850BB">
        <w:rPr>
          <w:lang w:val="en-GB"/>
        </w:rPr>
        <w:t>:</w:t>
      </w:r>
    </w:p>
    <w:p w:rsidR="001E2859" w:rsidRPr="001850BB" w:rsidRDefault="001E2859" w:rsidP="001E2859">
      <w:pPr>
        <w:pStyle w:val="Seznam"/>
        <w:numPr>
          <w:ilvl w:val="7"/>
          <w:numId w:val="32"/>
        </w:numPr>
        <w:rPr>
          <w:lang w:val="en-GB"/>
        </w:rPr>
      </w:pPr>
      <w:r w:rsidRPr="001850BB">
        <w:rPr>
          <w:lang w:val="en-GB"/>
        </w:rPr>
        <w:t>3.0 dB at frequencies below 370 GHz,</w:t>
      </w:r>
    </w:p>
    <w:p w:rsidR="001E2859" w:rsidRPr="001850BB" w:rsidRDefault="001E2859" w:rsidP="001E2859">
      <w:pPr>
        <w:pStyle w:val="Seznam"/>
        <w:numPr>
          <w:ilvl w:val="7"/>
          <w:numId w:val="32"/>
        </w:numPr>
        <w:rPr>
          <w:lang w:val="en-GB"/>
        </w:rPr>
      </w:pPr>
      <w:r w:rsidRPr="004B0E9C">
        <w:rPr>
          <w:lang w:val="en-GB"/>
        </w:rPr>
        <w:t>6.0</w:t>
      </w:r>
      <w:r w:rsidRPr="001850BB">
        <w:rPr>
          <w:lang w:val="en-GB"/>
        </w:rPr>
        <w:t xml:space="preserve"> dB at frequencies below 750 GHz,</w:t>
      </w:r>
    </w:p>
    <w:p w:rsidR="001E2859" w:rsidRPr="001850BB" w:rsidRDefault="001E2859" w:rsidP="001E2859">
      <w:pPr>
        <w:pStyle w:val="Seznam"/>
        <w:numPr>
          <w:ilvl w:val="7"/>
          <w:numId w:val="32"/>
        </w:numPr>
        <w:rPr>
          <w:lang w:val="en-GB"/>
        </w:rPr>
      </w:pPr>
      <w:r w:rsidRPr="004B0E9C">
        <w:rPr>
          <w:lang w:val="en-GB"/>
        </w:rPr>
        <w:t>9.0</w:t>
      </w:r>
      <w:r w:rsidRPr="001850BB">
        <w:rPr>
          <w:lang w:val="en-GB"/>
        </w:rPr>
        <w:t xml:space="preserve"> dB at frequencies below 1</w:t>
      </w:r>
      <w:r>
        <w:rPr>
          <w:lang w:val="en-GB"/>
        </w:rPr>
        <w:t>2</w:t>
      </w:r>
      <w:r w:rsidRPr="001850BB">
        <w:rPr>
          <w:lang w:val="en-GB"/>
        </w:rPr>
        <w:t>00 GHz.</w:t>
      </w:r>
    </w:p>
    <w:p w:rsidR="001E2859" w:rsidRPr="001850BB" w:rsidRDefault="001E2859" w:rsidP="001E2859">
      <w:pPr>
        <w:pStyle w:val="Seznam"/>
        <w:numPr>
          <w:ilvl w:val="6"/>
          <w:numId w:val="32"/>
        </w:numPr>
        <w:rPr>
          <w:lang w:val="en-GB"/>
        </w:rPr>
      </w:pPr>
      <w:r w:rsidRPr="001850BB">
        <w:rPr>
          <w:lang w:val="en-GB"/>
        </w:rPr>
        <w:t>This specification includes refocussing and flat mirror surfaces, component mounting precision and polarizers, but does not include isolators, feed horns, tapers and corrugated waveguides.</w:t>
      </w:r>
    </w:p>
    <w:p w:rsidR="001E2859" w:rsidRPr="001850BB" w:rsidRDefault="001E2859" w:rsidP="001E2859">
      <w:pPr>
        <w:pStyle w:val="Seznam"/>
        <w:numPr>
          <w:ilvl w:val="6"/>
          <w:numId w:val="32"/>
        </w:numPr>
        <w:rPr>
          <w:lang w:val="en-GB"/>
        </w:rPr>
      </w:pPr>
      <w:r w:rsidRPr="001850BB">
        <w:rPr>
          <w:lang w:val="en-GB"/>
        </w:rPr>
        <w:t xml:space="preserve">The isolation between the transmitted and reflected beams provided by each isolation tile with the polarizers (e.g. wire grid polarizers) will be at or better than </w:t>
      </w:r>
      <w:r w:rsidRPr="004B0E9C">
        <w:rPr>
          <w:lang w:val="en-GB"/>
        </w:rPr>
        <w:t>20 dB</w:t>
      </w:r>
      <w:r w:rsidRPr="001850BB">
        <w:rPr>
          <w:lang w:val="en-GB"/>
        </w:rPr>
        <w:t xml:space="preserve"> unless this a value is explicitly stated in the options description.</w:t>
      </w:r>
    </w:p>
    <w:p w:rsidR="001E2859" w:rsidRPr="001850BB" w:rsidRDefault="001E2859" w:rsidP="001E2859">
      <w:pPr>
        <w:pStyle w:val="Seznam"/>
        <w:numPr>
          <w:ilvl w:val="6"/>
          <w:numId w:val="32"/>
        </w:numPr>
        <w:rPr>
          <w:lang w:val="en-GB"/>
        </w:rPr>
      </w:pPr>
      <w:r w:rsidRPr="001850BB">
        <w:rPr>
          <w:lang w:val="en-GB"/>
        </w:rPr>
        <w:t>Losses from the feed horn rectangular waveguides</w:t>
      </w:r>
      <w:r>
        <w:rPr>
          <w:lang w:val="en-GB"/>
        </w:rPr>
        <w:t xml:space="preserve"> to the feed horn apertures </w:t>
      </w:r>
      <w:r w:rsidRPr="001850BB">
        <w:rPr>
          <w:lang w:val="en-GB"/>
        </w:rPr>
        <w:t xml:space="preserve">must be better </w:t>
      </w:r>
      <w:r>
        <w:rPr>
          <w:lang w:val="en-GB"/>
        </w:rPr>
        <w:t xml:space="preserve">(lower) </w:t>
      </w:r>
      <w:r w:rsidRPr="001850BB">
        <w:rPr>
          <w:lang w:val="en-GB"/>
        </w:rPr>
        <w:t>than the following</w:t>
      </w:r>
      <w:r>
        <w:rPr>
          <w:lang w:val="en-GB"/>
        </w:rPr>
        <w:t xml:space="preserve"> for </w:t>
      </w:r>
      <w:r w:rsidRPr="004B0E9C">
        <w:rPr>
          <w:lang w:val="en-GB"/>
        </w:rPr>
        <w:t>60 %</w:t>
      </w:r>
      <w:r>
        <w:rPr>
          <w:lang w:val="en-GB"/>
        </w:rPr>
        <w:t xml:space="preserve"> of each waveguide band</w:t>
      </w:r>
      <w:r w:rsidRPr="001850BB">
        <w:rPr>
          <w:lang w:val="en-GB"/>
        </w:rPr>
        <w:t>:</w:t>
      </w:r>
    </w:p>
    <w:p w:rsidR="001E2859" w:rsidRPr="001850BB" w:rsidRDefault="001E2859" w:rsidP="001E2859">
      <w:pPr>
        <w:pStyle w:val="Seznam"/>
        <w:numPr>
          <w:ilvl w:val="7"/>
          <w:numId w:val="32"/>
        </w:numPr>
        <w:rPr>
          <w:lang w:val="en-GB"/>
        </w:rPr>
      </w:pPr>
      <w:r w:rsidRPr="004B0E9C">
        <w:rPr>
          <w:lang w:val="en-GB"/>
        </w:rPr>
        <w:t>1.3</w:t>
      </w:r>
      <w:r w:rsidRPr="001850BB">
        <w:rPr>
          <w:lang w:val="en-GB"/>
        </w:rPr>
        <w:t xml:space="preserve"> dB at frequencies below </w:t>
      </w:r>
      <w:r>
        <w:rPr>
          <w:lang w:val="en-GB"/>
        </w:rPr>
        <w:t>40</w:t>
      </w:r>
      <w:r w:rsidRPr="001850BB">
        <w:rPr>
          <w:lang w:val="en-GB"/>
        </w:rPr>
        <w:t>0 GHz,</w:t>
      </w:r>
    </w:p>
    <w:p w:rsidR="001E2859" w:rsidRPr="001850BB" w:rsidRDefault="001E2859" w:rsidP="001E2859">
      <w:pPr>
        <w:pStyle w:val="Seznam"/>
        <w:numPr>
          <w:ilvl w:val="7"/>
          <w:numId w:val="32"/>
        </w:numPr>
        <w:rPr>
          <w:lang w:val="en-GB"/>
        </w:rPr>
      </w:pPr>
      <w:r w:rsidRPr="004B0E9C">
        <w:rPr>
          <w:lang w:val="en-GB"/>
        </w:rPr>
        <w:t>1.8</w:t>
      </w:r>
      <w:r w:rsidRPr="001850BB">
        <w:rPr>
          <w:lang w:val="en-GB"/>
        </w:rPr>
        <w:t xml:space="preserve"> dB at frequencies below 750 GHz,</w:t>
      </w:r>
    </w:p>
    <w:p w:rsidR="001E2859" w:rsidRPr="001850BB" w:rsidRDefault="001E2859" w:rsidP="001E2859">
      <w:pPr>
        <w:pStyle w:val="Seznam"/>
        <w:numPr>
          <w:ilvl w:val="7"/>
          <w:numId w:val="32"/>
        </w:numPr>
        <w:rPr>
          <w:lang w:val="en-GB"/>
        </w:rPr>
      </w:pPr>
      <w:r>
        <w:rPr>
          <w:lang w:val="en-GB"/>
        </w:rPr>
        <w:t>2.8</w:t>
      </w:r>
      <w:r w:rsidRPr="001850BB">
        <w:rPr>
          <w:lang w:val="en-GB"/>
        </w:rPr>
        <w:t xml:space="preserve"> dB at frequencies below 1</w:t>
      </w:r>
      <w:r>
        <w:rPr>
          <w:lang w:val="en-GB"/>
        </w:rPr>
        <w:t>2</w:t>
      </w:r>
      <w:r w:rsidRPr="001850BB">
        <w:rPr>
          <w:lang w:val="en-GB"/>
        </w:rPr>
        <w:t>00 GHz.</w:t>
      </w:r>
    </w:p>
    <w:p w:rsidR="001E2859" w:rsidRDefault="001E2859" w:rsidP="001E2859">
      <w:pPr>
        <w:pStyle w:val="Seznam"/>
        <w:numPr>
          <w:ilvl w:val="6"/>
          <w:numId w:val="32"/>
        </w:numPr>
        <w:rPr>
          <w:lang w:val="en-GB"/>
        </w:rPr>
      </w:pPr>
      <w:r w:rsidRPr="001850BB">
        <w:rPr>
          <w:lang w:val="en-GB"/>
        </w:rPr>
        <w:t>Feed horns must be able to inject beams into the circuit of the QO bench such that the size of the beam matches that required by the EPR probe with the closest centre frequency.  If further QO components are needed to adjust the beam waist size then these must be included in the price of the feed horn.</w:t>
      </w:r>
    </w:p>
    <w:p w:rsidR="001E2859" w:rsidRDefault="001E2859" w:rsidP="001E2859">
      <w:pPr>
        <w:pStyle w:val="Seznam"/>
        <w:numPr>
          <w:ilvl w:val="6"/>
          <w:numId w:val="32"/>
        </w:numPr>
        <w:rPr>
          <w:lang w:val="en-GB"/>
        </w:rPr>
      </w:pPr>
      <w:r w:rsidRPr="00FC2FE1">
        <w:rPr>
          <w:lang w:val="en-GB"/>
        </w:rPr>
        <w:t>Corrugated waveguides for the EPR probes must have corrugations that match those for the horns with the same centre frequency.</w:t>
      </w:r>
    </w:p>
    <w:p w:rsidR="001E2859" w:rsidRPr="00FC2FE1" w:rsidRDefault="001E2859" w:rsidP="001E2859">
      <w:pPr>
        <w:pStyle w:val="Seznam"/>
        <w:numPr>
          <w:ilvl w:val="6"/>
          <w:numId w:val="32"/>
        </w:numPr>
        <w:rPr>
          <w:lang w:val="en-GB"/>
        </w:rPr>
      </w:pPr>
      <w:r w:rsidRPr="00FC2FE1">
        <w:rPr>
          <w:lang w:val="en-GB"/>
        </w:rPr>
        <w:t xml:space="preserve">Corrugated waveguides for the EPR probes </w:t>
      </w:r>
      <w:r>
        <w:rPr>
          <w:lang w:val="en-GB"/>
        </w:rPr>
        <w:t>to have a length</w:t>
      </w:r>
      <w:r w:rsidRPr="00FC2FE1">
        <w:rPr>
          <w:lang w:val="en-GB"/>
        </w:rPr>
        <w:t xml:space="preserve"> </w:t>
      </w:r>
      <w:r w:rsidRPr="00AD7204">
        <w:rPr>
          <w:lang w:val="en-GB"/>
        </w:rPr>
        <w:t>between 0.8 and 1.3 m</w:t>
      </w:r>
      <w:r w:rsidRPr="00FC2FE1">
        <w:rPr>
          <w:lang w:val="en-GB"/>
        </w:rPr>
        <w:t>, and to be determined during the detailed design phase.</w:t>
      </w:r>
    </w:p>
    <w:p w:rsidR="001E2859" w:rsidRDefault="001E2859" w:rsidP="001E2859">
      <w:pPr>
        <w:pStyle w:val="Seznam"/>
        <w:numPr>
          <w:ilvl w:val="6"/>
          <w:numId w:val="32"/>
        </w:numPr>
        <w:rPr>
          <w:lang w:val="en-GB"/>
        </w:rPr>
      </w:pPr>
      <w:r>
        <w:rPr>
          <w:lang w:val="en-GB"/>
        </w:rPr>
        <w:lastRenderedPageBreak/>
        <w:t>L</w:t>
      </w:r>
      <w:r w:rsidRPr="001850BB">
        <w:rPr>
          <w:lang w:val="en-GB"/>
        </w:rPr>
        <w:t xml:space="preserve">osses </w:t>
      </w:r>
      <w:r>
        <w:rPr>
          <w:lang w:val="en-GB"/>
        </w:rPr>
        <w:t>for the corrugated taper in the probe</w:t>
      </w:r>
      <w:r w:rsidRPr="001850BB">
        <w:rPr>
          <w:lang w:val="en-GB"/>
        </w:rPr>
        <w:t xml:space="preserve"> must be </w:t>
      </w:r>
      <w:r w:rsidRPr="00AD7204">
        <w:rPr>
          <w:lang w:val="en-GB"/>
        </w:rPr>
        <w:t xml:space="preserve">&lt; 0.5 </w:t>
      </w:r>
      <w:proofErr w:type="spellStart"/>
      <w:r w:rsidRPr="00AD7204">
        <w:rPr>
          <w:lang w:val="en-GB"/>
        </w:rPr>
        <w:t>dB</w:t>
      </w:r>
      <w:r>
        <w:rPr>
          <w:lang w:val="en-GB"/>
        </w:rPr>
        <w:t>.</w:t>
      </w:r>
      <w:proofErr w:type="spellEnd"/>
      <w:r>
        <w:rPr>
          <w:lang w:val="en-GB"/>
        </w:rPr>
        <w:t xml:space="preserve">  This must </w:t>
      </w:r>
      <w:r w:rsidRPr="001850BB">
        <w:rPr>
          <w:lang w:val="en-GB"/>
        </w:rPr>
        <w:t>includ</w:t>
      </w:r>
      <w:r>
        <w:rPr>
          <w:lang w:val="en-GB"/>
        </w:rPr>
        <w:t>e</w:t>
      </w:r>
      <w:r w:rsidRPr="001850BB">
        <w:rPr>
          <w:lang w:val="en-GB"/>
        </w:rPr>
        <w:t xml:space="preserve"> those caused by the interface with the main corrugated waveguide.</w:t>
      </w:r>
    </w:p>
    <w:p w:rsidR="001E2859" w:rsidRPr="001850BB" w:rsidRDefault="001E2859" w:rsidP="001E2859">
      <w:pPr>
        <w:pStyle w:val="Seznam"/>
        <w:numPr>
          <w:ilvl w:val="6"/>
          <w:numId w:val="32"/>
        </w:numPr>
        <w:rPr>
          <w:lang w:val="en-GB"/>
        </w:rPr>
      </w:pPr>
      <w:r>
        <w:rPr>
          <w:lang w:val="en-GB"/>
        </w:rPr>
        <w:t>These probe tapers will achieve a convergence of the beams to 5 mm and to 2 mm corrugated waveguides using easily exchangeable extension parts.</w:t>
      </w:r>
    </w:p>
    <w:p w:rsidR="001E2859" w:rsidRPr="001850BB" w:rsidRDefault="001E2859" w:rsidP="001E2859">
      <w:pPr>
        <w:pStyle w:val="Seznam"/>
        <w:numPr>
          <w:ilvl w:val="6"/>
          <w:numId w:val="32"/>
        </w:numPr>
        <w:rPr>
          <w:lang w:val="en-GB"/>
        </w:rPr>
      </w:pPr>
      <w:r w:rsidRPr="001850BB">
        <w:rPr>
          <w:lang w:val="en-GB"/>
        </w:rPr>
        <w:t xml:space="preserve">Polarizing components must be manufactured such that the QO bench meets its specifications </w:t>
      </w:r>
      <w:r>
        <w:rPr>
          <w:lang w:val="en-GB"/>
        </w:rPr>
        <w:t xml:space="preserve">across the </w:t>
      </w:r>
      <w:r w:rsidRPr="001850BB">
        <w:rPr>
          <w:lang w:val="en-GB"/>
        </w:rPr>
        <w:t>full sub-system frequency range</w:t>
      </w:r>
      <w:r>
        <w:rPr>
          <w:lang w:val="en-GB"/>
        </w:rPr>
        <w:t>, with the expectation that they can be used to 1500 GHz</w:t>
      </w:r>
      <w:r w:rsidRPr="001850BB">
        <w:rPr>
          <w:lang w:val="en-GB"/>
        </w:rPr>
        <w:t xml:space="preserve">.  This means that wire grid polarizers must be manufactured from sheets of sufficiently fine wires with fine </w:t>
      </w:r>
      <w:proofErr w:type="spellStart"/>
      <w:r w:rsidRPr="001850BB">
        <w:rPr>
          <w:lang w:val="en-GB"/>
        </w:rPr>
        <w:t>spacings</w:t>
      </w:r>
      <w:proofErr w:type="spellEnd"/>
      <w:r w:rsidRPr="001850BB">
        <w:rPr>
          <w:lang w:val="en-GB"/>
        </w:rPr>
        <w:t>, so as to allow one linear polarization to pass through them whilst reflecting the orthogonal polarization.</w:t>
      </w:r>
    </w:p>
    <w:p w:rsidR="001E2859" w:rsidRPr="001850BB" w:rsidRDefault="001E2859" w:rsidP="001E2859">
      <w:pPr>
        <w:pStyle w:val="Nadpis2"/>
        <w:keepNext/>
        <w:keepLines/>
        <w:spacing w:before="400" w:after="200" w:line="259" w:lineRule="auto"/>
        <w:ind w:left="567" w:hanging="567"/>
        <w:jc w:val="left"/>
        <w:rPr>
          <w:lang w:val="en-GB"/>
        </w:rPr>
      </w:pPr>
      <w:r w:rsidRPr="001850BB">
        <w:rPr>
          <w:lang w:val="en-GB"/>
        </w:rPr>
        <w:t>Environment</w:t>
      </w:r>
    </w:p>
    <w:p w:rsidR="001E2859" w:rsidRPr="001850BB" w:rsidRDefault="001E2859" w:rsidP="001E2859">
      <w:pPr>
        <w:pStyle w:val="Seznam"/>
        <w:numPr>
          <w:ilvl w:val="6"/>
          <w:numId w:val="27"/>
        </w:numPr>
        <w:rPr>
          <w:lang w:val="en-GB"/>
        </w:rPr>
      </w:pPr>
      <w:r w:rsidRPr="001850BB">
        <w:rPr>
          <w:lang w:val="en-GB"/>
        </w:rPr>
        <w:t>All technical specifications must be met simultaneously over the full frequency, temperature and time</w:t>
      </w:r>
      <w:r w:rsidRPr="001850BB" w:rsidDel="003B77CA">
        <w:rPr>
          <w:lang w:val="en-GB"/>
        </w:rPr>
        <w:t xml:space="preserve"> </w:t>
      </w:r>
      <w:r w:rsidRPr="001850BB">
        <w:rPr>
          <w:lang w:val="en-GB"/>
        </w:rPr>
        <w:t>ranges specified.</w:t>
      </w:r>
    </w:p>
    <w:p w:rsidR="001E2859" w:rsidRPr="001850BB" w:rsidRDefault="001E2859" w:rsidP="001E2859">
      <w:pPr>
        <w:pStyle w:val="Seznam"/>
        <w:numPr>
          <w:ilvl w:val="6"/>
          <w:numId w:val="27"/>
        </w:numPr>
        <w:rPr>
          <w:lang w:val="en-GB"/>
        </w:rPr>
      </w:pPr>
      <w:r w:rsidRPr="001850BB">
        <w:rPr>
          <w:lang w:val="en-GB"/>
        </w:rPr>
        <w:t>All equipment must be designed and manufactured such that it is intended not to show any degradation over 15 years.  (Note that this is not a warranty.)</w:t>
      </w:r>
    </w:p>
    <w:p w:rsidR="001E2859" w:rsidRPr="001850BB" w:rsidRDefault="001E2859" w:rsidP="001E2859">
      <w:pPr>
        <w:pStyle w:val="Seznam"/>
        <w:numPr>
          <w:ilvl w:val="6"/>
          <w:numId w:val="27"/>
        </w:numPr>
        <w:rPr>
          <w:lang w:val="en-GB"/>
        </w:rPr>
      </w:pPr>
      <w:r w:rsidRPr="001850BB">
        <w:rPr>
          <w:lang w:val="en-GB"/>
        </w:rPr>
        <w:t>The components with faces on the inside of the cryostat:</w:t>
      </w:r>
    </w:p>
    <w:p w:rsidR="001E2859" w:rsidRPr="001850BB" w:rsidRDefault="001E2859" w:rsidP="001E2859">
      <w:pPr>
        <w:pStyle w:val="Seznam"/>
        <w:numPr>
          <w:ilvl w:val="7"/>
          <w:numId w:val="27"/>
        </w:numPr>
        <w:rPr>
          <w:lang w:val="en-GB"/>
        </w:rPr>
      </w:pPr>
      <w:r w:rsidRPr="001850BB">
        <w:rPr>
          <w:lang w:val="en-GB"/>
        </w:rPr>
        <w:t>must be able to operate after temperature cycling between room temperature and 4.2 K, 20 times per month for the warranty period,</w:t>
      </w:r>
    </w:p>
    <w:p w:rsidR="001E2859" w:rsidRPr="001850BB" w:rsidRDefault="001E2859" w:rsidP="001E2859">
      <w:pPr>
        <w:pStyle w:val="Seznam"/>
        <w:numPr>
          <w:ilvl w:val="7"/>
          <w:numId w:val="27"/>
        </w:numPr>
        <w:rPr>
          <w:lang w:val="en-GB"/>
        </w:rPr>
      </w:pPr>
      <w:proofErr w:type="gramStart"/>
      <w:r w:rsidRPr="001850BB">
        <w:rPr>
          <w:lang w:val="en-GB"/>
        </w:rPr>
        <w:t>must</w:t>
      </w:r>
      <w:proofErr w:type="gramEnd"/>
      <w:r w:rsidRPr="001850BB">
        <w:rPr>
          <w:lang w:val="en-GB"/>
        </w:rPr>
        <w:t xml:space="preserve"> be designed such that they can be flushed with dry gas.</w:t>
      </w:r>
    </w:p>
    <w:p w:rsidR="001E2859" w:rsidRDefault="001E2859" w:rsidP="001E2859">
      <w:pPr>
        <w:pStyle w:val="Seznam"/>
        <w:numPr>
          <w:ilvl w:val="6"/>
          <w:numId w:val="27"/>
        </w:numPr>
        <w:rPr>
          <w:lang w:val="en-GB"/>
        </w:rPr>
      </w:pPr>
      <w:r w:rsidRPr="001850BB">
        <w:rPr>
          <w:lang w:val="en-GB"/>
        </w:rPr>
        <w:t>Any components near the superconducting magnet and the cryostat must be able to survive regular plumes of cryogenically cooled gas or be shielded from such plumes.</w:t>
      </w:r>
    </w:p>
    <w:p w:rsidR="001E2859" w:rsidRPr="001850BB" w:rsidRDefault="001E2859" w:rsidP="001E2859">
      <w:pPr>
        <w:pStyle w:val="Seznam"/>
        <w:numPr>
          <w:ilvl w:val="6"/>
          <w:numId w:val="27"/>
        </w:numPr>
        <w:rPr>
          <w:lang w:val="en-GB"/>
        </w:rPr>
      </w:pPr>
      <w:r>
        <w:rPr>
          <w:lang w:val="en-GB"/>
        </w:rPr>
        <w:t>There must be a facility to provide containable nitrogen gas and dry air atmospheres for the quasi optical beam paths (a continuous low flow rate of the gas can be assumed).</w:t>
      </w:r>
    </w:p>
    <w:p w:rsidR="001E2859" w:rsidRPr="001850BB" w:rsidRDefault="001E2859" w:rsidP="001E2859">
      <w:pPr>
        <w:pStyle w:val="Nadpis1"/>
        <w:keepNext/>
        <w:keepLines/>
        <w:pBdr>
          <w:top w:val="none" w:sz="0" w:space="0" w:color="auto"/>
          <w:left w:val="none" w:sz="0" w:space="0" w:color="auto"/>
          <w:bottom w:val="single" w:sz="18" w:space="1" w:color="auto"/>
          <w:right w:val="none" w:sz="0" w:space="0" w:color="auto"/>
        </w:pBdr>
        <w:shd w:val="clear" w:color="auto" w:fill="auto"/>
        <w:spacing w:before="600" w:after="600" w:line="259" w:lineRule="auto"/>
        <w:ind w:left="431" w:hanging="431"/>
        <w:jc w:val="left"/>
        <w:rPr>
          <w:lang w:val="en-GB"/>
        </w:rPr>
      </w:pPr>
      <w:r w:rsidRPr="001850BB">
        <w:rPr>
          <w:lang w:val="en-GB"/>
        </w:rPr>
        <w:t>Options</w:t>
      </w:r>
    </w:p>
    <w:p w:rsidR="001E2859" w:rsidRDefault="001E2859" w:rsidP="001E2859">
      <w:pPr>
        <w:pStyle w:val="Zkladntext"/>
        <w:rPr>
          <w:lang w:val="en-GB"/>
        </w:rPr>
      </w:pPr>
      <w:r w:rsidRPr="001850BB">
        <w:rPr>
          <w:lang w:val="en-GB"/>
        </w:rPr>
        <w:t xml:space="preserve">Prices for all options listed in this section must be included in the bid.  </w:t>
      </w:r>
      <w:r>
        <w:rPr>
          <w:lang w:val="en-GB"/>
        </w:rPr>
        <w:t xml:space="preserve">The QO table is not an options and its </w:t>
      </w:r>
      <w:r w:rsidRPr="001850BB">
        <w:rPr>
          <w:lang w:val="en-GB"/>
        </w:rPr>
        <w:t xml:space="preserve">price </w:t>
      </w:r>
      <w:r>
        <w:rPr>
          <w:lang w:val="en-GB"/>
        </w:rPr>
        <w:t>must also be listed separately.</w:t>
      </w:r>
    </w:p>
    <w:p w:rsidR="001E2859" w:rsidRPr="001850BB" w:rsidRDefault="001E2859" w:rsidP="001E2859">
      <w:pPr>
        <w:pStyle w:val="Zkladntext"/>
        <w:rPr>
          <w:lang w:val="en-GB"/>
        </w:rPr>
      </w:pPr>
      <w:r>
        <w:rPr>
          <w:lang w:val="en-GB"/>
        </w:rPr>
        <w:t>Each option is listed numerically under each sub-section.</w:t>
      </w:r>
    </w:p>
    <w:p w:rsidR="001E2859" w:rsidRPr="001850BB" w:rsidRDefault="001E2859" w:rsidP="001E2859">
      <w:pPr>
        <w:pStyle w:val="Nadpis2"/>
        <w:keepNext/>
        <w:keepLines/>
        <w:spacing w:before="400" w:after="200" w:line="259" w:lineRule="auto"/>
        <w:ind w:left="567" w:hanging="567"/>
        <w:jc w:val="left"/>
        <w:rPr>
          <w:lang w:val="en-GB"/>
        </w:rPr>
      </w:pPr>
      <w:r w:rsidRPr="001850BB">
        <w:rPr>
          <w:lang w:val="en-GB"/>
        </w:rPr>
        <w:t>Additional QO bench components</w:t>
      </w:r>
    </w:p>
    <w:p w:rsidR="001E2859" w:rsidRPr="001850BB" w:rsidRDefault="001E2859" w:rsidP="001E2859">
      <w:pPr>
        <w:pStyle w:val="Zkladntext"/>
        <w:rPr>
          <w:lang w:val="en-GB"/>
        </w:rPr>
      </w:pPr>
      <w:r w:rsidRPr="001850BB">
        <w:rPr>
          <w:lang w:val="en-GB"/>
        </w:rPr>
        <w:t>The following components are for use with the QO table at various frequencies.</w:t>
      </w:r>
    </w:p>
    <w:p w:rsidR="001E2859" w:rsidRPr="001850BB" w:rsidRDefault="001E2859" w:rsidP="001E2859">
      <w:pPr>
        <w:pStyle w:val="Zkladntext"/>
        <w:rPr>
          <w:lang w:val="en-GB"/>
        </w:rPr>
      </w:pPr>
      <w:r w:rsidRPr="001850BB">
        <w:rPr>
          <w:lang w:val="en-GB"/>
        </w:rPr>
        <w:t>If further QO components are needed to adjust the beam parameters of a feed horn then these must be included in the price of the feed horn or explicitly and clearly stated in an additional price.</w:t>
      </w:r>
    </w:p>
    <w:p w:rsidR="001E2859" w:rsidRPr="001850BB" w:rsidRDefault="001E2859" w:rsidP="001E2859">
      <w:pPr>
        <w:pStyle w:val="Zkladntext"/>
        <w:rPr>
          <w:lang w:val="en-GB"/>
        </w:rPr>
      </w:pPr>
      <w:r w:rsidRPr="001850BB">
        <w:rPr>
          <w:lang w:val="en-GB"/>
        </w:rPr>
        <w:lastRenderedPageBreak/>
        <w:t>Four feed horns and two isolation tiles are needed for each frequency band because there are four branches of the QO table.</w:t>
      </w:r>
    </w:p>
    <w:p w:rsidR="001E2859" w:rsidRPr="001850BB" w:rsidRDefault="001E2859" w:rsidP="001E2859">
      <w:pPr>
        <w:pStyle w:val="Seznam"/>
        <w:numPr>
          <w:ilvl w:val="6"/>
          <w:numId w:val="33"/>
        </w:numPr>
        <w:rPr>
          <w:lang w:val="en-GB"/>
        </w:rPr>
      </w:pPr>
      <w:r w:rsidRPr="001850BB">
        <w:rPr>
          <w:lang w:val="en-GB"/>
        </w:rPr>
        <w:t>100 GHz components: 4-off feed horns with WR9.0 rectangular waveguides and 2-off isolation tiles.</w:t>
      </w:r>
    </w:p>
    <w:p w:rsidR="001E2859" w:rsidRPr="001850BB" w:rsidRDefault="001E2859" w:rsidP="001E2859">
      <w:pPr>
        <w:pStyle w:val="Seznam"/>
        <w:numPr>
          <w:ilvl w:val="6"/>
          <w:numId w:val="33"/>
        </w:numPr>
        <w:rPr>
          <w:lang w:val="en-GB"/>
        </w:rPr>
      </w:pPr>
      <w:r w:rsidRPr="001850BB">
        <w:rPr>
          <w:lang w:val="en-GB"/>
        </w:rPr>
        <w:t>210 GHz components: 4-off feed horns with WR4.3 rectangular waveguides and 2 off isolation tiles.</w:t>
      </w:r>
    </w:p>
    <w:p w:rsidR="001E2859" w:rsidRPr="001850BB" w:rsidRDefault="001E2859" w:rsidP="001E2859">
      <w:pPr>
        <w:pStyle w:val="Seznam"/>
        <w:numPr>
          <w:ilvl w:val="6"/>
          <w:numId w:val="33"/>
        </w:numPr>
        <w:rPr>
          <w:lang w:val="en-GB"/>
        </w:rPr>
      </w:pPr>
      <w:r>
        <w:rPr>
          <w:lang w:val="en-GB"/>
        </w:rPr>
        <w:t>320 GHz</w:t>
      </w:r>
      <w:r w:rsidRPr="00B328DE">
        <w:rPr>
          <w:lang w:val="en-GB"/>
        </w:rPr>
        <w:t xml:space="preserve"> </w:t>
      </w:r>
      <w:r w:rsidRPr="001850BB">
        <w:rPr>
          <w:lang w:val="en-GB"/>
        </w:rPr>
        <w:t>components:  4 off feed horns with WR2.8 rectangular waveguides and 2 off isolation tiles.</w:t>
      </w:r>
    </w:p>
    <w:p w:rsidR="001E2859" w:rsidRPr="001850BB" w:rsidRDefault="001E2859" w:rsidP="001E2859">
      <w:pPr>
        <w:pStyle w:val="Seznam"/>
        <w:numPr>
          <w:ilvl w:val="6"/>
          <w:numId w:val="33"/>
        </w:numPr>
        <w:rPr>
          <w:lang w:val="en-GB"/>
        </w:rPr>
      </w:pPr>
      <w:r>
        <w:rPr>
          <w:lang w:val="en-GB"/>
        </w:rPr>
        <w:t xml:space="preserve">430 GHz </w:t>
      </w:r>
      <w:r w:rsidRPr="001850BB">
        <w:rPr>
          <w:lang w:val="en-GB"/>
        </w:rPr>
        <w:t>components</w:t>
      </w:r>
      <w:r>
        <w:rPr>
          <w:lang w:val="en-GB"/>
        </w:rPr>
        <w:t>:</w:t>
      </w:r>
      <w:r w:rsidRPr="001850BB">
        <w:rPr>
          <w:lang w:val="en-GB"/>
        </w:rPr>
        <w:t xml:space="preserve"> 4 off feed horns with WR2.2 rectangular waveguides and 2 off isolation tiles.</w:t>
      </w:r>
    </w:p>
    <w:p w:rsidR="001E2859" w:rsidRPr="001850BB" w:rsidRDefault="001E2859" w:rsidP="001E2859">
      <w:pPr>
        <w:pStyle w:val="Seznam"/>
        <w:numPr>
          <w:ilvl w:val="6"/>
          <w:numId w:val="33"/>
        </w:numPr>
        <w:rPr>
          <w:lang w:val="en-GB"/>
        </w:rPr>
      </w:pPr>
      <w:r>
        <w:rPr>
          <w:lang w:val="en-GB"/>
        </w:rPr>
        <w:t xml:space="preserve">630 GHz </w:t>
      </w:r>
      <w:r w:rsidRPr="001850BB">
        <w:rPr>
          <w:lang w:val="en-GB"/>
        </w:rPr>
        <w:t>components</w:t>
      </w:r>
      <w:r>
        <w:rPr>
          <w:lang w:val="en-GB"/>
        </w:rPr>
        <w:t>:</w:t>
      </w:r>
      <w:r w:rsidRPr="001850BB">
        <w:rPr>
          <w:lang w:val="en-GB"/>
        </w:rPr>
        <w:t xml:space="preserve"> </w:t>
      </w:r>
      <w:r>
        <w:rPr>
          <w:lang w:val="en-GB"/>
        </w:rPr>
        <w:t>2</w:t>
      </w:r>
      <w:r w:rsidRPr="001850BB">
        <w:rPr>
          <w:lang w:val="en-GB"/>
        </w:rPr>
        <w:t xml:space="preserve"> off feed horns with WR1.5 rectangular waveguides.</w:t>
      </w:r>
    </w:p>
    <w:p w:rsidR="001E2859" w:rsidRPr="001850BB" w:rsidRDefault="001E2859" w:rsidP="001E2859">
      <w:pPr>
        <w:pStyle w:val="Seznam"/>
        <w:numPr>
          <w:ilvl w:val="6"/>
          <w:numId w:val="33"/>
        </w:numPr>
        <w:rPr>
          <w:lang w:val="en-GB"/>
        </w:rPr>
      </w:pPr>
      <w:r w:rsidRPr="001850BB">
        <w:rPr>
          <w:lang w:val="en-GB"/>
        </w:rPr>
        <w:t>940 GHz</w:t>
      </w:r>
      <w:r>
        <w:rPr>
          <w:lang w:val="en-GB"/>
        </w:rPr>
        <w:t xml:space="preserve"> * </w:t>
      </w:r>
      <w:r w:rsidRPr="001850BB">
        <w:rPr>
          <w:lang w:val="en-GB"/>
        </w:rPr>
        <w:t>components</w:t>
      </w:r>
      <w:r>
        <w:rPr>
          <w:lang w:val="en-GB"/>
        </w:rPr>
        <w:t>:</w:t>
      </w:r>
      <w:r w:rsidRPr="001850BB">
        <w:rPr>
          <w:lang w:val="en-GB"/>
        </w:rPr>
        <w:t xml:space="preserve"> </w:t>
      </w:r>
      <w:r>
        <w:rPr>
          <w:lang w:val="en-GB"/>
        </w:rPr>
        <w:t>2</w:t>
      </w:r>
      <w:r w:rsidRPr="001850BB">
        <w:rPr>
          <w:lang w:val="en-GB"/>
        </w:rPr>
        <w:t xml:space="preserve"> off feed horns with WR1.0 rectangular waveguides.  (* The feed horn design </w:t>
      </w:r>
      <w:r>
        <w:rPr>
          <w:lang w:val="en-GB"/>
        </w:rPr>
        <w:t>must</w:t>
      </w:r>
      <w:r w:rsidRPr="001850BB">
        <w:rPr>
          <w:lang w:val="en-GB"/>
        </w:rPr>
        <w:t xml:space="preserve"> be optimised for a frequency that will need to be determined during the design phase.)</w:t>
      </w:r>
    </w:p>
    <w:p w:rsidR="001E2859" w:rsidRPr="001850BB" w:rsidRDefault="001E2859" w:rsidP="001E2859">
      <w:pPr>
        <w:pStyle w:val="Zkladntext"/>
        <w:rPr>
          <w:lang w:val="en-GB"/>
        </w:rPr>
      </w:pPr>
      <w:r w:rsidRPr="001850BB">
        <w:rPr>
          <w:lang w:val="en-GB"/>
        </w:rPr>
        <w:t>Any limitations of the performance of the feed horns or isolation tiles should be explicitly stated in the bid.</w:t>
      </w:r>
    </w:p>
    <w:p w:rsidR="001E2859" w:rsidRPr="001850BB" w:rsidRDefault="001E2859" w:rsidP="001E2859">
      <w:pPr>
        <w:pStyle w:val="Nadpis2"/>
        <w:keepNext/>
        <w:keepLines/>
        <w:spacing w:before="400" w:after="200" w:line="259" w:lineRule="auto"/>
        <w:ind w:left="567" w:hanging="567"/>
        <w:jc w:val="left"/>
        <w:rPr>
          <w:lang w:val="en-GB"/>
        </w:rPr>
      </w:pPr>
      <w:r w:rsidRPr="001850BB">
        <w:rPr>
          <w:lang w:val="en-GB"/>
        </w:rPr>
        <w:t>EPR HE11 Low loss Probes</w:t>
      </w:r>
    </w:p>
    <w:p w:rsidR="001E2859" w:rsidRPr="001850BB" w:rsidRDefault="001E2859" w:rsidP="001E2859">
      <w:pPr>
        <w:pStyle w:val="Seznam"/>
        <w:numPr>
          <w:ilvl w:val="6"/>
          <w:numId w:val="34"/>
        </w:numPr>
        <w:rPr>
          <w:lang w:val="en-GB"/>
        </w:rPr>
      </w:pPr>
      <w:r w:rsidRPr="001850BB">
        <w:rPr>
          <w:lang w:val="en-GB"/>
        </w:rPr>
        <w:t>EPR probe head with QO window</w:t>
      </w:r>
      <w:r>
        <w:rPr>
          <w:lang w:val="en-GB"/>
        </w:rPr>
        <w:t xml:space="preserve"> tuned to minimise standing waves</w:t>
      </w:r>
      <w:r w:rsidRPr="001850BB">
        <w:rPr>
          <w:lang w:val="en-GB"/>
        </w:rPr>
        <w:t xml:space="preserve">, vacuum seals, vacuum port, </w:t>
      </w:r>
      <w:proofErr w:type="gramStart"/>
      <w:r w:rsidRPr="001850BB">
        <w:rPr>
          <w:lang w:val="en-GB"/>
        </w:rPr>
        <w:t>electrical</w:t>
      </w:r>
      <w:proofErr w:type="gramEnd"/>
      <w:r w:rsidRPr="001850BB">
        <w:rPr>
          <w:lang w:val="en-GB"/>
        </w:rPr>
        <w:t xml:space="preserve"> connections, to be used with the corrugated probes, below.</w:t>
      </w:r>
    </w:p>
    <w:p w:rsidR="001E2859" w:rsidRDefault="001E2859" w:rsidP="001E2859">
      <w:pPr>
        <w:pStyle w:val="Seznam"/>
        <w:numPr>
          <w:ilvl w:val="6"/>
          <w:numId w:val="34"/>
        </w:numPr>
        <w:rPr>
          <w:lang w:val="en-GB"/>
        </w:rPr>
      </w:pPr>
      <w:bookmarkStart w:id="9" w:name="_Ref489448777"/>
      <w:r>
        <w:rPr>
          <w:lang w:val="en-GB"/>
        </w:rPr>
        <w:t>100 GHz EPR corrugated probe</w:t>
      </w:r>
      <w:bookmarkEnd w:id="9"/>
    </w:p>
    <w:p w:rsidR="001E2859" w:rsidRDefault="001E2859" w:rsidP="001E2859">
      <w:pPr>
        <w:pStyle w:val="Seznam"/>
        <w:numPr>
          <w:ilvl w:val="7"/>
          <w:numId w:val="34"/>
        </w:numPr>
        <w:rPr>
          <w:lang w:val="en-GB"/>
        </w:rPr>
      </w:pPr>
      <w:r>
        <w:rPr>
          <w:lang w:val="en-GB"/>
        </w:rPr>
        <w:t>A</w:t>
      </w:r>
      <w:r w:rsidRPr="001850BB">
        <w:rPr>
          <w:lang w:val="en-GB"/>
        </w:rPr>
        <w:t>pproximately 1 m</w:t>
      </w:r>
      <w:r>
        <w:rPr>
          <w:lang w:val="en-GB"/>
        </w:rPr>
        <w:t xml:space="preserve"> in length.</w:t>
      </w:r>
    </w:p>
    <w:p w:rsidR="001E2859" w:rsidRPr="003E1E12" w:rsidRDefault="001E2859" w:rsidP="001E2859">
      <w:pPr>
        <w:pStyle w:val="Seznam"/>
        <w:numPr>
          <w:ilvl w:val="7"/>
          <w:numId w:val="34"/>
        </w:numPr>
        <w:rPr>
          <w:lang w:val="en-GB"/>
        </w:rPr>
      </w:pPr>
      <w:r w:rsidRPr="003E1E12">
        <w:rPr>
          <w:lang w:val="en-GB"/>
        </w:rPr>
        <w:t xml:space="preserve">18 mm </w:t>
      </w:r>
      <w:r>
        <w:rPr>
          <w:lang w:val="en-GB"/>
        </w:rPr>
        <w:t xml:space="preserve">diameter </w:t>
      </w:r>
      <w:r w:rsidRPr="003E1E12">
        <w:rPr>
          <w:lang w:val="en-GB"/>
        </w:rPr>
        <w:t>aperture</w:t>
      </w:r>
      <w:r>
        <w:rPr>
          <w:lang w:val="en-GB"/>
        </w:rPr>
        <w:t xml:space="preserve"> at top, tapering to 5 mm and 2 mm diameters at bottom with extensions.</w:t>
      </w:r>
    </w:p>
    <w:p w:rsidR="001E2859" w:rsidRPr="001850BB" w:rsidRDefault="001E2859" w:rsidP="001E2859">
      <w:pPr>
        <w:pStyle w:val="Seznam"/>
        <w:numPr>
          <w:ilvl w:val="7"/>
          <w:numId w:val="34"/>
        </w:numPr>
        <w:rPr>
          <w:lang w:val="en-GB"/>
        </w:rPr>
      </w:pPr>
      <w:r>
        <w:rPr>
          <w:lang w:val="en-GB"/>
        </w:rPr>
        <w:t xml:space="preserve">Vacuum window, </w:t>
      </w:r>
      <w:proofErr w:type="spellStart"/>
      <w:r w:rsidRPr="001850BB">
        <w:rPr>
          <w:lang w:val="en-GB"/>
        </w:rPr>
        <w:t>n.λ</w:t>
      </w:r>
      <w:proofErr w:type="spellEnd"/>
      <w:r w:rsidRPr="001850BB">
        <w:rPr>
          <w:lang w:val="en-GB"/>
        </w:rPr>
        <w:t>/2</w:t>
      </w:r>
      <w:r>
        <w:rPr>
          <w:lang w:val="en-GB"/>
        </w:rPr>
        <w:t xml:space="preserve"> tuned to minimise standing waves.</w:t>
      </w:r>
    </w:p>
    <w:p w:rsidR="001E2859" w:rsidRDefault="001E2859" w:rsidP="001E2859">
      <w:pPr>
        <w:pStyle w:val="Seznam"/>
        <w:numPr>
          <w:ilvl w:val="6"/>
          <w:numId w:val="34"/>
        </w:numPr>
        <w:rPr>
          <w:lang w:val="en-GB"/>
        </w:rPr>
      </w:pPr>
      <w:r w:rsidRPr="001850BB">
        <w:rPr>
          <w:lang w:val="en-GB"/>
        </w:rPr>
        <w:t>430 GHz EPR corrugated probe</w:t>
      </w:r>
      <w:r>
        <w:rPr>
          <w:lang w:val="en-GB"/>
        </w:rPr>
        <w:t xml:space="preserve"> with specifications otherwise identical to </w:t>
      </w:r>
      <w:r>
        <w:rPr>
          <w:lang w:val="en-GB"/>
        </w:rPr>
        <w:fldChar w:fldCharType="begin"/>
      </w:r>
      <w:r>
        <w:rPr>
          <w:lang w:val="en-GB"/>
        </w:rPr>
        <w:instrText xml:space="preserve"> REF _Ref489448777 \n \h </w:instrText>
      </w:r>
      <w:r>
        <w:rPr>
          <w:lang w:val="en-GB"/>
        </w:rPr>
      </w:r>
      <w:r>
        <w:rPr>
          <w:lang w:val="en-GB"/>
        </w:rPr>
        <w:fldChar w:fldCharType="separate"/>
      </w:r>
      <w:r>
        <w:rPr>
          <w:lang w:val="en-GB"/>
        </w:rPr>
        <w:t>2</w:t>
      </w:r>
      <w:r>
        <w:rPr>
          <w:lang w:val="en-GB"/>
        </w:rPr>
        <w:fldChar w:fldCharType="end"/>
      </w:r>
      <w:r>
        <w:rPr>
          <w:lang w:val="en-GB"/>
        </w:rPr>
        <w:t>, above.</w:t>
      </w:r>
    </w:p>
    <w:p w:rsidR="001E2859" w:rsidRPr="00C10387" w:rsidRDefault="001E2859" w:rsidP="001E2859">
      <w:pPr>
        <w:pStyle w:val="Seznam"/>
        <w:ind w:left="2520" w:firstLine="0"/>
        <w:rPr>
          <w:lang w:val="en-GB"/>
        </w:rPr>
      </w:pPr>
    </w:p>
    <w:p w:rsidR="00D77E80" w:rsidRPr="001E2859" w:rsidRDefault="00D77E80" w:rsidP="00D77E80">
      <w:pPr>
        <w:rPr>
          <w:lang w:val="en-GB"/>
        </w:rPr>
      </w:pPr>
    </w:p>
    <w:sectPr w:rsidR="00D77E80" w:rsidRPr="001E2859" w:rsidSect="0026746B">
      <w:headerReference w:type="default" r:id="rId8"/>
      <w:footerReference w:type="default" r:id="rId9"/>
      <w:headerReference w:type="first" r:id="rId10"/>
      <w:footerReference w:type="first" r:id="rId11"/>
      <w:pgSz w:w="11906" w:h="16838"/>
      <w:pgMar w:top="2410" w:right="851"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EF0" w:rsidRDefault="00695EF0" w:rsidP="0026746B">
      <w:pPr>
        <w:spacing w:after="0" w:line="240" w:lineRule="auto"/>
      </w:pPr>
      <w:r>
        <w:separator/>
      </w:r>
    </w:p>
  </w:endnote>
  <w:endnote w:type="continuationSeparator" w:id="0">
    <w:p w:rsidR="00695EF0" w:rsidRDefault="00695EF0" w:rsidP="0026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heme="minorHAnsi"/>
        <w:sz w:val="20"/>
        <w:szCs w:val="20"/>
      </w:rPr>
      <w:id w:val="-209809935"/>
      <w:docPartObj>
        <w:docPartGallery w:val="Page Numbers (Bottom of Page)"/>
        <w:docPartUnique/>
      </w:docPartObj>
    </w:sdtPr>
    <w:sdtEndPr/>
    <w:sdtContent>
      <w:p w:rsidR="001E2859" w:rsidRPr="001E2859" w:rsidRDefault="001E2859">
        <w:pPr>
          <w:pStyle w:val="Zpat"/>
          <w:jc w:val="center"/>
          <w:rPr>
            <w:rFonts w:eastAsiaTheme="majorEastAsia" w:cstheme="minorHAnsi"/>
            <w:sz w:val="20"/>
            <w:szCs w:val="20"/>
          </w:rPr>
        </w:pPr>
        <w:r w:rsidRPr="001E2859">
          <w:rPr>
            <w:rFonts w:eastAsiaTheme="majorEastAsia" w:cstheme="minorHAnsi"/>
            <w:sz w:val="20"/>
            <w:szCs w:val="20"/>
          </w:rPr>
          <w:t xml:space="preserve">~ </w:t>
        </w:r>
        <w:r w:rsidRPr="001E2859">
          <w:rPr>
            <w:rFonts w:eastAsiaTheme="minorEastAsia" w:cstheme="minorHAnsi"/>
            <w:sz w:val="20"/>
            <w:szCs w:val="20"/>
          </w:rPr>
          <w:fldChar w:fldCharType="begin"/>
        </w:r>
        <w:r w:rsidRPr="001E2859">
          <w:rPr>
            <w:rFonts w:cstheme="minorHAnsi"/>
            <w:sz w:val="20"/>
            <w:szCs w:val="20"/>
          </w:rPr>
          <w:instrText>PAGE    \* MERGEFORMAT</w:instrText>
        </w:r>
        <w:r w:rsidRPr="001E2859">
          <w:rPr>
            <w:rFonts w:eastAsiaTheme="minorEastAsia" w:cstheme="minorHAnsi"/>
            <w:sz w:val="20"/>
            <w:szCs w:val="20"/>
          </w:rPr>
          <w:fldChar w:fldCharType="separate"/>
        </w:r>
        <w:r w:rsidR="00B92755" w:rsidRPr="00B92755">
          <w:rPr>
            <w:rFonts w:eastAsiaTheme="majorEastAsia" w:cstheme="minorHAnsi"/>
            <w:noProof/>
            <w:sz w:val="20"/>
            <w:szCs w:val="20"/>
          </w:rPr>
          <w:t>14</w:t>
        </w:r>
        <w:r w:rsidRPr="001E2859">
          <w:rPr>
            <w:rFonts w:eastAsiaTheme="majorEastAsia" w:cstheme="minorHAnsi"/>
            <w:sz w:val="20"/>
            <w:szCs w:val="20"/>
          </w:rPr>
          <w:fldChar w:fldCharType="end"/>
        </w:r>
        <w:r w:rsidRPr="001E2859">
          <w:rPr>
            <w:rFonts w:eastAsiaTheme="majorEastAsia" w:cstheme="minorHAnsi"/>
            <w:sz w:val="20"/>
            <w:szCs w:val="20"/>
          </w:rPr>
          <w:t xml:space="preserve"> ~</w:t>
        </w:r>
      </w:p>
    </w:sdtContent>
  </w:sdt>
  <w:p w:rsidR="001E2859" w:rsidRDefault="001E28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71" w:rsidRDefault="00A76D71" w:rsidP="0026746B">
    <w:pPr>
      <w:pStyle w:val="Zpat"/>
      <w:jc w:val="center"/>
    </w:pPr>
  </w:p>
  <w:p w:rsidR="0026746B" w:rsidRDefault="00A76D71" w:rsidP="00A76D71">
    <w:pPr>
      <w:pStyle w:val="Zpat"/>
    </w:pPr>
    <w:r>
      <w:rPr>
        <w:noProof/>
        <w:lang w:eastAsia="cs-CZ"/>
      </w:rPr>
      <w:drawing>
        <wp:inline distT="0" distB="0" distL="0" distR="0">
          <wp:extent cx="2861310" cy="656590"/>
          <wp:effectExtent l="0" t="0" r="0" b="0"/>
          <wp:docPr id="9" name="Obrázek 9" descr="logo-horizon20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rizon2020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310" cy="6565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EF0" w:rsidRDefault="00695EF0" w:rsidP="0026746B">
      <w:pPr>
        <w:spacing w:after="0" w:line="240" w:lineRule="auto"/>
      </w:pPr>
      <w:r>
        <w:separator/>
      </w:r>
    </w:p>
  </w:footnote>
  <w:footnote w:type="continuationSeparator" w:id="0">
    <w:p w:rsidR="00695EF0" w:rsidRDefault="00695EF0" w:rsidP="00267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19" w:rsidRPr="00A73819" w:rsidRDefault="00A73819" w:rsidP="00A73819">
    <w:pPr>
      <w:spacing w:before="120" w:after="0" w:line="240" w:lineRule="auto"/>
      <w:jc w:val="right"/>
      <w:rPr>
        <w:rFonts w:ascii="Calibri" w:hAnsi="Calibri"/>
        <w:sz w:val="18"/>
        <w:szCs w:val="18"/>
      </w:rPr>
    </w:pPr>
    <w:r w:rsidRPr="00A73819">
      <w:rPr>
        <w:rFonts w:ascii="Calibri" w:hAnsi="Calibri"/>
        <w:caps/>
        <w:sz w:val="18"/>
        <w:szCs w:val="18"/>
      </w:rPr>
      <w:t>č</w:t>
    </w:r>
    <w:r w:rsidRPr="00A73819">
      <w:rPr>
        <w:rFonts w:ascii="Calibri" w:hAnsi="Calibri"/>
        <w:sz w:val="18"/>
        <w:szCs w:val="18"/>
      </w:rPr>
      <w:t>íslo</w:t>
    </w:r>
    <w:r w:rsidRPr="00A73819">
      <w:rPr>
        <w:rFonts w:ascii="Calibri" w:hAnsi="Calibri"/>
        <w:caps/>
        <w:sz w:val="18"/>
        <w:szCs w:val="18"/>
      </w:rPr>
      <w:t xml:space="preserve"> </w:t>
    </w:r>
    <w:r w:rsidRPr="00A73819">
      <w:rPr>
        <w:rFonts w:ascii="Calibri" w:hAnsi="Calibri"/>
        <w:sz w:val="18"/>
        <w:szCs w:val="18"/>
      </w:rPr>
      <w:t xml:space="preserve">kupujícího / </w:t>
    </w:r>
    <w:proofErr w:type="spellStart"/>
    <w:r w:rsidRPr="00A73819">
      <w:rPr>
        <w:rFonts w:ascii="Calibri" w:hAnsi="Calibri"/>
        <w:caps/>
        <w:sz w:val="18"/>
        <w:szCs w:val="18"/>
      </w:rPr>
      <w:t>B</w:t>
    </w:r>
    <w:r w:rsidRPr="00A73819">
      <w:rPr>
        <w:rFonts w:ascii="Calibri" w:hAnsi="Calibri"/>
        <w:sz w:val="18"/>
        <w:szCs w:val="18"/>
      </w:rPr>
      <w:t>uyer's</w:t>
    </w:r>
    <w:proofErr w:type="spellEnd"/>
    <w:r w:rsidRPr="00A73819">
      <w:rPr>
        <w:rFonts w:ascii="Calibri" w:hAnsi="Calibri"/>
        <w:caps/>
        <w:sz w:val="18"/>
        <w:szCs w:val="18"/>
      </w:rPr>
      <w:t xml:space="preserve"> </w:t>
    </w:r>
    <w:proofErr w:type="spellStart"/>
    <w:r w:rsidRPr="00A73819">
      <w:rPr>
        <w:rFonts w:ascii="Calibri" w:hAnsi="Calibri"/>
        <w:sz w:val="18"/>
        <w:szCs w:val="18"/>
      </w:rPr>
      <w:t>number</w:t>
    </w:r>
    <w:proofErr w:type="spellEnd"/>
    <w:r w:rsidRPr="00A73819">
      <w:rPr>
        <w:rFonts w:ascii="Calibri" w:hAnsi="Calibri"/>
        <w:sz w:val="18"/>
        <w:szCs w:val="18"/>
      </w:rPr>
      <w:t xml:space="preserve">: </w:t>
    </w:r>
    <w:r w:rsidR="004C60F8">
      <w:rPr>
        <w:rFonts w:ascii="Calibri" w:hAnsi="Calibri"/>
        <w:sz w:val="18"/>
        <w:szCs w:val="18"/>
      </w:rPr>
      <w:t>02734/2018</w:t>
    </w:r>
    <w:r w:rsidRPr="00A73819">
      <w:rPr>
        <w:rFonts w:ascii="Calibri" w:hAnsi="Calibri"/>
        <w:sz w:val="18"/>
        <w:szCs w:val="18"/>
      </w:rPr>
      <w:t>/00</w:t>
    </w:r>
  </w:p>
  <w:p w:rsidR="00A73819" w:rsidRPr="00A73819" w:rsidRDefault="00A73819" w:rsidP="00A73819">
    <w:pPr>
      <w:pStyle w:val="Zhlav"/>
      <w:jc w:val="right"/>
      <w:rPr>
        <w:sz w:val="18"/>
        <w:szCs w:val="18"/>
      </w:rPr>
    </w:pPr>
    <w:r w:rsidRPr="00A73819">
      <w:rPr>
        <w:rFonts w:ascii="Calibri" w:hAnsi="Calibri"/>
        <w:sz w:val="18"/>
        <w:szCs w:val="18"/>
      </w:rPr>
      <w:t>Číslo prodávajícího / Seller's number:</w:t>
    </w:r>
    <w:r>
      <w:rPr>
        <w:rFonts w:ascii="Calibri" w:hAnsi="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A4" w:rsidRDefault="00A146A4">
    <w:pPr>
      <w:pStyle w:val="Zhlav"/>
    </w:pPr>
  </w:p>
  <w:p w:rsidR="00A146A4" w:rsidRDefault="00A146A4">
    <w:pPr>
      <w:pStyle w:val="Zhlav"/>
    </w:pPr>
  </w:p>
  <w:p w:rsidR="00A146A4" w:rsidRDefault="00A146A4">
    <w:pPr>
      <w:pStyle w:val="Zhlav"/>
    </w:pPr>
  </w:p>
  <w:p w:rsidR="00A146A4" w:rsidRDefault="00A146A4">
    <w:pPr>
      <w:pStyle w:val="Zhlav"/>
    </w:pPr>
  </w:p>
  <w:p w:rsidR="00A146A4" w:rsidRDefault="00A146A4">
    <w:pPr>
      <w:pStyle w:val="Zhlav"/>
    </w:pPr>
  </w:p>
  <w:p w:rsidR="0026746B" w:rsidRDefault="00A146A4" w:rsidP="00A146A4">
    <w:pPr>
      <w:pStyle w:val="Zhlav"/>
      <w:jc w:val="right"/>
    </w:pPr>
    <w:r>
      <w:t>kupní smlouv</w:t>
    </w:r>
    <w:r w:rsidR="004C60F8">
      <w:t>a</w:t>
    </w:r>
    <w:r>
      <w:rPr>
        <w:noProof/>
        <w:lang w:eastAsia="cs-CZ"/>
      </w:rPr>
      <w:t xml:space="preserve"> </w:t>
    </w:r>
    <w:r w:rsidR="0026746B">
      <w:rPr>
        <w:noProof/>
        <w:lang w:eastAsia="cs-CZ"/>
      </w:rPr>
      <w:drawing>
        <wp:anchor distT="0" distB="0" distL="114300" distR="114300" simplePos="0" relativeHeight="251659264" behindDoc="1" locked="0" layoutInCell="1" allowOverlap="1" wp14:anchorId="54FDA181" wp14:editId="2129B3CC">
          <wp:simplePos x="0" y="0"/>
          <wp:positionH relativeFrom="page">
            <wp:posOffset>-186608</wp:posOffset>
          </wp:positionH>
          <wp:positionV relativeFrom="page">
            <wp:posOffset>-132501</wp:posOffset>
          </wp:positionV>
          <wp:extent cx="7559675" cy="1510030"/>
          <wp:effectExtent l="0" t="0" r="3175" b="0"/>
          <wp:wrapNone/>
          <wp:docPr id="8" name="Obrázek 8" descr="hlavick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lavick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10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029B5"/>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C176331"/>
    <w:multiLevelType w:val="hybridMultilevel"/>
    <w:tmpl w:val="1EBED4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BD6459"/>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48F4ADC"/>
    <w:multiLevelType w:val="hybridMultilevel"/>
    <w:tmpl w:val="736ED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B936526"/>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DF552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180DA8"/>
    <w:multiLevelType w:val="hybridMultilevel"/>
    <w:tmpl w:val="11D2242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2D2C52"/>
    <w:multiLevelType w:val="hybridMultilevel"/>
    <w:tmpl w:val="736ED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1CC0323"/>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967E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F410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871CFC"/>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DBE3C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183933"/>
    <w:multiLevelType w:val="hybridMultilevel"/>
    <w:tmpl w:val="11D2242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FF377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8E7525"/>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97B17CA"/>
    <w:multiLevelType w:val="hybridMultilevel"/>
    <w:tmpl w:val="6FC8E2B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9F60AE7"/>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A0F485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B162E2"/>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4A6081A"/>
    <w:multiLevelType w:val="hybridMultilevel"/>
    <w:tmpl w:val="22625C5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5996194"/>
    <w:multiLevelType w:val="hybridMultilevel"/>
    <w:tmpl w:val="59A8DB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5C360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A50A6C"/>
    <w:multiLevelType w:val="hybridMultilevel"/>
    <w:tmpl w:val="EE560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650E9"/>
    <w:multiLevelType w:val="hybridMultilevel"/>
    <w:tmpl w:val="22625C5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24E674C"/>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27F3D65"/>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5494274"/>
    <w:multiLevelType w:val="hybridMultilevel"/>
    <w:tmpl w:val="22625C5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608566E"/>
    <w:multiLevelType w:val="hybridMultilevel"/>
    <w:tmpl w:val="5A223B2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A182E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594A30"/>
    <w:multiLevelType w:val="hybridMultilevel"/>
    <w:tmpl w:val="6FC8E2B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B8D1675"/>
    <w:multiLevelType w:val="multilevel"/>
    <w:tmpl w:val="1166F0D0"/>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680" w:hanging="396"/>
      </w:pPr>
      <w:rPr>
        <w:rFonts w:hint="default"/>
        <w:b/>
        <w:i w:val="0"/>
        <w:color w:val="auto"/>
      </w:rPr>
    </w:lvl>
    <w:lvl w:ilvl="2">
      <w:start w:val="1"/>
      <w:numFmt w:val="lowerLetter"/>
      <w:pStyle w:val="Nadpis3"/>
      <w:lvlText w:val="%3)"/>
      <w:lvlJc w:val="left"/>
      <w:pPr>
        <w:ind w:left="964" w:hanging="284"/>
      </w:pPr>
      <w:rPr>
        <w:rFonts w:hint="default"/>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F1650EB"/>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8612F6"/>
    <w:multiLevelType w:val="hybridMultilevel"/>
    <w:tmpl w:val="60865F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6"/>
  </w:num>
  <w:num w:numId="3">
    <w:abstractNumId w:val="0"/>
  </w:num>
  <w:num w:numId="4">
    <w:abstractNumId w:val="33"/>
  </w:num>
  <w:num w:numId="5">
    <w:abstractNumId w:val="20"/>
  </w:num>
  <w:num w:numId="6">
    <w:abstractNumId w:val="24"/>
  </w:num>
  <w:num w:numId="7">
    <w:abstractNumId w:val="28"/>
  </w:num>
  <w:num w:numId="8">
    <w:abstractNumId w:val="27"/>
  </w:num>
  <w:num w:numId="9">
    <w:abstractNumId w:val="25"/>
  </w:num>
  <w:num w:numId="10">
    <w:abstractNumId w:val="26"/>
  </w:num>
  <w:num w:numId="11">
    <w:abstractNumId w:val="11"/>
  </w:num>
  <w:num w:numId="12">
    <w:abstractNumId w:val="2"/>
  </w:num>
  <w:num w:numId="13">
    <w:abstractNumId w:val="19"/>
  </w:num>
  <w:num w:numId="14">
    <w:abstractNumId w:val="7"/>
  </w:num>
  <w:num w:numId="15">
    <w:abstractNumId w:val="17"/>
  </w:num>
  <w:num w:numId="16">
    <w:abstractNumId w:val="3"/>
  </w:num>
  <w:num w:numId="17">
    <w:abstractNumId w:val="23"/>
  </w:num>
  <w:num w:numId="18">
    <w:abstractNumId w:val="31"/>
  </w:num>
  <w:num w:numId="19">
    <w:abstractNumId w:val="15"/>
  </w:num>
  <w:num w:numId="20">
    <w:abstractNumId w:val="4"/>
  </w:num>
  <w:num w:numId="21">
    <w:abstractNumId w:val="8"/>
  </w:num>
  <w:num w:numId="22">
    <w:abstractNumId w:val="32"/>
  </w:num>
  <w:num w:numId="23">
    <w:abstractNumId w:val="16"/>
  </w:num>
  <w:num w:numId="24">
    <w:abstractNumId w:val="30"/>
  </w:num>
  <w:num w:numId="25">
    <w:abstractNumId w:val="21"/>
  </w:num>
  <w:num w:numId="26">
    <w:abstractNumId w:val="1"/>
  </w:num>
  <w:num w:numId="27">
    <w:abstractNumId w:val="5"/>
  </w:num>
  <w:num w:numId="28">
    <w:abstractNumId w:val="14"/>
  </w:num>
  <w:num w:numId="29">
    <w:abstractNumId w:val="22"/>
  </w:num>
  <w:num w:numId="30">
    <w:abstractNumId w:val="9"/>
  </w:num>
  <w:num w:numId="31">
    <w:abstractNumId w:val="29"/>
  </w:num>
  <w:num w:numId="32">
    <w:abstractNumId w:val="18"/>
  </w:num>
  <w:num w:numId="33">
    <w:abstractNumId w:val="1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6B"/>
    <w:rsid w:val="00023B02"/>
    <w:rsid w:val="00052330"/>
    <w:rsid w:val="00086449"/>
    <w:rsid w:val="00093A52"/>
    <w:rsid w:val="0015522E"/>
    <w:rsid w:val="00175864"/>
    <w:rsid w:val="001C323F"/>
    <w:rsid w:val="001E2859"/>
    <w:rsid w:val="0021330F"/>
    <w:rsid w:val="002363B3"/>
    <w:rsid w:val="00251DBB"/>
    <w:rsid w:val="0026746B"/>
    <w:rsid w:val="00282A62"/>
    <w:rsid w:val="002B1C1F"/>
    <w:rsid w:val="002B5D9E"/>
    <w:rsid w:val="002E14F8"/>
    <w:rsid w:val="00303335"/>
    <w:rsid w:val="0030799B"/>
    <w:rsid w:val="0041670F"/>
    <w:rsid w:val="00443972"/>
    <w:rsid w:val="00463672"/>
    <w:rsid w:val="0046589D"/>
    <w:rsid w:val="004C60F8"/>
    <w:rsid w:val="004E023E"/>
    <w:rsid w:val="00544093"/>
    <w:rsid w:val="005449B9"/>
    <w:rsid w:val="005463AD"/>
    <w:rsid w:val="00561D19"/>
    <w:rsid w:val="00576070"/>
    <w:rsid w:val="005A7AA7"/>
    <w:rsid w:val="005B08D3"/>
    <w:rsid w:val="005F2EB5"/>
    <w:rsid w:val="00660112"/>
    <w:rsid w:val="00695EF0"/>
    <w:rsid w:val="00731A9E"/>
    <w:rsid w:val="00737A03"/>
    <w:rsid w:val="00781A92"/>
    <w:rsid w:val="007A2145"/>
    <w:rsid w:val="007B73E7"/>
    <w:rsid w:val="00814368"/>
    <w:rsid w:val="008236F3"/>
    <w:rsid w:val="00862CA3"/>
    <w:rsid w:val="008D3F47"/>
    <w:rsid w:val="009E2969"/>
    <w:rsid w:val="00A146A4"/>
    <w:rsid w:val="00A51C51"/>
    <w:rsid w:val="00A73819"/>
    <w:rsid w:val="00A76D71"/>
    <w:rsid w:val="00A84E78"/>
    <w:rsid w:val="00AD206C"/>
    <w:rsid w:val="00B03B93"/>
    <w:rsid w:val="00B07E35"/>
    <w:rsid w:val="00B92755"/>
    <w:rsid w:val="00BE0E0E"/>
    <w:rsid w:val="00C471F7"/>
    <w:rsid w:val="00C91E81"/>
    <w:rsid w:val="00CA7869"/>
    <w:rsid w:val="00CB08C8"/>
    <w:rsid w:val="00D271BB"/>
    <w:rsid w:val="00D67D7B"/>
    <w:rsid w:val="00D77E80"/>
    <w:rsid w:val="00DA3FBD"/>
    <w:rsid w:val="00DF40D9"/>
    <w:rsid w:val="00E22248"/>
    <w:rsid w:val="00EE7F44"/>
    <w:rsid w:val="00F523B7"/>
    <w:rsid w:val="00F709CD"/>
    <w:rsid w:val="00FC7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4726798-08F6-4F12-B57A-FB36815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1330F"/>
    <w:pPr>
      <w:numPr>
        <w:numId w:val="18"/>
      </w:numPr>
      <w:pBdr>
        <w:top w:val="single" w:sz="4" w:space="1" w:color="auto"/>
        <w:left w:val="single" w:sz="4" w:space="4" w:color="auto"/>
        <w:bottom w:val="single" w:sz="4" w:space="1" w:color="auto"/>
        <w:right w:val="single" w:sz="4" w:space="4" w:color="auto"/>
      </w:pBdr>
      <w:shd w:val="clear" w:color="auto" w:fill="D9D9D9"/>
      <w:spacing w:before="120" w:after="0" w:line="240" w:lineRule="auto"/>
      <w:jc w:val="both"/>
      <w:outlineLvl w:val="0"/>
    </w:pPr>
    <w:rPr>
      <w:rFonts w:ascii="Calibri" w:eastAsia="Calibri" w:hAnsi="Calibri" w:cs="Times New Roman"/>
      <w:b/>
      <w:caps/>
      <w:szCs w:val="24"/>
    </w:rPr>
  </w:style>
  <w:style w:type="paragraph" w:styleId="Nadpis2">
    <w:name w:val="heading 2"/>
    <w:basedOn w:val="Odstavecseseznamem"/>
    <w:next w:val="Normln"/>
    <w:link w:val="Nadpis2Char"/>
    <w:uiPriority w:val="9"/>
    <w:unhideWhenUsed/>
    <w:qFormat/>
    <w:rsid w:val="0021330F"/>
    <w:pPr>
      <w:numPr>
        <w:ilvl w:val="1"/>
        <w:numId w:val="18"/>
      </w:numPr>
      <w:spacing w:before="120" w:after="0" w:line="240" w:lineRule="auto"/>
      <w:contextualSpacing w:val="0"/>
      <w:jc w:val="both"/>
      <w:outlineLvl w:val="1"/>
    </w:pPr>
    <w:rPr>
      <w:rFonts w:ascii="Calibri" w:eastAsia="Calibri" w:hAnsi="Calibri" w:cs="Times New Roman"/>
      <w:szCs w:val="24"/>
    </w:rPr>
  </w:style>
  <w:style w:type="paragraph" w:styleId="Nadpis3">
    <w:name w:val="heading 3"/>
    <w:basedOn w:val="Odstavecseseznamem"/>
    <w:link w:val="Nadpis3Char"/>
    <w:uiPriority w:val="9"/>
    <w:unhideWhenUsed/>
    <w:qFormat/>
    <w:rsid w:val="0021330F"/>
    <w:pPr>
      <w:numPr>
        <w:ilvl w:val="2"/>
        <w:numId w:val="18"/>
      </w:numPr>
      <w:spacing w:before="120" w:after="0" w:line="240" w:lineRule="auto"/>
      <w:contextualSpacing w:val="0"/>
      <w:jc w:val="both"/>
      <w:outlineLvl w:val="2"/>
    </w:pPr>
    <w:rPr>
      <w:rFonts w:ascii="Calibri" w:eastAsia="Calibri" w:hAnsi="Calibri" w:cs="Times New Roman"/>
      <w:szCs w:val="24"/>
    </w:rPr>
  </w:style>
  <w:style w:type="paragraph" w:styleId="Nadpis4">
    <w:name w:val="heading 4"/>
    <w:basedOn w:val="Bezmezer"/>
    <w:link w:val="Nadpis4Char"/>
    <w:uiPriority w:val="9"/>
    <w:unhideWhenUsed/>
    <w:qFormat/>
    <w:rsid w:val="0021330F"/>
    <w:pPr>
      <w:numPr>
        <w:ilvl w:val="3"/>
        <w:numId w:val="18"/>
      </w:numPr>
      <w:jc w:val="both"/>
      <w:outlineLvl w:val="3"/>
    </w:pPr>
    <w:rPr>
      <w:rFonts w:ascii="Calibri" w:eastAsia="Calibri" w:hAnsi="Calibri" w:cs="Times New Roman"/>
      <w:szCs w:val="24"/>
    </w:rPr>
  </w:style>
  <w:style w:type="paragraph" w:styleId="Nadpis5">
    <w:name w:val="heading 5"/>
    <w:basedOn w:val="Odstavecseseznamem"/>
    <w:next w:val="Normln"/>
    <w:link w:val="Nadpis5Char"/>
    <w:uiPriority w:val="9"/>
    <w:unhideWhenUsed/>
    <w:qFormat/>
    <w:rsid w:val="0021330F"/>
    <w:pPr>
      <w:numPr>
        <w:ilvl w:val="4"/>
        <w:numId w:val="18"/>
      </w:numPr>
      <w:spacing w:before="120" w:after="0" w:line="240" w:lineRule="auto"/>
      <w:jc w:val="both"/>
      <w:outlineLvl w:val="4"/>
    </w:pPr>
    <w:rPr>
      <w:rFonts w:ascii="Calibri" w:eastAsia="Calibri" w:hAnsi="Calibri"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74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746B"/>
  </w:style>
  <w:style w:type="paragraph" w:styleId="Zpat">
    <w:name w:val="footer"/>
    <w:basedOn w:val="Normln"/>
    <w:link w:val="ZpatChar"/>
    <w:uiPriority w:val="99"/>
    <w:unhideWhenUsed/>
    <w:rsid w:val="0026746B"/>
    <w:pPr>
      <w:tabs>
        <w:tab w:val="center" w:pos="4536"/>
        <w:tab w:val="right" w:pos="9072"/>
      </w:tabs>
      <w:spacing w:after="0" w:line="240" w:lineRule="auto"/>
    </w:pPr>
  </w:style>
  <w:style w:type="character" w:customStyle="1" w:styleId="ZpatChar">
    <w:name w:val="Zápatí Char"/>
    <w:basedOn w:val="Standardnpsmoodstavce"/>
    <w:link w:val="Zpat"/>
    <w:uiPriority w:val="99"/>
    <w:rsid w:val="0026746B"/>
  </w:style>
  <w:style w:type="paragraph" w:styleId="Odstavecseseznamem">
    <w:name w:val="List Paragraph"/>
    <w:basedOn w:val="Normln"/>
    <w:uiPriority w:val="34"/>
    <w:qFormat/>
    <w:rsid w:val="00282A62"/>
    <w:pPr>
      <w:ind w:left="720"/>
      <w:contextualSpacing/>
    </w:pPr>
  </w:style>
  <w:style w:type="character" w:customStyle="1" w:styleId="shorttext">
    <w:name w:val="short_text"/>
    <w:basedOn w:val="Standardnpsmoodstavce"/>
    <w:rsid w:val="0030799B"/>
  </w:style>
  <w:style w:type="character" w:styleId="Hypertextovodkaz">
    <w:name w:val="Hyperlink"/>
    <w:basedOn w:val="Standardnpsmoodstavce"/>
    <w:uiPriority w:val="99"/>
    <w:unhideWhenUsed/>
    <w:rsid w:val="00B07E35"/>
    <w:rPr>
      <w:color w:val="0563C1" w:themeColor="hyperlink"/>
      <w:u w:val="single"/>
    </w:rPr>
  </w:style>
  <w:style w:type="table" w:styleId="Mkatabulky">
    <w:name w:val="Table Grid"/>
    <w:basedOn w:val="Normlntabulka"/>
    <w:uiPriority w:val="39"/>
    <w:rsid w:val="00D7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Zatekformule">
    <w:name w:val="HTML Top of Form"/>
    <w:basedOn w:val="Normln"/>
    <w:next w:val="Normln"/>
    <w:link w:val="z-ZatekformuleChar"/>
    <w:hidden/>
    <w:uiPriority w:val="99"/>
    <w:semiHidden/>
    <w:unhideWhenUsed/>
    <w:rsid w:val="00D77E8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D77E80"/>
    <w:rPr>
      <w:rFonts w:ascii="Arial" w:eastAsia="Times New Roman" w:hAnsi="Arial" w:cs="Arial"/>
      <w:vanish/>
      <w:sz w:val="16"/>
      <w:szCs w:val="16"/>
      <w:lang w:eastAsia="cs-CZ"/>
    </w:rPr>
  </w:style>
  <w:style w:type="character" w:customStyle="1" w:styleId="gt-ft-text">
    <w:name w:val="gt-ft-text"/>
    <w:basedOn w:val="Standardnpsmoodstavce"/>
    <w:rsid w:val="00D77E80"/>
  </w:style>
  <w:style w:type="paragraph" w:styleId="z-Konecformule">
    <w:name w:val="HTML Bottom of Form"/>
    <w:basedOn w:val="Normln"/>
    <w:next w:val="Normln"/>
    <w:link w:val="z-KonecformuleChar"/>
    <w:hidden/>
    <w:uiPriority w:val="99"/>
    <w:semiHidden/>
    <w:unhideWhenUsed/>
    <w:rsid w:val="00D77E80"/>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D77E80"/>
    <w:rPr>
      <w:rFonts w:ascii="Arial" w:eastAsia="Times New Roman" w:hAnsi="Arial" w:cs="Arial"/>
      <w:vanish/>
      <w:sz w:val="16"/>
      <w:szCs w:val="16"/>
      <w:lang w:eastAsia="cs-CZ"/>
    </w:rPr>
  </w:style>
  <w:style w:type="character" w:customStyle="1" w:styleId="Nadpis1Char">
    <w:name w:val="Nadpis 1 Char"/>
    <w:basedOn w:val="Standardnpsmoodstavce"/>
    <w:link w:val="Nadpis1"/>
    <w:rsid w:val="0021330F"/>
    <w:rPr>
      <w:rFonts w:ascii="Calibri" w:eastAsia="Calibri" w:hAnsi="Calibri" w:cs="Times New Roman"/>
      <w:b/>
      <w:caps/>
      <w:szCs w:val="24"/>
      <w:shd w:val="clear" w:color="auto" w:fill="D9D9D9"/>
    </w:rPr>
  </w:style>
  <w:style w:type="character" w:customStyle="1" w:styleId="Nadpis2Char">
    <w:name w:val="Nadpis 2 Char"/>
    <w:basedOn w:val="Standardnpsmoodstavce"/>
    <w:link w:val="Nadpis2"/>
    <w:uiPriority w:val="9"/>
    <w:rsid w:val="0021330F"/>
    <w:rPr>
      <w:rFonts w:ascii="Calibri" w:eastAsia="Calibri" w:hAnsi="Calibri" w:cs="Times New Roman"/>
      <w:szCs w:val="24"/>
    </w:rPr>
  </w:style>
  <w:style w:type="character" w:customStyle="1" w:styleId="Nadpis3Char">
    <w:name w:val="Nadpis 3 Char"/>
    <w:basedOn w:val="Standardnpsmoodstavce"/>
    <w:link w:val="Nadpis3"/>
    <w:uiPriority w:val="9"/>
    <w:rsid w:val="0021330F"/>
    <w:rPr>
      <w:rFonts w:ascii="Calibri" w:eastAsia="Calibri" w:hAnsi="Calibri" w:cs="Times New Roman"/>
      <w:szCs w:val="24"/>
    </w:rPr>
  </w:style>
  <w:style w:type="character" w:customStyle="1" w:styleId="Nadpis4Char">
    <w:name w:val="Nadpis 4 Char"/>
    <w:basedOn w:val="Standardnpsmoodstavce"/>
    <w:link w:val="Nadpis4"/>
    <w:uiPriority w:val="9"/>
    <w:rsid w:val="0021330F"/>
    <w:rPr>
      <w:rFonts w:ascii="Calibri" w:eastAsia="Calibri" w:hAnsi="Calibri" w:cs="Times New Roman"/>
      <w:szCs w:val="24"/>
    </w:rPr>
  </w:style>
  <w:style w:type="character" w:customStyle="1" w:styleId="Nadpis5Char">
    <w:name w:val="Nadpis 5 Char"/>
    <w:basedOn w:val="Standardnpsmoodstavce"/>
    <w:link w:val="Nadpis5"/>
    <w:uiPriority w:val="9"/>
    <w:rsid w:val="0021330F"/>
    <w:rPr>
      <w:rFonts w:ascii="Calibri" w:eastAsia="Calibri" w:hAnsi="Calibri" w:cs="Times New Roman"/>
      <w:szCs w:val="24"/>
    </w:rPr>
  </w:style>
  <w:style w:type="paragraph" w:styleId="Bezmezer">
    <w:name w:val="No Spacing"/>
    <w:uiPriority w:val="1"/>
    <w:qFormat/>
    <w:rsid w:val="0021330F"/>
    <w:pPr>
      <w:spacing w:after="0" w:line="240" w:lineRule="auto"/>
    </w:pPr>
  </w:style>
  <w:style w:type="paragraph" w:styleId="Textbubliny">
    <w:name w:val="Balloon Text"/>
    <w:basedOn w:val="Normln"/>
    <w:link w:val="TextbublinyChar"/>
    <w:uiPriority w:val="99"/>
    <w:semiHidden/>
    <w:unhideWhenUsed/>
    <w:rsid w:val="005A7A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7AA7"/>
    <w:rPr>
      <w:rFonts w:ascii="Segoe UI" w:hAnsi="Segoe UI" w:cs="Segoe UI"/>
      <w:sz w:val="18"/>
      <w:szCs w:val="18"/>
    </w:rPr>
  </w:style>
  <w:style w:type="paragraph" w:styleId="Revize">
    <w:name w:val="Revision"/>
    <w:hidden/>
    <w:uiPriority w:val="99"/>
    <w:semiHidden/>
    <w:rsid w:val="005A7AA7"/>
    <w:pPr>
      <w:spacing w:after="0" w:line="240" w:lineRule="auto"/>
    </w:pPr>
  </w:style>
  <w:style w:type="paragraph" w:styleId="Zkladntext">
    <w:name w:val="Body Text"/>
    <w:link w:val="ZkladntextChar"/>
    <w:unhideWhenUsed/>
    <w:qFormat/>
    <w:rsid w:val="001E2859"/>
    <w:pPr>
      <w:spacing w:after="180"/>
      <w:ind w:left="1701"/>
    </w:pPr>
    <w:rPr>
      <w:rFonts w:eastAsiaTheme="minorEastAsia"/>
      <w:lang w:val="en-US" w:eastAsia="ja-JP"/>
    </w:rPr>
  </w:style>
  <w:style w:type="character" w:customStyle="1" w:styleId="ZkladntextChar">
    <w:name w:val="Základní text Char"/>
    <w:basedOn w:val="Standardnpsmoodstavce"/>
    <w:link w:val="Zkladntext"/>
    <w:rsid w:val="001E2859"/>
    <w:rPr>
      <w:rFonts w:eastAsiaTheme="minorEastAsia"/>
      <w:lang w:val="en-US" w:eastAsia="ja-JP"/>
    </w:rPr>
  </w:style>
  <w:style w:type="paragraph" w:styleId="Seznam">
    <w:name w:val="List"/>
    <w:basedOn w:val="Zkladntext"/>
    <w:link w:val="SeznamChar"/>
    <w:unhideWhenUsed/>
    <w:qFormat/>
    <w:rsid w:val="001E2859"/>
    <w:pPr>
      <w:ind w:left="2269" w:hanging="284"/>
      <w:contextualSpacing/>
    </w:pPr>
  </w:style>
  <w:style w:type="character" w:customStyle="1" w:styleId="SeznamChar">
    <w:name w:val="Seznam Char"/>
    <w:basedOn w:val="ZkladntextChar"/>
    <w:link w:val="Seznam"/>
    <w:rsid w:val="001E2859"/>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761646">
      <w:bodyDiv w:val="1"/>
      <w:marLeft w:val="0"/>
      <w:marRight w:val="0"/>
      <w:marTop w:val="0"/>
      <w:marBottom w:val="0"/>
      <w:divBdr>
        <w:top w:val="none" w:sz="0" w:space="0" w:color="auto"/>
        <w:left w:val="none" w:sz="0" w:space="0" w:color="auto"/>
        <w:bottom w:val="none" w:sz="0" w:space="0" w:color="auto"/>
        <w:right w:val="none" w:sz="0" w:space="0" w:color="auto"/>
      </w:divBdr>
    </w:div>
    <w:div w:id="1862283262">
      <w:bodyDiv w:val="1"/>
      <w:marLeft w:val="0"/>
      <w:marRight w:val="0"/>
      <w:marTop w:val="0"/>
      <w:marBottom w:val="0"/>
      <w:divBdr>
        <w:top w:val="none" w:sz="0" w:space="0" w:color="auto"/>
        <w:left w:val="none" w:sz="0" w:space="0" w:color="auto"/>
        <w:bottom w:val="none" w:sz="0" w:space="0" w:color="auto"/>
        <w:right w:val="none" w:sz="0" w:space="0" w:color="auto"/>
      </w:divBdr>
      <w:divsChild>
        <w:div w:id="583302988">
          <w:marLeft w:val="0"/>
          <w:marRight w:val="0"/>
          <w:marTop w:val="0"/>
          <w:marBottom w:val="0"/>
          <w:divBdr>
            <w:top w:val="none" w:sz="0" w:space="0" w:color="auto"/>
            <w:left w:val="none" w:sz="0" w:space="0" w:color="auto"/>
            <w:bottom w:val="none" w:sz="0" w:space="0" w:color="auto"/>
            <w:right w:val="none" w:sz="0" w:space="0" w:color="auto"/>
          </w:divBdr>
          <w:divsChild>
            <w:div w:id="2072146946">
              <w:marLeft w:val="0"/>
              <w:marRight w:val="0"/>
              <w:marTop w:val="0"/>
              <w:marBottom w:val="0"/>
              <w:divBdr>
                <w:top w:val="none" w:sz="0" w:space="0" w:color="auto"/>
                <w:left w:val="none" w:sz="0" w:space="0" w:color="auto"/>
                <w:bottom w:val="none" w:sz="0" w:space="0" w:color="auto"/>
                <w:right w:val="none" w:sz="0" w:space="0" w:color="auto"/>
              </w:divBdr>
            </w:div>
          </w:divsChild>
        </w:div>
        <w:div w:id="649867193">
          <w:marLeft w:val="0"/>
          <w:marRight w:val="0"/>
          <w:marTop w:val="0"/>
          <w:marBottom w:val="0"/>
          <w:divBdr>
            <w:top w:val="none" w:sz="0" w:space="0" w:color="auto"/>
            <w:left w:val="none" w:sz="0" w:space="0" w:color="auto"/>
            <w:bottom w:val="none" w:sz="0" w:space="0" w:color="auto"/>
            <w:right w:val="none" w:sz="0" w:space="0" w:color="auto"/>
          </w:divBdr>
          <w:divsChild>
            <w:div w:id="2077432864">
              <w:marLeft w:val="0"/>
              <w:marRight w:val="0"/>
              <w:marTop w:val="0"/>
              <w:marBottom w:val="0"/>
              <w:divBdr>
                <w:top w:val="none" w:sz="0" w:space="0" w:color="auto"/>
                <w:left w:val="none" w:sz="0" w:space="0" w:color="auto"/>
                <w:bottom w:val="none" w:sz="0" w:space="0" w:color="auto"/>
                <w:right w:val="none" w:sz="0" w:space="0" w:color="auto"/>
              </w:divBdr>
              <w:divsChild>
                <w:div w:id="1875842580">
                  <w:marLeft w:val="0"/>
                  <w:marRight w:val="0"/>
                  <w:marTop w:val="0"/>
                  <w:marBottom w:val="0"/>
                  <w:divBdr>
                    <w:top w:val="none" w:sz="0" w:space="0" w:color="auto"/>
                    <w:left w:val="none" w:sz="0" w:space="0" w:color="auto"/>
                    <w:bottom w:val="none" w:sz="0" w:space="0" w:color="auto"/>
                    <w:right w:val="none" w:sz="0" w:space="0" w:color="auto"/>
                  </w:divBdr>
                  <w:divsChild>
                    <w:div w:id="2049835308">
                      <w:marLeft w:val="0"/>
                      <w:marRight w:val="0"/>
                      <w:marTop w:val="0"/>
                      <w:marBottom w:val="0"/>
                      <w:divBdr>
                        <w:top w:val="none" w:sz="0" w:space="0" w:color="auto"/>
                        <w:left w:val="none" w:sz="0" w:space="0" w:color="auto"/>
                        <w:bottom w:val="none" w:sz="0" w:space="0" w:color="auto"/>
                        <w:right w:val="none" w:sz="0" w:space="0" w:color="auto"/>
                      </w:divBdr>
                      <w:divsChild>
                        <w:div w:id="1723601417">
                          <w:marLeft w:val="0"/>
                          <w:marRight w:val="0"/>
                          <w:marTop w:val="0"/>
                          <w:marBottom w:val="0"/>
                          <w:divBdr>
                            <w:top w:val="none" w:sz="0" w:space="0" w:color="auto"/>
                            <w:left w:val="none" w:sz="0" w:space="0" w:color="auto"/>
                            <w:bottom w:val="none" w:sz="0" w:space="0" w:color="auto"/>
                            <w:right w:val="none" w:sz="0" w:space="0" w:color="auto"/>
                          </w:divBdr>
                          <w:divsChild>
                            <w:div w:id="1142380493">
                              <w:marLeft w:val="0"/>
                              <w:marRight w:val="0"/>
                              <w:marTop w:val="0"/>
                              <w:marBottom w:val="0"/>
                              <w:divBdr>
                                <w:top w:val="none" w:sz="0" w:space="0" w:color="auto"/>
                                <w:left w:val="none" w:sz="0" w:space="0" w:color="auto"/>
                                <w:bottom w:val="none" w:sz="0" w:space="0" w:color="auto"/>
                                <w:right w:val="none" w:sz="0" w:space="0" w:color="auto"/>
                              </w:divBdr>
                              <w:divsChild>
                                <w:div w:id="1489905979">
                                  <w:marLeft w:val="0"/>
                                  <w:marRight w:val="0"/>
                                  <w:marTop w:val="0"/>
                                  <w:marBottom w:val="0"/>
                                  <w:divBdr>
                                    <w:top w:val="none" w:sz="0" w:space="0" w:color="auto"/>
                                    <w:left w:val="none" w:sz="0" w:space="0" w:color="auto"/>
                                    <w:bottom w:val="none" w:sz="0" w:space="0" w:color="auto"/>
                                    <w:right w:val="none" w:sz="0" w:space="0" w:color="auto"/>
                                  </w:divBdr>
                                  <w:divsChild>
                                    <w:div w:id="10114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56F0-546F-4BC2-AC54-0C8CFF3A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5200</Words>
  <Characters>30683</Characters>
  <Application>Microsoft Office Word</Application>
  <DocSecurity>0</DocSecurity>
  <Lines>255</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Lyčková Věra (3094)</dc:creator>
  <cp:keywords/>
  <dc:description/>
  <cp:lastModifiedBy>Lyčková Věra (3094)</cp:lastModifiedBy>
  <cp:revision>12</cp:revision>
  <cp:lastPrinted>2017-10-05T13:08:00Z</cp:lastPrinted>
  <dcterms:created xsi:type="dcterms:W3CDTF">2017-10-05T13:37:00Z</dcterms:created>
  <dcterms:modified xsi:type="dcterms:W3CDTF">2018-03-02T11:15:00Z</dcterms:modified>
</cp:coreProperties>
</file>