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right="858.0708661417316" w:firstLine="0"/>
        <w:contextualSpacing w:val="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Mateřská škola Na Chodovci, Praha 4, Měchenická 2540</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contextualSpacing w:val="0"/>
              <w:jc w:val="both"/>
              <w:rPr>
                <w:color w:val="333333"/>
                <w:sz w:val="20"/>
                <w:szCs w:val="20"/>
              </w:rPr>
            </w:pPr>
            <w:r w:rsidDel="00000000" w:rsidR="00000000" w:rsidRPr="00000000">
              <w:rPr>
                <w:color w:val="333333"/>
                <w:sz w:val="20"/>
                <w:szCs w:val="20"/>
                <w:rtl w:val="0"/>
              </w:rPr>
              <w:t xml:space="preserve">Měchenická 2540, 14100 Praha</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61384119</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20"/>
                <w:szCs w:val="20"/>
              </w:rPr>
            </w:pPr>
            <w:r w:rsidDel="00000000" w:rsidR="00000000" w:rsidRPr="00000000">
              <w:rPr>
                <w:sz w:val="20"/>
                <w:szCs w:val="20"/>
                <w:rtl w:val="0"/>
              </w:rPr>
              <w:t xml:space="preserve">PaedDr. Miloslava Makovičková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contextualSpacing w:val="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rPr>
            </w:pPr>
            <w:r w:rsidDel="00000000" w:rsidR="00000000" w:rsidRPr="00000000">
              <w:rPr>
                <w:color w:val="333333"/>
                <w:sz w:val="20"/>
                <w:szCs w:val="20"/>
                <w:rtl w:val="0"/>
              </w:rPr>
              <w:t xml:space="preserve">resortní identifikátor (RED-IZO):</w:t>
              <w:tab/>
              <w:t xml:space="preserve">600036651</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12"/>
          <w:szCs w:val="12"/>
        </w:rPr>
      </w:pPr>
      <w:r w:rsidDel="00000000" w:rsidR="00000000" w:rsidRPr="00000000">
        <w:rPr>
          <w:rtl w:val="0"/>
        </w:rPr>
      </w:r>
    </w:p>
    <w:tbl>
      <w:tblPr>
        <w:tblStyle w:val="Table6"/>
        <w:tblW w:w="9465.0" w:type="dxa"/>
        <w:jc w:val="left"/>
        <w:tblInd w:w="820.0" w:type="dxa"/>
        <w:tblLayout w:type="fixed"/>
        <w:tblLook w:val="0600"/>
      </w:tblPr>
      <w:tblGrid>
        <w:gridCol w:w="1245"/>
        <w:gridCol w:w="8220"/>
        <w:tblGridChange w:id="0">
          <w:tblGrid>
            <w:gridCol w:w="1245"/>
            <w:gridCol w:w="822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Číslo účtu: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4.60629921259738"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MultiBoard 140 cm | Barvínek -  Vzdělávací sestava pro mateřské školy s doplňkovým příslušenstvím</w:t>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(dále jen „Předmět koupě“). Předmět koupě je položkově specifikován v objednávce, která jako Příloha č. 1 tvoří nedílnou součást této Smlouvy.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8"/>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ind w:right="-109.60629921259908"/>
              <w:contextualSpacing w:val="0"/>
              <w:jc w:val="both"/>
              <w:rPr>
                <w:sz w:val="20"/>
                <w:szCs w:val="20"/>
              </w:rPr>
            </w:pPr>
            <w:r w:rsidDel="00000000" w:rsidR="00000000" w:rsidRPr="00000000">
              <w:rPr>
                <w:sz w:val="20"/>
                <w:szCs w:val="20"/>
                <w:rtl w:val="0"/>
              </w:rPr>
              <w:t xml:space="preserve">121.700 Kč (jedno sto dvacet jedna tisíc sedm set korun českých)</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ind w:right="4.606299212599083"/>
        <w:contextualSpacing w:val="0"/>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 Praze dne 28. 2. 2018</w:t>
        <w:tab/>
        <w:tab/>
        <w:tab/>
        <w:tab/>
        <w:t xml:space="preserve">Prodávající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 Praze dne 27. 2. 2018</w:t>
        <w:tab/>
        <w:tab/>
        <w:tab/>
        <w:tab/>
        <w:t xml:space="preserve">Kupující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left"/>
      <w:rPr>
        <w:sz w:val="12"/>
        <w:szCs w:val="1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