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C9" w:rsidRDefault="00AF6A05" w:rsidP="00AF6A05">
      <w:pPr>
        <w:spacing w:after="209" w:line="259" w:lineRule="auto"/>
        <w:ind w:left="-14" w:right="0" w:firstLine="0"/>
      </w:pPr>
      <w:r>
        <w:rPr>
          <w:noProof/>
        </w:rPr>
        <w:t xml:space="preserve">                            </w:t>
      </w:r>
      <w:r>
        <w:rPr>
          <w:sz w:val="30"/>
        </w:rPr>
        <w:t>ŘEDITELSTVÍ SILNIC A DÁLNIC ČR</w:t>
      </w:r>
    </w:p>
    <w:p w:rsidR="00B967C9" w:rsidRDefault="00AF6A05">
      <w:pPr>
        <w:pStyle w:val="Nadpis1"/>
      </w:pPr>
      <w:r>
        <w:t>OBJEDNÁVKA (SMLOUV</w:t>
      </w:r>
      <w:r>
        <w:t>A)</w:t>
      </w:r>
    </w:p>
    <w:p w:rsidR="00B967C9" w:rsidRDefault="00AF6A05">
      <w:pPr>
        <w:spacing w:after="3" w:line="259" w:lineRule="auto"/>
        <w:ind w:left="10" w:hanging="10"/>
        <w:jc w:val="center"/>
      </w:pPr>
      <w:r>
        <w:t>číslo objednatele: 06EU-003600</w:t>
      </w:r>
    </w:p>
    <w:p w:rsidR="00B967C9" w:rsidRPr="00AF6A05" w:rsidRDefault="00AF6A05">
      <w:pPr>
        <w:spacing w:after="3" w:line="259" w:lineRule="auto"/>
        <w:ind w:left="10" w:hanging="10"/>
        <w:jc w:val="center"/>
        <w:rPr>
          <w:highlight w:val="black"/>
        </w:rPr>
      </w:pPr>
      <w:r>
        <w:t xml:space="preserve">Číslo dodavatele: </w:t>
      </w:r>
      <w:r w:rsidRPr="00AF6A05">
        <w:rPr>
          <w:highlight w:val="black"/>
        </w:rPr>
        <w:t>18-06</w:t>
      </w:r>
    </w:p>
    <w:p w:rsidR="00B967C9" w:rsidRPr="00AF6A05" w:rsidRDefault="00AF6A05">
      <w:pPr>
        <w:spacing w:after="281" w:line="259" w:lineRule="auto"/>
        <w:ind w:left="10" w:right="86" w:hanging="10"/>
        <w:jc w:val="center"/>
        <w:rPr>
          <w:highlight w:val="black"/>
        </w:rPr>
      </w:pPr>
      <w:r>
        <w:t xml:space="preserve">ISPROFIN/ISPROFOND: </w:t>
      </w:r>
      <w:r w:rsidRPr="00AF6A05">
        <w:rPr>
          <w:highlight w:val="black"/>
        </w:rPr>
        <w:t>500 121 0002</w:t>
      </w:r>
    </w:p>
    <w:p w:rsidR="00B967C9" w:rsidRDefault="00AF6A05">
      <w:pPr>
        <w:spacing w:after="3" w:line="259" w:lineRule="auto"/>
        <w:ind w:left="10" w:right="86" w:hanging="10"/>
        <w:jc w:val="center"/>
      </w:pPr>
      <w:r>
        <w:t>Název zakázky:</w:t>
      </w:r>
    </w:p>
    <w:p w:rsidR="00B967C9" w:rsidRDefault="00AF6A05" w:rsidP="00AF6A05">
      <w:pPr>
        <w:spacing w:after="78" w:line="259" w:lineRule="auto"/>
        <w:ind w:left="0" w:right="0" w:firstLine="0"/>
        <w:jc w:val="center"/>
        <w:rPr>
          <w:b/>
          <w:u w:val="single" w:color="000000"/>
        </w:rPr>
      </w:pPr>
      <w:r w:rsidRPr="00AF6A05">
        <w:rPr>
          <w:b/>
          <w:u w:val="single" w:color="000000"/>
        </w:rPr>
        <w:t>I/26 Stod — průtah, stavební úpravy křižovatky I/26 a 11/230 — dopravně inženýrská studie — posouzení DIO</w:t>
      </w:r>
    </w:p>
    <w:p w:rsidR="00AF6A05" w:rsidRPr="00AF6A05" w:rsidRDefault="00AF6A05" w:rsidP="00AF6A05">
      <w:pPr>
        <w:spacing w:after="78" w:line="259" w:lineRule="auto"/>
        <w:ind w:left="0" w:right="0" w:firstLine="0"/>
        <w:jc w:val="center"/>
        <w:rPr>
          <w:b/>
        </w:rPr>
      </w:pPr>
    </w:p>
    <w:tbl>
      <w:tblPr>
        <w:tblStyle w:val="TableGrid"/>
        <w:tblW w:w="8684" w:type="dxa"/>
        <w:tblInd w:w="2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079"/>
      </w:tblGrid>
      <w:tr w:rsidR="00B967C9">
        <w:trPr>
          <w:trHeight w:val="239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967C9" w:rsidRDefault="00AF6A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AF6A05" w:rsidRDefault="00AF6A05">
            <w:pPr>
              <w:spacing w:after="0" w:line="259" w:lineRule="auto"/>
              <w:ind w:left="101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Dodavatel:</w:t>
            </w:r>
          </w:p>
          <w:p w:rsidR="00B967C9" w:rsidRDefault="00AF6A0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>Obchodní jméno: EDIP s.r.o.</w:t>
            </w:r>
          </w:p>
        </w:tc>
      </w:tr>
      <w:tr w:rsidR="00B967C9">
        <w:trPr>
          <w:trHeight w:val="264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967C9" w:rsidRDefault="00AF6A05">
            <w:pPr>
              <w:spacing w:after="0" w:line="259" w:lineRule="auto"/>
              <w:ind w:left="0" w:right="0" w:firstLine="0"/>
              <w:jc w:val="left"/>
            </w:pPr>
            <w:r>
              <w:t>Ředitelství silnic a dálnic ČR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B967C9" w:rsidRDefault="00AF6A05">
            <w:pPr>
              <w:spacing w:after="0" w:line="259" w:lineRule="auto"/>
              <w:ind w:left="94" w:right="0" w:firstLine="0"/>
              <w:jc w:val="left"/>
            </w:pPr>
            <w:r>
              <w:t>Adresa: Pařížská 1230/1, 301 00 Plzeň</w:t>
            </w:r>
          </w:p>
        </w:tc>
      </w:tr>
      <w:tr w:rsidR="00B967C9">
        <w:trPr>
          <w:trHeight w:val="285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967C9" w:rsidRDefault="00AF6A05">
            <w:pPr>
              <w:spacing w:after="0" w:line="259" w:lineRule="auto"/>
              <w:ind w:left="7" w:right="0" w:firstLine="0"/>
              <w:jc w:val="left"/>
            </w:pPr>
            <w:r>
              <w:t>Správa Plzeň, Hřímalého 37, 301 00 Plzeň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B967C9" w:rsidRDefault="00AF6A05">
            <w:pPr>
              <w:spacing w:after="0" w:line="259" w:lineRule="auto"/>
              <w:ind w:left="101" w:right="0" w:firstLine="0"/>
            </w:pPr>
            <w:r>
              <w:rPr>
                <w:sz w:val="22"/>
              </w:rPr>
              <w:t xml:space="preserve">Bankovní spojení: </w:t>
            </w:r>
            <w:r w:rsidRPr="00AF6A05">
              <w:rPr>
                <w:sz w:val="22"/>
                <w:highlight w:val="black"/>
              </w:rPr>
              <w:t>ČSOB Mariánské Lázně</w:t>
            </w:r>
          </w:p>
        </w:tc>
      </w:tr>
      <w:tr w:rsidR="00B967C9">
        <w:trPr>
          <w:trHeight w:val="287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967C9" w:rsidRDefault="00AF6A05">
            <w:pPr>
              <w:spacing w:after="0" w:line="259" w:lineRule="auto"/>
              <w:ind w:left="7" w:right="0" w:firstLine="0"/>
              <w:jc w:val="left"/>
            </w:pPr>
            <w:r>
              <w:t xml:space="preserve">Bankovní spojení: </w:t>
            </w:r>
            <w:r w:rsidRPr="00AF6A05">
              <w:rPr>
                <w:highlight w:val="black"/>
              </w:rPr>
              <w:t>ČNB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B967C9" w:rsidRDefault="00AF6A05">
            <w:pPr>
              <w:spacing w:after="0" w:line="259" w:lineRule="auto"/>
              <w:ind w:left="108" w:right="0" w:firstLine="0"/>
              <w:jc w:val="left"/>
            </w:pPr>
            <w:r>
              <w:t xml:space="preserve">číslo účtu: </w:t>
            </w:r>
            <w:r w:rsidRPr="00AF6A05">
              <w:rPr>
                <w:highlight w:val="black"/>
              </w:rPr>
              <w:t>250 107 804 / 0300</w:t>
            </w:r>
          </w:p>
        </w:tc>
      </w:tr>
      <w:tr w:rsidR="00B967C9">
        <w:trPr>
          <w:trHeight w:val="280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967C9" w:rsidRDefault="00AF6A05">
            <w:pPr>
              <w:spacing w:after="0" w:line="259" w:lineRule="auto"/>
              <w:ind w:left="7" w:right="0" w:firstLine="0"/>
              <w:jc w:val="left"/>
            </w:pPr>
            <w:r>
              <w:t xml:space="preserve">číslo účtu: </w:t>
            </w:r>
            <w:r w:rsidRPr="00AF6A05">
              <w:rPr>
                <w:highlight w:val="black"/>
              </w:rPr>
              <w:t>20001-15937031/0710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B967C9" w:rsidRDefault="00AF6A05">
            <w:pPr>
              <w:spacing w:after="0" w:line="259" w:lineRule="auto"/>
              <w:ind w:left="108" w:right="0" w:firstLine="0"/>
              <w:jc w:val="left"/>
            </w:pPr>
            <w:r>
              <w:t>IČO: 25462482</w:t>
            </w:r>
          </w:p>
        </w:tc>
      </w:tr>
      <w:tr w:rsidR="00B967C9">
        <w:trPr>
          <w:trHeight w:val="286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967C9" w:rsidRDefault="00AF6A05">
            <w:pPr>
              <w:spacing w:after="0" w:line="259" w:lineRule="auto"/>
              <w:ind w:left="14" w:right="0" w:firstLine="0"/>
              <w:jc w:val="left"/>
            </w:pPr>
            <w:r>
              <w:t>IČO: 65993390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B967C9" w:rsidRDefault="00AF6A05">
            <w:pPr>
              <w:spacing w:after="0" w:line="259" w:lineRule="auto"/>
              <w:ind w:left="108" w:right="0" w:firstLine="0"/>
              <w:jc w:val="left"/>
            </w:pPr>
            <w:r>
              <w:t>DIČ: CZ2546248</w:t>
            </w:r>
          </w:p>
        </w:tc>
      </w:tr>
      <w:tr w:rsidR="00B967C9">
        <w:trPr>
          <w:trHeight w:val="287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967C9" w:rsidRDefault="00AF6A05">
            <w:pPr>
              <w:spacing w:after="0" w:line="259" w:lineRule="auto"/>
              <w:ind w:left="14" w:right="0" w:firstLine="0"/>
              <w:jc w:val="left"/>
            </w:pPr>
            <w:r>
              <w:t>DIČ: CZ65993390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B967C9" w:rsidRDefault="00AF6A05">
            <w:pPr>
              <w:spacing w:after="0" w:line="259" w:lineRule="auto"/>
              <w:ind w:left="108" w:right="0" w:firstLine="0"/>
              <w:jc w:val="left"/>
            </w:pPr>
            <w:r>
              <w:t xml:space="preserve">Kontaktní osoba: </w:t>
            </w:r>
            <w:r w:rsidRPr="00AF6A05">
              <w:rPr>
                <w:highlight w:val="black"/>
              </w:rPr>
              <w:t>Ing. Jan Martolos,</w:t>
            </w:r>
          </w:p>
        </w:tc>
      </w:tr>
    </w:tbl>
    <w:p w:rsidR="00B967C9" w:rsidRDefault="00AF6A05">
      <w:pPr>
        <w:spacing w:after="835" w:line="259" w:lineRule="auto"/>
        <w:ind w:left="0" w:right="892" w:firstLine="0"/>
        <w:jc w:val="right"/>
      </w:pPr>
      <w:r w:rsidRPr="00AF6A05">
        <w:rPr>
          <w:sz w:val="22"/>
          <w:highlight w:val="black"/>
        </w:rPr>
        <w:t>martolos@edip.cz, tel. 377224667</w:t>
      </w:r>
    </w:p>
    <w:p w:rsidR="00B967C9" w:rsidRDefault="00AF6A05">
      <w:pPr>
        <w:ind w:left="31" w:right="50"/>
      </w:pPr>
      <w:r>
        <w:t>Tato objednávka - smlouva Objednatele zavazuje po jejím potvrzení Dodavatelem obě smluvní strany ke splnění stanovených závazků a nahrazuje smlouvu. Dodavatel se zavazuje provést na svůj náklad a nebezpečí pro Objednatele služby specifikované níže. Objedna</w:t>
      </w:r>
      <w:r>
        <w:t>tel se zavazuje zaplatit za služby poskytnuté v souladu s touto objednávkou cenu uvedenou níže.</w:t>
      </w:r>
    </w:p>
    <w:p w:rsidR="00B967C9" w:rsidRDefault="00AF6A05">
      <w:pPr>
        <w:ind w:left="31" w:right="50"/>
      </w:pPr>
      <w:r>
        <w:t>Místo dodání: Ř</w:t>
      </w:r>
      <w:r>
        <w:t>editelství silnic a dálnic ČR, Správa Plzeň, Hřímalého 37, 301 00 Plzeň</w:t>
      </w:r>
    </w:p>
    <w:p w:rsidR="00B967C9" w:rsidRDefault="00AF6A05">
      <w:pPr>
        <w:ind w:left="31" w:right="50"/>
      </w:pPr>
      <w:r>
        <w:t xml:space="preserve">Kontaktní osoba Objednatele: </w:t>
      </w:r>
      <w:r w:rsidRPr="00AF6A05">
        <w:rPr>
          <w:highlight w:val="black"/>
        </w:rPr>
        <w:t>Hana Kobesová, tel. 377 333 773</w:t>
      </w:r>
    </w:p>
    <w:p w:rsidR="00B967C9" w:rsidRDefault="00AF6A05">
      <w:pPr>
        <w:ind w:left="31" w:right="50"/>
      </w:pPr>
      <w:r>
        <w:t xml:space="preserve">Fakturujte: </w:t>
      </w:r>
      <w:r>
        <w:t>Ředitelství silnic a dálnic ČR, Správa Plzeň, Hřímalého 37, 301 00 Plzeň</w:t>
      </w:r>
    </w:p>
    <w:p w:rsidR="00AF6A05" w:rsidRDefault="00AF6A05">
      <w:pPr>
        <w:ind w:left="31" w:right="50"/>
      </w:pPr>
      <w:r>
        <w:t>Obchodní a platební podmínky: Objednatel uhradí cenu jednorázovým bankovním převodem na účet Dodavatele uvedený na faktuře, termín splatnosti je stanoven na 30 dnů ode dne doručení fa</w:t>
      </w:r>
      <w:r>
        <w:t>ktury Objednateli. Fakturu lze předložit nejdříve po protokolárním převzetí služeb Objednatelem bez vad či nedodělků. Faktura musí obsahovat veškeré náležitosti stanovené platnými právními předpisy, číslo objednávky a místo dodání. Objednatel neposkytuje ž</w:t>
      </w:r>
      <w:r>
        <w:t xml:space="preserve">ádné zálohy na cenu, ani dílčí platby ceny. Potvrzením přijetí (akceptací) této objednávky se Dodavatel zavazuje plnit veškeré povinnosti v této objednávce uvedené. Objednatel výslovně vylučuje akceptaci objednávky Dodavatelem s jakýmikoliv změnami jejího </w:t>
      </w:r>
      <w:r>
        <w:t xml:space="preserve">obsahu, k takovému právnímu jednání Dodavatele se nepřihlíží. Dodavatel poskytuje souhlas s uveřejněním objednávky a jejího potvrzení v registru smluv zřízeným zákonem č. 340/2015 Sb., o zvláštních podmínkách účinnosti některých smluv, uveřejňování těchto </w:t>
      </w:r>
      <w:r>
        <w:t xml:space="preserve">smluv a o registru </w:t>
      </w:r>
      <w:r>
        <w:t xml:space="preserve">smluv, ve znění pozdějších </w:t>
      </w:r>
    </w:p>
    <w:p w:rsidR="00AF6A05" w:rsidRDefault="00AF6A05">
      <w:pPr>
        <w:ind w:left="31" w:right="50"/>
      </w:pPr>
    </w:p>
    <w:p w:rsidR="00B967C9" w:rsidRDefault="00AF6A05">
      <w:pPr>
        <w:ind w:left="31" w:right="50"/>
      </w:pPr>
      <w:r>
        <w:lastRenderedPageBreak/>
        <w:t>předpisů (dále jako „zákon o registru smluv”), Objednatelem. Objednávka je účinná okamžikem zveřejnění v registru smluv, přičemž Objednatel o této skutečnosti Dodavatele informuje. Objednatel je oprávněn kdykol</w:t>
      </w:r>
      <w:r>
        <w:t>iv po uzavření objednávky tuto objednávku vypovědět s účinky od doručení písemné výpovědi Dodavateli, a to i bez uvedení důvodu. Výpověď objednávky dle předcházející věty nemá vliv na již řádně poskytnuté plnění včetně práv a povinností z něj vyplývajících</w:t>
      </w:r>
      <w:r>
        <w:t>.</w:t>
      </w:r>
    </w:p>
    <w:p w:rsidR="00B967C9" w:rsidRDefault="00AF6A05">
      <w:pPr>
        <w:spacing w:after="116"/>
        <w:ind w:left="31" w:right="50"/>
      </w:pPr>
      <w:r>
        <w:t>Záruční lhůta: dle Občanského zákoníku</w:t>
      </w:r>
    </w:p>
    <w:p w:rsidR="00B967C9" w:rsidRDefault="00AF6A05">
      <w:pPr>
        <w:ind w:left="31" w:right="50"/>
      </w:pPr>
      <w:r>
        <w:t>Objednáváme u Vás: zpracování studie pro posouzení navrhovaných řešení DIO v průběhu výstavby a to v rozsahu zjištění intenzity dopravy a návrh světelné signalizace.</w:t>
      </w:r>
    </w:p>
    <w:p w:rsidR="00B967C9" w:rsidRPr="00AF6A05" w:rsidRDefault="00AF6A05">
      <w:pPr>
        <w:spacing w:after="146" w:line="259" w:lineRule="auto"/>
        <w:ind w:left="14" w:right="0" w:firstLine="0"/>
        <w:jc w:val="left"/>
        <w:rPr>
          <w:b/>
        </w:rPr>
      </w:pPr>
      <w:r>
        <w:rPr>
          <w:sz w:val="26"/>
        </w:rPr>
        <w:t xml:space="preserve">Lhůta pro dodání Či termín dodání: </w:t>
      </w:r>
      <w:r w:rsidRPr="00AF6A05">
        <w:rPr>
          <w:b/>
          <w:sz w:val="26"/>
        </w:rPr>
        <w:t>do 19.3.2018</w:t>
      </w:r>
    </w:p>
    <w:p w:rsidR="00B967C9" w:rsidRDefault="00AF6A05">
      <w:pPr>
        <w:spacing w:after="179"/>
        <w:ind w:left="31" w:right="50"/>
      </w:pPr>
      <w:r>
        <w:t>C</w:t>
      </w:r>
      <w:r>
        <w:t>elková hodnota objednávky v KČ:</w:t>
      </w:r>
    </w:p>
    <w:p w:rsidR="00B967C9" w:rsidRDefault="00AF6A05">
      <w:pPr>
        <w:tabs>
          <w:tab w:val="center" w:pos="2669"/>
        </w:tabs>
        <w:spacing w:after="286"/>
        <w:ind w:left="0" w:right="0" w:firstLine="0"/>
        <w:jc w:val="left"/>
      </w:pPr>
      <w:r>
        <w:t>Cena bez DPH:</w:t>
      </w:r>
      <w:r>
        <w:tab/>
        <w:t xml:space="preserve">        </w:t>
      </w:r>
      <w:r>
        <w:t>87.100,- Kč</w:t>
      </w:r>
    </w:p>
    <w:p w:rsidR="00B967C9" w:rsidRDefault="00AF6A05">
      <w:pPr>
        <w:tabs>
          <w:tab w:val="center" w:pos="2756"/>
        </w:tabs>
        <w:spacing w:after="259"/>
        <w:ind w:left="0" w:right="0" w:firstLine="0"/>
        <w:jc w:val="left"/>
      </w:pPr>
      <w:r>
        <w:t>DPH 21%:</w:t>
      </w:r>
      <w:r>
        <w:tab/>
        <w:t xml:space="preserve">     </w:t>
      </w:r>
      <w:r>
        <w:t>18.291,- Kč</w:t>
      </w:r>
    </w:p>
    <w:p w:rsidR="00B967C9" w:rsidRPr="00AF6A05" w:rsidRDefault="00AF6A05">
      <w:pPr>
        <w:spacing w:after="416"/>
        <w:ind w:left="31" w:right="50"/>
        <w:rPr>
          <w:b/>
        </w:rPr>
      </w:pPr>
      <w:r w:rsidRPr="00AF6A05">
        <w:rPr>
          <w:b/>
        </w:rPr>
        <w:t>Cena celkem s DPH: 105.391,- Kč</w:t>
      </w:r>
    </w:p>
    <w:p w:rsidR="00B967C9" w:rsidRDefault="00AF6A05">
      <w:pPr>
        <w:ind w:left="31" w:right="50"/>
      </w:pPr>
      <w:r>
        <w:t xml:space="preserve">V případě akceptace objednávky Objednatele Dodavatel objednávku písemně potvrdí prostřednictvím e-mailu zaslaného do e-mailové schránky Objednatele </w:t>
      </w:r>
      <w:r w:rsidRPr="00AF6A05">
        <w:rPr>
          <w:highlight w:val="black"/>
          <w:u w:val="single" w:color="000000"/>
        </w:rPr>
        <w:t>hana.kobesova@rsd.cz</w:t>
      </w:r>
      <w:r w:rsidRPr="00AF6A05">
        <w:rPr>
          <w:highlight w:val="black"/>
        </w:rPr>
        <w:t>.</w:t>
      </w:r>
      <w:r>
        <w:t xml:space="preserve"> V případě nepotvrzení akceptace objednávky Objednatele Dodavatelem platí, že Dodavatel objednávku neakceptoval a objednávka je bez dalšího zneplatněna.</w:t>
      </w:r>
    </w:p>
    <w:p w:rsidR="00B967C9" w:rsidRDefault="00AF6A05">
      <w:pPr>
        <w:spacing w:after="548" w:line="270" w:lineRule="auto"/>
        <w:ind w:left="60" w:right="0"/>
        <w:jc w:val="left"/>
      </w:pPr>
      <w:r>
        <w:rPr>
          <w:sz w:val="22"/>
        </w:rPr>
        <w:t>Pokud není ve Smlouvě a jejích přílohách stanoveno jinak, řídí se právní vztah založený touto Smlouvou</w:t>
      </w:r>
      <w:r>
        <w:rPr>
          <w:sz w:val="22"/>
        </w:rPr>
        <w:t xml:space="preserve"> Občanským zákoníkem.</w:t>
      </w:r>
    </w:p>
    <w:p w:rsidR="00B967C9" w:rsidRDefault="00AF6A05">
      <w:pPr>
        <w:ind w:left="31" w:right="50"/>
      </w:pPr>
      <w:r>
        <w:t>Nedílnou součástí této objednávky jsou následující přílohy:</w:t>
      </w:r>
    </w:p>
    <w:p w:rsidR="00B967C9" w:rsidRDefault="00AF6A05">
      <w:pPr>
        <w:spacing w:after="112" w:line="270" w:lineRule="auto"/>
        <w:ind w:left="60" w:right="0"/>
        <w:jc w:val="left"/>
      </w:pPr>
      <w:r>
        <w:rPr>
          <w:sz w:val="22"/>
        </w:rPr>
        <w:t>Příloha č. 1</w:t>
      </w:r>
      <w:r>
        <w:rPr>
          <w:sz w:val="22"/>
        </w:rPr>
        <w:t xml:space="preserve"> — Specifikace služeb</w:t>
      </w:r>
    </w:p>
    <w:p w:rsidR="00B967C9" w:rsidRDefault="00AF6A05">
      <w:pPr>
        <w:spacing w:after="465"/>
        <w:ind w:left="31" w:right="50"/>
      </w:pPr>
      <w:r>
        <w:t>Příloha č. 2 — Položkový rozpis ceny</w:t>
      </w:r>
    </w:p>
    <w:tbl>
      <w:tblPr>
        <w:tblStyle w:val="TableGrid"/>
        <w:tblW w:w="6857" w:type="dxa"/>
        <w:tblInd w:w="173" w:type="dxa"/>
        <w:tblCellMar>
          <w:top w:w="38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2497"/>
      </w:tblGrid>
      <w:tr w:rsidR="00B967C9">
        <w:trPr>
          <w:trHeight w:val="393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967C9" w:rsidRDefault="00AF6A05">
            <w:pPr>
              <w:tabs>
                <w:tab w:val="center" w:pos="203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V Plzni dne</w:t>
            </w:r>
            <w:r>
              <w:rPr>
                <w:sz w:val="22"/>
              </w:rPr>
              <w:tab/>
              <w:t>28 -02</w:t>
            </w:r>
            <w:r>
              <w:rPr>
                <w:sz w:val="22"/>
              </w:rPr>
              <w:t>- 2018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B967C9" w:rsidRDefault="00AF6A05">
            <w:pPr>
              <w:spacing w:after="0" w:line="259" w:lineRule="auto"/>
              <w:ind w:left="0" w:right="0" w:firstLine="0"/>
              <w:jc w:val="left"/>
            </w:pPr>
            <w:r>
              <w:t>V Plzni dne 26.02.2018</w:t>
            </w:r>
          </w:p>
        </w:tc>
      </w:tr>
      <w:tr w:rsidR="00B967C9">
        <w:trPr>
          <w:trHeight w:val="479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967C9" w:rsidRDefault="00AF6A05">
            <w:pPr>
              <w:spacing w:after="0" w:line="259" w:lineRule="auto"/>
              <w:ind w:left="0" w:right="0" w:firstLine="0"/>
              <w:jc w:val="left"/>
            </w:pPr>
            <w:r>
              <w:t>Za Objednatele: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B967C9" w:rsidRDefault="00AF6A0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Za Dodavatele:</w:t>
            </w:r>
          </w:p>
        </w:tc>
      </w:tr>
    </w:tbl>
    <w:p w:rsidR="00B967C9" w:rsidRDefault="00B967C9">
      <w:pPr>
        <w:spacing w:after="0" w:line="259" w:lineRule="auto"/>
        <w:ind w:left="655" w:right="0" w:firstLine="0"/>
        <w:jc w:val="left"/>
      </w:pPr>
    </w:p>
    <w:p w:rsidR="00AF6A05" w:rsidRDefault="00AF6A05">
      <w:pPr>
        <w:spacing w:after="0" w:line="259" w:lineRule="auto"/>
        <w:ind w:left="655" w:right="0" w:firstLine="0"/>
        <w:jc w:val="left"/>
      </w:pPr>
    </w:p>
    <w:p w:rsidR="00AF6A05" w:rsidRDefault="00AF6A05">
      <w:pPr>
        <w:spacing w:after="0" w:line="259" w:lineRule="auto"/>
        <w:ind w:left="655" w:right="0" w:firstLine="0"/>
        <w:jc w:val="left"/>
      </w:pPr>
    </w:p>
    <w:p w:rsidR="00AF6A05" w:rsidRDefault="00AF6A05">
      <w:pPr>
        <w:spacing w:after="0" w:line="259" w:lineRule="auto"/>
        <w:ind w:left="655" w:right="0" w:firstLine="0"/>
        <w:jc w:val="left"/>
      </w:pPr>
    </w:p>
    <w:p w:rsidR="00AF6A05" w:rsidRDefault="00AF6A05">
      <w:pPr>
        <w:spacing w:after="0" w:line="259" w:lineRule="auto"/>
        <w:ind w:left="655" w:right="0" w:firstLine="0"/>
        <w:jc w:val="left"/>
      </w:pPr>
    </w:p>
    <w:p w:rsidR="00AF6A05" w:rsidRDefault="00AF6A05">
      <w:pPr>
        <w:spacing w:after="0" w:line="259" w:lineRule="auto"/>
        <w:ind w:left="655" w:right="0" w:firstLine="0"/>
        <w:jc w:val="left"/>
      </w:pPr>
    </w:p>
    <w:p w:rsidR="00AF6A05" w:rsidRDefault="00AF6A05">
      <w:pPr>
        <w:spacing w:after="0" w:line="259" w:lineRule="auto"/>
        <w:ind w:left="655" w:right="0" w:firstLine="0"/>
        <w:jc w:val="left"/>
      </w:pPr>
    </w:p>
    <w:p w:rsidR="00AF6A05" w:rsidRDefault="00AF6A05">
      <w:pPr>
        <w:spacing w:after="0" w:line="259" w:lineRule="auto"/>
        <w:ind w:left="655" w:right="0" w:firstLine="0"/>
        <w:jc w:val="left"/>
      </w:pPr>
    </w:p>
    <w:p w:rsidR="00AF6A05" w:rsidRDefault="00AF6A05">
      <w:pPr>
        <w:spacing w:after="0" w:line="259" w:lineRule="auto"/>
        <w:ind w:left="655" w:right="0" w:firstLine="0"/>
        <w:jc w:val="left"/>
      </w:pPr>
    </w:p>
    <w:p w:rsidR="00AF6A05" w:rsidRDefault="00AF6A05">
      <w:pPr>
        <w:spacing w:after="0" w:line="259" w:lineRule="auto"/>
        <w:ind w:left="655" w:right="0" w:firstLine="0"/>
        <w:jc w:val="left"/>
      </w:pPr>
    </w:p>
    <w:p w:rsidR="00AF6A05" w:rsidRDefault="00AF6A05">
      <w:pPr>
        <w:spacing w:after="0" w:line="259" w:lineRule="auto"/>
        <w:ind w:left="655" w:right="0" w:firstLine="0"/>
        <w:jc w:val="left"/>
      </w:pPr>
    </w:p>
    <w:p w:rsidR="00AF6A05" w:rsidRDefault="00AF6A05">
      <w:pPr>
        <w:spacing w:after="0" w:line="259" w:lineRule="auto"/>
        <w:ind w:left="655" w:right="0" w:firstLine="0"/>
        <w:jc w:val="left"/>
      </w:pPr>
    </w:p>
    <w:p w:rsidR="00B967C9" w:rsidRDefault="00AF6A05">
      <w:pPr>
        <w:spacing w:after="446" w:line="259" w:lineRule="auto"/>
        <w:ind w:left="108" w:right="0" w:firstLine="0"/>
        <w:jc w:val="left"/>
      </w:pPr>
      <w:r>
        <w:rPr>
          <w:sz w:val="36"/>
          <w:u w:val="single" w:color="000000"/>
        </w:rPr>
        <w:lastRenderedPageBreak/>
        <w:t>Příloha č. 1 - Specifikace služeb</w:t>
      </w:r>
    </w:p>
    <w:p w:rsidR="00B967C9" w:rsidRDefault="00AF6A05">
      <w:pPr>
        <w:spacing w:after="116" w:line="259" w:lineRule="auto"/>
        <w:ind w:left="60" w:right="0" w:hanging="10"/>
        <w:jc w:val="left"/>
      </w:pPr>
      <w:r>
        <w:rPr>
          <w:u w:val="single" w:color="000000"/>
        </w:rPr>
        <w:t>Posouzení j</w:t>
      </w:r>
      <w:r>
        <w:rPr>
          <w:u w:val="single" w:color="000000"/>
        </w:rPr>
        <w:t>e zpracováno pro:</w:t>
      </w:r>
    </w:p>
    <w:p w:rsidR="00B967C9" w:rsidRDefault="00AF6A05">
      <w:pPr>
        <w:ind w:left="31" w:right="50"/>
      </w:pPr>
      <w:r>
        <w:t>l . Stod, I/26, úsek — křižovatka s 11/230 až most přes Radbuzu. 2. Mantov — křižovatka II/230 x III</w:t>
      </w:r>
      <w:r>
        <w:t>/1804</w:t>
      </w:r>
    </w:p>
    <w:p w:rsidR="00B967C9" w:rsidRDefault="00AF6A05">
      <w:pPr>
        <w:spacing w:after="104" w:line="259" w:lineRule="auto"/>
        <w:ind w:left="79" w:right="0" w:firstLine="0"/>
        <w:jc w:val="left"/>
      </w:pPr>
      <w:r>
        <w:rPr>
          <w:sz w:val="26"/>
          <w:u w:val="single" w:color="000000"/>
        </w:rPr>
        <w:t>Zjištění intenzit dopravy:</w:t>
      </w:r>
    </w:p>
    <w:p w:rsidR="00B967C9" w:rsidRDefault="00AF6A05">
      <w:pPr>
        <w:spacing w:after="120"/>
        <w:ind w:left="31" w:right="50"/>
      </w:pPr>
      <w:r>
        <w:t>Budou provedeny dopravní průzkumy ke zjištění současných intenzit dopravy:</w:t>
      </w:r>
    </w:p>
    <w:p w:rsidR="00B967C9" w:rsidRDefault="00AF6A05">
      <w:pPr>
        <w:numPr>
          <w:ilvl w:val="0"/>
          <w:numId w:val="1"/>
        </w:numPr>
        <w:spacing w:after="117"/>
        <w:ind w:right="50"/>
      </w:pPr>
      <w:r>
        <w:t>I/26 Stod, ul. Domažlická (úsek — křižovatka s II</w:t>
      </w:r>
      <w:r>
        <w:t>/230 až most přes Radbuzu) — průzkum automatickým detektorem dopravy po dobu jednoho týdne — pro zjištění variací intenzit dopravy během dne a týdne.</w:t>
      </w:r>
    </w:p>
    <w:p w:rsidR="00B967C9" w:rsidRDefault="00AF6A05">
      <w:pPr>
        <w:numPr>
          <w:ilvl w:val="0"/>
          <w:numId w:val="1"/>
        </w:numPr>
        <w:spacing w:after="3"/>
        <w:ind w:right="50"/>
      </w:pPr>
      <w:r>
        <w:t>I/26 Stod, křižovatka s II</w:t>
      </w:r>
      <w:r>
        <w:t>/230 (Domažlická x Plzeňská x Stříbrská) — průzkum intenzit křižovatkových pohy</w:t>
      </w:r>
      <w:r>
        <w:t>bů po dobu jedné hodiny ráno (7-8 h) a jedné hodiny odpoledne (15-16</w:t>
      </w:r>
    </w:p>
    <w:p w:rsidR="00B967C9" w:rsidRDefault="00AF6A05">
      <w:pPr>
        <w:spacing w:after="79" w:line="259" w:lineRule="auto"/>
        <w:ind w:left="36" w:right="0" w:firstLine="0"/>
        <w:jc w:val="left"/>
      </w:pPr>
      <w:r>
        <w:rPr>
          <w:sz w:val="26"/>
        </w:rPr>
        <w:t>h)</w:t>
      </w:r>
    </w:p>
    <w:p w:rsidR="00B967C9" w:rsidRDefault="00AF6A05">
      <w:pPr>
        <w:numPr>
          <w:ilvl w:val="0"/>
          <w:numId w:val="1"/>
        </w:numPr>
        <w:spacing w:after="112" w:line="270" w:lineRule="auto"/>
        <w:ind w:right="50"/>
      </w:pPr>
      <w:r>
        <w:rPr>
          <w:sz w:val="22"/>
        </w:rPr>
        <w:t>Mantov — křižovatka II/230 x III</w:t>
      </w:r>
      <w:r>
        <w:rPr>
          <w:sz w:val="22"/>
        </w:rPr>
        <w:t>/1804 - průzkum intenzit křižovatkových pohybů po dobu jedné hodiny odpoledne (15-16 h)</w:t>
      </w:r>
    </w:p>
    <w:p w:rsidR="00B967C9" w:rsidRDefault="00AF6A05">
      <w:pPr>
        <w:spacing w:after="116" w:line="259" w:lineRule="auto"/>
        <w:ind w:left="60" w:right="0" w:hanging="10"/>
        <w:jc w:val="left"/>
      </w:pPr>
      <w:r>
        <w:rPr>
          <w:u w:val="single" w:color="000000"/>
        </w:rPr>
        <w:t>Návrh světelné signalizace:</w:t>
      </w:r>
    </w:p>
    <w:p w:rsidR="00B967C9" w:rsidRDefault="00AF6A05">
      <w:pPr>
        <w:ind w:left="31" w:right="50"/>
      </w:pPr>
      <w:r>
        <w:t>Bude navrženo řízení světelnou signalizací (v rozsahu dokumentace dopravní studie podle TP 81).</w:t>
      </w:r>
    </w:p>
    <w:p w:rsidR="00B967C9" w:rsidRDefault="00AF6A05">
      <w:pPr>
        <w:spacing w:after="146" w:line="270" w:lineRule="auto"/>
        <w:ind w:left="60" w:right="0"/>
        <w:jc w:val="left"/>
      </w:pPr>
      <w:r>
        <w:rPr>
          <w:sz w:val="22"/>
        </w:rPr>
        <w:t>1. I/26 Stod, ul. Domažlická (úsek — křižovatka s II</w:t>
      </w:r>
      <w:r>
        <w:rPr>
          <w:sz w:val="22"/>
        </w:rPr>
        <w:t>/230 až most přes Radbuzu) — signalizace pro obousměrný provoz v jednom jízdním pruhu ve variantách:</w:t>
      </w:r>
    </w:p>
    <w:p w:rsidR="00B967C9" w:rsidRDefault="00AF6A05">
      <w:pPr>
        <w:numPr>
          <w:ilvl w:val="0"/>
          <w:numId w:val="2"/>
        </w:numPr>
        <w:spacing w:after="158" w:line="270" w:lineRule="auto"/>
        <w:ind w:right="25" w:hanging="683"/>
        <w:jc w:val="left"/>
      </w:pPr>
      <w:r>
        <w:rPr>
          <w:sz w:val="22"/>
        </w:rPr>
        <w:t>dvoufáz</w:t>
      </w:r>
      <w:r>
        <w:rPr>
          <w:sz w:val="22"/>
        </w:rPr>
        <w:t>ová — budou dva vjezdy — na každé straně silnice I/26 jeden,</w:t>
      </w:r>
    </w:p>
    <w:p w:rsidR="00B967C9" w:rsidRDefault="00AF6A05">
      <w:pPr>
        <w:numPr>
          <w:ilvl w:val="0"/>
          <w:numId w:val="2"/>
        </w:numPr>
        <w:ind w:right="25" w:hanging="683"/>
        <w:jc w:val="left"/>
      </w:pPr>
      <w:r>
        <w:t>třífázová — budou odděleny vjezdy u křižovatky s II</w:t>
      </w:r>
      <w:r>
        <w:t>/230 —jeden vjezd od I/26 (Plzeňská) a jeden vjezd od II</w:t>
      </w:r>
      <w:r>
        <w:t>/230 (Stříbrská).</w:t>
      </w:r>
    </w:p>
    <w:p w:rsidR="00B967C9" w:rsidRDefault="00AF6A05">
      <w:pPr>
        <w:spacing w:after="112" w:line="270" w:lineRule="auto"/>
        <w:ind w:left="60" w:right="0"/>
        <w:jc w:val="left"/>
      </w:pPr>
      <w:r>
        <w:rPr>
          <w:sz w:val="22"/>
        </w:rPr>
        <w:t>2.</w:t>
      </w:r>
      <w:r>
        <w:rPr>
          <w:sz w:val="22"/>
        </w:rPr>
        <w:tab/>
        <w:t>Mantov — křižovatka II/230 x III</w:t>
      </w:r>
      <w:bookmarkStart w:id="0" w:name="_GoBack"/>
      <w:bookmarkEnd w:id="0"/>
      <w:r>
        <w:rPr>
          <w:sz w:val="22"/>
        </w:rPr>
        <w:t>/1804 — návrh SSZ na intenzity dopr</w:t>
      </w:r>
      <w:r>
        <w:rPr>
          <w:sz w:val="22"/>
        </w:rPr>
        <w:t>avy za předpokladu vedení objízdné trasy.</w:t>
      </w:r>
    </w:p>
    <w:p w:rsidR="00B967C9" w:rsidRDefault="00AF6A05">
      <w:pPr>
        <w:spacing w:after="116" w:line="259" w:lineRule="auto"/>
        <w:ind w:left="60" w:right="0" w:hanging="10"/>
        <w:jc w:val="left"/>
      </w:pPr>
      <w:r>
        <w:rPr>
          <w:u w:val="single" w:color="000000"/>
        </w:rPr>
        <w:t>Posouzení návrhu:</w:t>
      </w:r>
    </w:p>
    <w:p w:rsidR="00B967C9" w:rsidRDefault="00AF6A05">
      <w:pPr>
        <w:spacing w:after="113"/>
        <w:ind w:left="31" w:right="50"/>
      </w:pPr>
      <w:r>
        <w:t>Výpočtem podle TP 235 budou určeny parametry provozu v jednotlivých variantách (délka vzdutí, střední doba zdržení).</w:t>
      </w:r>
    </w:p>
    <w:p w:rsidR="00B967C9" w:rsidRDefault="00AF6A05">
      <w:pPr>
        <w:spacing w:after="112" w:line="270" w:lineRule="auto"/>
        <w:ind w:left="60" w:right="0"/>
        <w:jc w:val="left"/>
      </w:pPr>
      <w:r>
        <w:rPr>
          <w:u w:val="single" w:color="000000"/>
        </w:rPr>
        <w:t>Počet výtisků:</w:t>
      </w:r>
      <w:r>
        <w:t xml:space="preserve"> zpráva s grafickými a tabulkovými přílohami v počtu 3 paré a 1 d</w:t>
      </w:r>
      <w:r>
        <w:t>igitální podoba ve formátu pdf.</w:t>
      </w:r>
    </w:p>
    <w:sectPr w:rsidR="00B967C9">
      <w:footerReference w:type="even" r:id="rId7"/>
      <w:footerReference w:type="first" r:id="rId8"/>
      <w:pgSz w:w="11900" w:h="16820"/>
      <w:pgMar w:top="1669" w:right="1532" w:bottom="101" w:left="1568" w:header="708" w:footer="13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6A05">
      <w:pPr>
        <w:spacing w:after="0" w:line="240" w:lineRule="auto"/>
      </w:pPr>
      <w:r>
        <w:separator/>
      </w:r>
    </w:p>
  </w:endnote>
  <w:endnote w:type="continuationSeparator" w:id="0">
    <w:p w:rsidR="00000000" w:rsidRDefault="00AF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C9" w:rsidRDefault="00AF6A05">
    <w:pPr>
      <w:spacing w:after="0" w:line="259" w:lineRule="auto"/>
      <w:ind w:left="137" w:right="0" w:firstLine="0"/>
      <w:jc w:val="center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4"/>
      </w:rPr>
      <w:t xml:space="preserve">z </w:t>
    </w:r>
    <w:r>
      <w:rPr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C9" w:rsidRDefault="00AF6A05">
    <w:pPr>
      <w:spacing w:after="0" w:line="259" w:lineRule="auto"/>
      <w:ind w:left="137" w:right="0" w:firstLine="0"/>
      <w:jc w:val="center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4"/>
      </w:rPr>
      <w:t xml:space="preserve">z </w:t>
    </w:r>
    <w:r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F6A05">
      <w:pPr>
        <w:spacing w:after="0" w:line="240" w:lineRule="auto"/>
      </w:pPr>
      <w:r>
        <w:separator/>
      </w:r>
    </w:p>
  </w:footnote>
  <w:footnote w:type="continuationSeparator" w:id="0">
    <w:p w:rsidR="00000000" w:rsidRDefault="00AF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F4C36"/>
    <w:multiLevelType w:val="hybridMultilevel"/>
    <w:tmpl w:val="10CCC478"/>
    <w:lvl w:ilvl="0" w:tplc="B2FAAC24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A4D64A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06759E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CE1DB4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9ED8F2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F4BCB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DE865A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568D82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BCA328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B7374D"/>
    <w:multiLevelType w:val="hybridMultilevel"/>
    <w:tmpl w:val="819EEFE4"/>
    <w:lvl w:ilvl="0" w:tplc="C526D59C">
      <w:start w:val="1"/>
      <w:numFmt w:val="lowerLetter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679D6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2BDE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8D99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CEFC1A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A1426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C5A70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64024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ECF2E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C9"/>
    <w:rsid w:val="00AF6A05"/>
    <w:rsid w:val="00B9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BDA5"/>
  <w15:docId w15:val="{F4A272F0-EDA4-42C9-85E8-929A2821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1" w:line="268" w:lineRule="auto"/>
      <w:ind w:left="3" w:right="94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86"/>
      <w:jc w:val="center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F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A05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AF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6A0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KMBT_C284e-20180228142305</vt:lpstr>
    </vt:vector>
  </TitlesOfParts>
  <Company>RSD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KMBT_C284e-20180228142305</dc:title>
  <dc:subject/>
  <dc:creator>Horová Hana</dc:creator>
  <cp:keywords/>
  <cp:lastModifiedBy>Horová Hana</cp:lastModifiedBy>
  <cp:revision>2</cp:revision>
  <dcterms:created xsi:type="dcterms:W3CDTF">2018-03-01T13:33:00Z</dcterms:created>
  <dcterms:modified xsi:type="dcterms:W3CDTF">2018-03-01T13:33:00Z</dcterms:modified>
</cp:coreProperties>
</file>