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60" w:rsidRPr="00C10F60" w:rsidRDefault="00C10F60" w:rsidP="00C10F6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Times New Roman"/>
          <w:kern w:val="1"/>
          <w:sz w:val="24"/>
          <w:szCs w:val="20"/>
          <w:lang w:eastAsia="ar-SA"/>
        </w:rPr>
      </w:pPr>
      <w:bookmarkStart w:id="0" w:name="_GoBack"/>
      <w:bookmarkEnd w:id="0"/>
    </w:p>
    <w:p w:rsidR="00C10F60" w:rsidRPr="00C10F60" w:rsidRDefault="00C10F60" w:rsidP="00C10F60">
      <w:pPr>
        <w:keepNext/>
        <w:widowControl w:val="0"/>
        <w:tabs>
          <w:tab w:val="num" w:pos="432"/>
          <w:tab w:val="left" w:pos="1785"/>
          <w:tab w:val="center" w:pos="4890"/>
        </w:tabs>
        <w:suppressAutoHyphens/>
        <w:spacing w:before="60"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i/>
          <w:kern w:val="1"/>
          <w:sz w:val="28"/>
          <w:szCs w:val="28"/>
          <w:lang w:eastAsia="ar-SA"/>
        </w:rPr>
      </w:pPr>
      <w:r w:rsidRPr="00C10F60">
        <w:rPr>
          <w:rFonts w:ascii="Arial" w:eastAsia="Times New Roman" w:hAnsi="Arial" w:cs="Arial"/>
          <w:i/>
          <w:kern w:val="1"/>
          <w:sz w:val="28"/>
          <w:szCs w:val="28"/>
          <w:lang w:eastAsia="ar-SA"/>
        </w:rPr>
        <w:t>Kupní smlouva</w:t>
      </w: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uzavřená v souladu se zákonem č. 89/2012 Sb., občanský zákoník</w:t>
      </w:r>
      <w:r w:rsidRPr="00C10F60">
        <w:rPr>
          <w:rFonts w:ascii="Arial" w:eastAsia="Times New Roman" w:hAnsi="Arial" w:cs="Arial"/>
          <w:kern w:val="2"/>
          <w:sz w:val="20"/>
          <w:szCs w:val="20"/>
          <w:lang w:eastAsia="ar-SA"/>
        </w:rPr>
        <w:t>, ve znění pozdějších předpisů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widowControl w:val="0"/>
        <w:tabs>
          <w:tab w:val="num" w:pos="1152"/>
        </w:tabs>
        <w:suppressAutoHyphens/>
        <w:spacing w:after="0" w:line="240" w:lineRule="auto"/>
        <w:ind w:left="1152" w:hanging="1152"/>
        <w:outlineLvl w:val="5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mezi smluvními stranami:</w:t>
      </w:r>
    </w:p>
    <w:p w:rsidR="00C10F60" w:rsidRPr="00C10F60" w:rsidRDefault="00C10F60" w:rsidP="00C10F60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Statutární město Mladá Boleslav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Sídlo: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Komenského náměstí 61, 293 01 Mladá Boleslav I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IČO: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00238295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DIČ: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CZ00238295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Zastoupené: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="00230B74">
        <w:rPr>
          <w:rFonts w:ascii="Arial" w:eastAsia="Times New Roman" w:hAnsi="Arial" w:cs="Arial"/>
          <w:kern w:val="1"/>
          <w:sz w:val="20"/>
          <w:szCs w:val="20"/>
          <w:lang w:eastAsia="ar-SA"/>
        </w:rPr>
        <w:t>xxxxxxxxxxxxxxxxxxxxxxxx,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primátorem města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Bankovní spojení: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Česká spořitelna, a.s.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Číslo účtu: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="00230B74">
        <w:rPr>
          <w:rFonts w:ascii="Arial" w:eastAsia="Times New Roman" w:hAnsi="Arial" w:cs="Arial"/>
          <w:kern w:val="1"/>
          <w:sz w:val="20"/>
          <w:szCs w:val="20"/>
          <w:lang w:eastAsia="ar-SA"/>
        </w:rPr>
        <w:t>xxxxxxxxxxxxxxxxxxx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dále jen </w:t>
      </w:r>
      <w:r w:rsidRPr="00C10F6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>„prodávající“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a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GasNet, s.r.o.  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Sídlo: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Klíšská 940/96, Klíše, 400 01 Ústí nad Labem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Spisová značka: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C 23083 vedená u Krajského soudu v Ústí nad Labem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IČO: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27295567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DIČ: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CZ27295567</w:t>
      </w:r>
    </w:p>
    <w:p w:rsidR="00C10F60" w:rsidRPr="00C10F60" w:rsidRDefault="00C10F60" w:rsidP="00C10F60">
      <w:pPr>
        <w:shd w:val="clear" w:color="auto" w:fill="FFFFFF"/>
        <w:tabs>
          <w:tab w:val="left" w:pos="1985"/>
        </w:tabs>
        <w:suppressAutoHyphens/>
        <w:spacing w:after="0" w:line="240" w:lineRule="auto"/>
        <w:ind w:left="1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hd w:val="clear" w:color="auto" w:fill="FFFFFF"/>
        <w:tabs>
          <w:tab w:val="left" w:pos="1701"/>
        </w:tabs>
        <w:suppressAutoHyphens/>
        <w:spacing w:after="0" w:line="240" w:lineRule="auto"/>
        <w:ind w:left="1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Zastoupena na základě plné moci společností:</w:t>
      </w:r>
    </w:p>
    <w:p w:rsidR="00C10F60" w:rsidRPr="00C10F60" w:rsidRDefault="00C10F60" w:rsidP="00C10F60">
      <w:pPr>
        <w:shd w:val="clear" w:color="auto" w:fill="FFFFFF"/>
        <w:tabs>
          <w:tab w:val="left" w:pos="1701"/>
        </w:tabs>
        <w:suppressAutoHyphens/>
        <w:spacing w:after="0" w:line="240" w:lineRule="auto"/>
        <w:ind w:left="1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hd w:val="clear" w:color="auto" w:fill="FFFFFF"/>
        <w:tabs>
          <w:tab w:val="left" w:pos="1701"/>
        </w:tabs>
        <w:suppressAutoHyphens/>
        <w:spacing w:after="0" w:line="240" w:lineRule="auto"/>
        <w:ind w:left="16"/>
        <w:jc w:val="both"/>
        <w:rPr>
          <w:rFonts w:ascii="Arial" w:eastAsia="Calibri" w:hAnsi="Arial" w:cs="Arial"/>
          <w:b/>
          <w:kern w:val="1"/>
          <w:sz w:val="20"/>
          <w:szCs w:val="20"/>
          <w:lang w:val="x-none"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GridServices, s.r.o.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Sídlo: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Plynárenská 499/1, Zábrdovice, 602 00 Brno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Spisová značka: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C 57165 vedená u Krajského soudu v Brně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IČO: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27935311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DIČ: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CZ27935311</w:t>
      </w: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Zastoupena na základě plných mocí:</w:t>
      </w:r>
    </w:p>
    <w:p w:rsidR="00C10F60" w:rsidRPr="00C10F60" w:rsidRDefault="00230B74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xxxxxxxxxxxxxxxx</w:t>
      </w:r>
      <w:r w:rsidR="00C10F60"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– vedoucí oddělení správy nemovitého majetku Čechy východ</w:t>
      </w:r>
    </w:p>
    <w:p w:rsidR="00C10F60" w:rsidRPr="00C10F60" w:rsidRDefault="00230B74" w:rsidP="00C10F60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xxxxxxxxxxxxxxxx</w:t>
      </w:r>
      <w:r w:rsidR="00C10F60"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– technikem majetkoprávní podpory</w:t>
      </w:r>
    </w:p>
    <w:p w:rsidR="00C10F60" w:rsidRPr="00C10F60" w:rsidRDefault="00C10F60" w:rsidP="00C10F60">
      <w:pPr>
        <w:shd w:val="clear" w:color="auto" w:fill="FFFFFF"/>
        <w:suppressAutoHyphens/>
        <w:spacing w:after="0" w:line="240" w:lineRule="auto"/>
        <w:ind w:left="16"/>
        <w:jc w:val="both"/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dále jen </w:t>
      </w:r>
      <w:r w:rsidRPr="00C10F6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>„</w:t>
      </w:r>
      <w:r w:rsidRPr="00C10F60">
        <w:rPr>
          <w:rFonts w:ascii="Arial" w:eastAsia="Times New Roman" w:hAnsi="Arial" w:cs="Arial"/>
          <w:b/>
          <w:bCs/>
          <w:i/>
          <w:kern w:val="1"/>
          <w:sz w:val="20"/>
          <w:szCs w:val="20"/>
          <w:lang w:eastAsia="ar-SA"/>
        </w:rPr>
        <w:t>kupující“</w:t>
      </w:r>
      <w:r w:rsidRPr="00C10F60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</w:t>
      </w:r>
    </w:p>
    <w:p w:rsidR="00C10F60" w:rsidRPr="00C10F60" w:rsidRDefault="00C10F60" w:rsidP="00C10F60">
      <w:p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Arial"/>
          <w:b/>
          <w:bCs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before="120" w:after="0" w:line="240" w:lineRule="auto"/>
        <w:ind w:left="4248" w:hanging="4390"/>
        <w:jc w:val="center"/>
        <w:rPr>
          <w:rFonts w:ascii="Times New Roman" w:eastAsia="Times New Roman" w:hAnsi="Times New Roman" w:cs="Arial"/>
          <w:b/>
          <w:snapToGrid w:val="0"/>
          <w:kern w:val="1"/>
          <w:sz w:val="20"/>
          <w:szCs w:val="20"/>
          <w:lang w:eastAsia="ar-SA"/>
        </w:rPr>
      </w:pPr>
      <w:r w:rsidRPr="00C10F60">
        <w:rPr>
          <w:rFonts w:ascii="Times New Roman" w:eastAsia="Times New Roman" w:hAnsi="Times New Roman" w:cs="Arial"/>
          <w:b/>
          <w:snapToGrid w:val="0"/>
          <w:kern w:val="1"/>
          <w:sz w:val="20"/>
          <w:szCs w:val="20"/>
          <w:lang w:eastAsia="ar-SA"/>
        </w:rPr>
        <w:t xml:space="preserve">I. 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napToGrid w:val="0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 xml:space="preserve">Prodávající prohlašuje, že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je ke dni podpisu této smlouvy výlučným</w:t>
      </w:r>
      <w:r w:rsidRPr="00C10F6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vlastníkem pozemku parc. č. 583/1, zapsaných na LV č. 10001, v k.ú. Čejetice u Mladé Boleslavi, obec Mladá Boleslav, u Katastrálního úřadu pro Středočeský kraj, katastrální pracoviště Mladá Boleslav.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Prodávající prohlašuje, že vlastnictví k výše uvedenému pozemku ke dni podpisu této smlouvy nepozbyl a že jeho vlastnické právo k němu je nesporné, jeho smluvní volnost není ničím omezena, a je proto oprávněn s pozemkem volně nakládat.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II.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Prodávající touto smlouvou ze svého výlučného vlastnictví prodává a kupující touto smlouvou do svého výlučného vlastnictví kupuje díl D nově vzniklého pozemku parc. č. 583/3 a díl C nově vzniklého pozemku st. parc. č. 1947 v k.ú. Čejetice u Mladé Boleslavi, včetně všech jeho součástí a příslušenství (dále jen </w:t>
      </w:r>
      <w:r w:rsidRPr="00C10F6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>„předmět koupě“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), které jsou vyznačeny v geometrickém plánu č. 1761-11443/2017, k.ú. Čejetice u Mladé Boleslavi ze dne 27.9.2017, který vyhotovil Geošrafo, s.r.o. a potvrdil dne 05.10.2017 Katastrální úřad pro Středočeský kraj, katastrální pracoviště Mladá Boleslav. Geometrický plán tvoří nedílnou součást této smlouvy.  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before="120" w:after="0" w:line="240" w:lineRule="auto"/>
        <w:ind w:left="284" w:hanging="284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before="120" w:after="0" w:line="240" w:lineRule="auto"/>
        <w:ind w:left="284" w:hanging="284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before="120" w:after="0" w:line="240" w:lineRule="auto"/>
        <w:ind w:left="284" w:hanging="284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before="120" w:after="0" w:line="240" w:lineRule="auto"/>
        <w:ind w:left="284" w:hanging="284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lastRenderedPageBreak/>
        <w:t>III.</w:t>
      </w:r>
    </w:p>
    <w:p w:rsidR="00C10F60" w:rsidRPr="00C10F60" w:rsidRDefault="00C10F60" w:rsidP="00C10F6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Smluvní strany se dohodly na kupní ceně předmětu koupě ve výši 51.660,- Kč bez DPH (slovy padesát-jeden-tisíc-šest-set-šedesát korun českých) dále jen </w:t>
      </w:r>
      <w:r w:rsidRPr="00C10F6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>„kupní cena“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.</w:t>
      </w:r>
    </w:p>
    <w:p w:rsidR="00C10F60" w:rsidRPr="00C10F60" w:rsidRDefault="00C10F60" w:rsidP="00C10F6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Plnění není osvobozeno od DPH. V souladu se zákonem č. 235/2004 Sb., o dani z přidané hodnoty, ve znění pozdějších předpisů nesplňuje předmět koupě podmínky osvobození od daně z přidané hodnoty, neboť při dodání není stavebním pozemkem, ale tvoří funkční celek se stavbou pevně spojenou se zemí mladší 5 let, což vyplývá z kolaudačního souhlasu č.j.: 48120/2017/SÚ/SIVA vydaného dne 11.10.2017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Kupující se zavazuje uhradit na bankovní účet prodávajícího, zveřejněný v registru plátců DPH a uvedený v kupní smlouvě, sjednanou kupní cenu do 30 dnů od data podpisu kupní smlouvy, na základě zálohové faktury, vystavené prodávajícím při podpisu kupní smlouvy. Konečnou fakturu (daňový doklad) s vyúčtováním přijaté zálohy vystaví prodávající a kupujícímu ji doručí do 15 dnů ode dne, kdy mu bude od příslušného katastrálního úřadu doručeno vyrozumění, ve kterém bude uveden den zápisu změny vlastnického práva k předmětu koupě.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Daňový doklad (faktura) musí obsahovat veškeré náležitosti vyžadované platnými právními předpisy a dále odkaz na číslo této smlouvy a bankovní spojení zveřejněné v registru plátců DPH. Kupující je oprávněn vrátit daňový doklad (fakturu) prodávajícímu v době jeho splatnosti, jestliže nebude obsahovat veškeré sjednané náležitosti, nebo pokud v něm nebudou správně uvedeny údaje. Nová doba splatnosti pak začne běžet ode dne doručení náhradního daňového dokladu (faktury).</w:t>
      </w:r>
    </w:p>
    <w:p w:rsidR="00C10F60" w:rsidRPr="00C10F60" w:rsidRDefault="00C10F60" w:rsidP="00C10F60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Pokud budou k datu uskutečnění zdanitelného plnění u prodávajícího naplněny podmínky ustanovení § 106a zákona č. 235/2004 Sb., o dani z přidané hodnoty, ve znění pozdějších předpisů, je kupující oprávněn postupovat podle ustanovení § 109a tohoto zákona, tj. zvláštním způsobem zajištění daně. V takovém případě je kupující oprávněn uhradit část svého finančního závazku, tedy část sjednané kupní ceny, ve výši vypočtené daně z přidané hodnoty nikoliv na bankovní účet prodávajícího, ale přímo na bankovní účet příslušného správce daně. Tímto bude finanční závazek kupujícího vůči prodávajícímu v části vypočtené výše daně z přidané hodnoty vyrovnaný.</w:t>
      </w:r>
    </w:p>
    <w:p w:rsidR="00C10F60" w:rsidRPr="00C10F60" w:rsidRDefault="00C10F60" w:rsidP="00C10F60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Smluvní strany prohlašují, že jejich vzájemná práva a závazky k předmětu koupě z doby před uzavřením této smlouvy jsou jejím uzavřením a zaplacením kupní ceny zcela a úplně vypořádány a že vůči sobě nevznášejí žádné další nároky.</w:t>
      </w:r>
    </w:p>
    <w:p w:rsidR="00C10F60" w:rsidRPr="00C10F60" w:rsidRDefault="00C10F60" w:rsidP="00C10F60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IV.</w:t>
      </w:r>
    </w:p>
    <w:p w:rsidR="00C10F60" w:rsidRPr="00C10F60" w:rsidRDefault="00C10F60" w:rsidP="00C10F60">
      <w:pPr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Prodávající prohlašuje, že na předmětu koupě neváznou žádné dluhy, věcná ani jiná práva nebo jiné právní nebo faktické vady, které by omezovaly vlastníka předmětu koupě v jeho neomezeném užívání</w:t>
      </w:r>
      <w:r w:rsidRPr="00C10F60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 xml:space="preserve"> než ty, které jsou uvedeny na příslušném LV,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a že ke dni podpisu této smlouvy nebyla uzavřena mezi prodávajícím a třetí osobou žádná smlouva nebo jiná listina na základě, které by výše uvedená práva nebo omezení mohla vzniknout po uzavření této smlouvy.   </w:t>
      </w:r>
    </w:p>
    <w:p w:rsidR="00C10F60" w:rsidRPr="00C10F60" w:rsidRDefault="00C10F60" w:rsidP="00C10F60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Smluvní strany souhlasí, aby v katastru nemovitostí byly provedeny zápisy vkladu práv odpovídající této smlouvě. Náklady spojené s vyhotovením této smlouvy a se zápisem vkladu práv v katastru nemovitostí ponese kupující. </w:t>
      </w:r>
    </w:p>
    <w:p w:rsidR="00C10F60" w:rsidRPr="00C10F60" w:rsidRDefault="00C10F60" w:rsidP="00C10F60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Poplatníkem daně z nabytí nemovitých věcí je kupující.</w:t>
      </w:r>
    </w:p>
    <w:p w:rsidR="00C10F60" w:rsidRPr="00C10F60" w:rsidRDefault="00C10F60" w:rsidP="00C10F60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V.</w:t>
      </w:r>
    </w:p>
    <w:p w:rsidR="00C10F60" w:rsidRPr="00C10F60" w:rsidRDefault="00C10F60" w:rsidP="00C10F6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Při uveřejnění smlouvy budou znečitelněny osobní údaje zaměstnanců kupujícího v rozsahu jméno a příjmení, jejich pracovní pozice a kontakty, telefonické i emailové adresy apod, a dále budou znečitelněny podpisy osob zastupujících smluvní strany. </w:t>
      </w:r>
    </w:p>
    <w:p w:rsidR="00C10F60" w:rsidRPr="00C10F60" w:rsidRDefault="00C10F60" w:rsidP="00C10F60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>Souhlas je též brán jako souhlas se zpracováním osobních údajů ve smyslu zákona č. 101/2000 Sb. o ochraně osobních údajů a o změně některých zákonů, v platném znění, a tedy Statutární město Mladá Boleslav má mimo jiné právo uchovávat osobní údaje v této smlouvě obsažené.</w:t>
      </w:r>
    </w:p>
    <w:p w:rsidR="00C10F60" w:rsidRPr="00C10F60" w:rsidRDefault="00C10F60" w:rsidP="00C10F60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lastRenderedPageBreak/>
        <w:t>Smluvní strany se dohodly, že smlouvu v registru smluv zveřejní prodávající.</w:t>
      </w:r>
    </w:p>
    <w:p w:rsidR="00C10F60" w:rsidRPr="00C10F60" w:rsidRDefault="00C10F60" w:rsidP="00C10F60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C10F60" w:rsidRPr="00C10F60" w:rsidRDefault="00C10F60" w:rsidP="00C10F60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10F60" w:rsidRPr="00C10F60" w:rsidRDefault="00C10F60" w:rsidP="00C10F6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VI.</w:t>
      </w:r>
    </w:p>
    <w:p w:rsidR="00C10F60" w:rsidRPr="00C10F60" w:rsidRDefault="00C10F60" w:rsidP="00C10F6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F60">
        <w:rPr>
          <w:rFonts w:ascii="Arial" w:eastAsia="Times New Roman" w:hAnsi="Arial" w:cs="Arial"/>
          <w:sz w:val="20"/>
          <w:szCs w:val="20"/>
          <w:lang w:eastAsia="cs-CZ"/>
        </w:rPr>
        <w:t>Tato smlouva je vyhotovena ve 3 stejnopisech, z nichž jeden obdrží každý z účastníků této smlouvy a jeden je určen pro účely vkladového řízení před katastrálním úřadem.</w:t>
      </w:r>
    </w:p>
    <w:p w:rsidR="00734289" w:rsidRDefault="00734289" w:rsidP="00C10F60">
      <w:pPr>
        <w:keepNext/>
        <w:tabs>
          <w:tab w:val="left" w:pos="5670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tabs>
          <w:tab w:val="left" w:pos="5670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V Mladé Boleslavi dne </w:t>
      </w:r>
      <w:r w:rsidRPr="00C10F60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V Hradci Králové dne</w:t>
      </w:r>
    </w:p>
    <w:p w:rsidR="00C10F60" w:rsidRPr="00C10F60" w:rsidRDefault="00C10F60" w:rsidP="00C10F60">
      <w:pPr>
        <w:keepNext/>
        <w:tabs>
          <w:tab w:val="left" w:pos="5670"/>
        </w:tabs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tabs>
          <w:tab w:val="left" w:pos="5670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Prodávající:</w:t>
      </w:r>
      <w:r w:rsidRPr="00C10F6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  <w:t>Kupující:</w:t>
      </w:r>
    </w:p>
    <w:p w:rsidR="00C10F60" w:rsidRDefault="00C10F60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734289" w:rsidRPr="00C10F60" w:rsidRDefault="00734289" w:rsidP="00C10F60">
      <w:pPr>
        <w:keepNext/>
        <w:tabs>
          <w:tab w:val="left" w:pos="2977"/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widowControl w:val="0"/>
        <w:pBdr>
          <w:bottom w:val="single" w:sz="4" w:space="1" w:color="000000"/>
        </w:pBdr>
        <w:tabs>
          <w:tab w:val="left" w:pos="567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...........................................</w:t>
      </w: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  <w:t>....................................……....</w:t>
      </w:r>
    </w:p>
    <w:p w:rsidR="00C10F60" w:rsidRPr="00C10F60" w:rsidRDefault="00230B74" w:rsidP="00C10F60">
      <w:pPr>
        <w:keepNext/>
        <w:widowControl w:val="0"/>
        <w:pBdr>
          <w:bottom w:val="single" w:sz="4" w:space="1" w:color="000000"/>
        </w:pBdr>
        <w:tabs>
          <w:tab w:val="left" w:pos="510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xxxxxxxxxxxxxxxxxxxxxxxxx</w:t>
      </w:r>
      <w:r w:rsidR="00C10F60"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</w:r>
      <w:r w:rsidR="00C10F60"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xxxxxxxxxxxxxxxxxxxxxxxxxx</w:t>
      </w:r>
    </w:p>
    <w:p w:rsidR="00C10F60" w:rsidRPr="00C10F60" w:rsidRDefault="00C10F60" w:rsidP="00C10F60">
      <w:pPr>
        <w:keepNext/>
        <w:widowControl w:val="0"/>
        <w:pBdr>
          <w:bottom w:val="single" w:sz="4" w:space="1" w:color="000000"/>
        </w:pBdr>
        <w:tabs>
          <w:tab w:val="left" w:pos="5103"/>
        </w:tabs>
        <w:suppressAutoHyphens/>
        <w:spacing w:after="0" w:line="240" w:lineRule="auto"/>
        <w:ind w:left="5664" w:hanging="5664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Primátor města</w:t>
      </w: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</w: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  <w:t>Vedoucí oddělení správy nemovitého majetku Čechy východ</w:t>
      </w:r>
    </w:p>
    <w:p w:rsidR="00C10F60" w:rsidRDefault="00C10F60" w:rsidP="00C10F60">
      <w:pPr>
        <w:keepNext/>
        <w:widowControl w:val="0"/>
        <w:pBdr>
          <w:bottom w:val="single" w:sz="4" w:space="1" w:color="000000"/>
        </w:pBdr>
        <w:tabs>
          <w:tab w:val="left" w:pos="5103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widowControl w:val="0"/>
        <w:pBdr>
          <w:bottom w:val="single" w:sz="4" w:space="1" w:color="000000"/>
        </w:pBdr>
        <w:tabs>
          <w:tab w:val="left" w:pos="5103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</w:p>
    <w:p w:rsidR="00734289" w:rsidRDefault="00734289" w:rsidP="00C10F60">
      <w:pPr>
        <w:keepNext/>
        <w:widowControl w:val="0"/>
        <w:pBdr>
          <w:bottom w:val="single" w:sz="4" w:space="1" w:color="000000"/>
        </w:pBdr>
        <w:tabs>
          <w:tab w:val="left" w:pos="5103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</w:p>
    <w:p w:rsidR="00734289" w:rsidRPr="00C10F60" w:rsidRDefault="00734289" w:rsidP="00C10F60">
      <w:pPr>
        <w:keepNext/>
        <w:widowControl w:val="0"/>
        <w:pBdr>
          <w:bottom w:val="single" w:sz="4" w:space="1" w:color="000000"/>
        </w:pBdr>
        <w:tabs>
          <w:tab w:val="left" w:pos="5103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widowControl w:val="0"/>
        <w:pBdr>
          <w:bottom w:val="single" w:sz="4" w:space="1" w:color="000000"/>
        </w:pBdr>
        <w:tabs>
          <w:tab w:val="left" w:pos="567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  <w:t>....................................……....</w:t>
      </w:r>
    </w:p>
    <w:p w:rsidR="00C10F60" w:rsidRPr="00C10F60" w:rsidRDefault="00C10F60" w:rsidP="00C10F60">
      <w:pPr>
        <w:keepNext/>
        <w:widowControl w:val="0"/>
        <w:pBdr>
          <w:bottom w:val="single" w:sz="4" w:space="1" w:color="000000"/>
        </w:pBdr>
        <w:tabs>
          <w:tab w:val="left" w:pos="567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</w:r>
      <w:r w:rsidR="00230B74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xxxxxxxxxxxxxxxxxxxxxxxxx</w:t>
      </w:r>
    </w:p>
    <w:p w:rsidR="00C10F60" w:rsidRPr="00C10F60" w:rsidRDefault="00C10F60" w:rsidP="00C10F60">
      <w:pPr>
        <w:keepNext/>
        <w:widowControl w:val="0"/>
        <w:pBdr>
          <w:bottom w:val="single" w:sz="4" w:space="1" w:color="000000"/>
        </w:pBdr>
        <w:tabs>
          <w:tab w:val="left" w:pos="567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</w:pPr>
      <w:r w:rsidRPr="00C10F60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ab/>
        <w:t>Technik majetkoprávní podpory</w:t>
      </w:r>
    </w:p>
    <w:p w:rsidR="00C10F60" w:rsidRPr="00C10F60" w:rsidRDefault="00C10F60" w:rsidP="00C10F60">
      <w:pPr>
        <w:keepNext/>
        <w:widowControl w:val="0"/>
        <w:suppressAutoHyphens/>
        <w:spacing w:before="240" w:after="120" w:line="240" w:lineRule="auto"/>
        <w:rPr>
          <w:rFonts w:ascii="Arial" w:eastAsia="Lucida Sans Unicode" w:hAnsi="Arial" w:cs="Arial"/>
          <w:b/>
          <w:i/>
          <w:iCs/>
          <w:kern w:val="1"/>
          <w:sz w:val="20"/>
          <w:szCs w:val="20"/>
          <w:lang w:eastAsia="ar-SA"/>
        </w:rPr>
      </w:pPr>
      <w:r w:rsidRPr="00C10F60">
        <w:rPr>
          <w:rFonts w:ascii="Arial" w:eastAsia="Lucida Sans Unicode" w:hAnsi="Arial" w:cs="Arial"/>
          <w:b/>
          <w:i/>
          <w:iCs/>
          <w:kern w:val="1"/>
          <w:sz w:val="20"/>
          <w:szCs w:val="20"/>
          <w:lang w:eastAsia="ar-SA"/>
        </w:rPr>
        <w:t>Doložka</w:t>
      </w:r>
    </w:p>
    <w:p w:rsidR="00C10F60" w:rsidRPr="00C10F60" w:rsidRDefault="00C10F60" w:rsidP="00C10F60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  <w:r w:rsidRPr="00C10F60"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  <w:t>Tento právní úkon statutárního města Mladá Boleslav byl v souladu s ustanoveními § 85 písm. a) zákona o obcích schválen usnesením Zastupitelstva města č. … ze dne …... Záměr převodu nemovitostí dle této smlouvy z majetku města byl vyvěšen na úřední desce Magistrátu ve dnech……</w:t>
      </w:r>
    </w:p>
    <w:p w:rsidR="00C10F60" w:rsidRPr="00C10F60" w:rsidRDefault="00C10F60" w:rsidP="00C10F60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  <w:r w:rsidRPr="00C10F60"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  <w:t>V Mladé Boleslavi dne</w:t>
      </w:r>
    </w:p>
    <w:p w:rsidR="00C10F60" w:rsidRPr="00C10F60" w:rsidRDefault="00C10F60" w:rsidP="00C10F60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</w:p>
    <w:p w:rsidR="00C10F60" w:rsidRPr="00C10F60" w:rsidRDefault="00C10F60" w:rsidP="00C10F60">
      <w:pPr>
        <w:keepNext/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  <w:r w:rsidRPr="00C10F60"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  <w:t>……………………………</w:t>
      </w:r>
    </w:p>
    <w:p w:rsidR="00C10F60" w:rsidRPr="00C10F60" w:rsidRDefault="00230B74" w:rsidP="00C10F60">
      <w:pPr>
        <w:keepNext/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  <w:r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  <w:t>xxxxxxxxxxxxxxxxxxxxxx</w:t>
      </w:r>
    </w:p>
    <w:p w:rsidR="00C10F60" w:rsidRPr="00C10F60" w:rsidRDefault="00C10F60" w:rsidP="00C10F60">
      <w:pPr>
        <w:keepNext/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  <w:r w:rsidRPr="00C10F60"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  <w:t>Vedoucí odboru správy majetku města</w:t>
      </w:r>
    </w:p>
    <w:p w:rsidR="00C10F60" w:rsidRPr="00C10F60" w:rsidRDefault="00C10F60" w:rsidP="00C10F60">
      <w:pPr>
        <w:keepNext/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</w:pPr>
      <w:r w:rsidRPr="00C10F60">
        <w:rPr>
          <w:rFonts w:ascii="Arial" w:eastAsia="Lucida Sans Unicode" w:hAnsi="Arial" w:cs="Arial"/>
          <w:iCs/>
          <w:kern w:val="1"/>
          <w:sz w:val="20"/>
          <w:szCs w:val="20"/>
          <w:lang w:eastAsia="ar-SA"/>
        </w:rPr>
        <w:t>Magistrátu města Mladá Boleslav</w:t>
      </w:r>
    </w:p>
    <w:p w:rsidR="00ED4DFA" w:rsidRDefault="00ED4DFA"/>
    <w:sectPr w:rsidR="00ED4DFA" w:rsidSect="001820D3">
      <w:headerReference w:type="default" r:id="rId8"/>
      <w:footerReference w:type="default" r:id="rId9"/>
      <w:pgSz w:w="11905" w:h="16837"/>
      <w:pgMar w:top="1304" w:right="1304" w:bottom="1021" w:left="1276" w:header="708" w:footer="590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95" w:rsidRDefault="009F5A95">
      <w:pPr>
        <w:spacing w:after="0" w:line="240" w:lineRule="auto"/>
      </w:pPr>
      <w:r>
        <w:separator/>
      </w:r>
    </w:p>
  </w:endnote>
  <w:endnote w:type="continuationSeparator" w:id="0">
    <w:p w:rsidR="009F5A95" w:rsidRDefault="009F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0BF" w:rsidRPr="00E130BF" w:rsidRDefault="00734289" w:rsidP="004A1FA9">
    <w:pPr>
      <w:pStyle w:val="Zpat"/>
      <w:tabs>
        <w:tab w:val="clear" w:pos="4536"/>
        <w:tab w:val="clear" w:pos="9072"/>
        <w:tab w:val="right" w:pos="9214"/>
      </w:tabs>
      <w:ind w:right="27"/>
      <w:rPr>
        <w:rFonts w:ascii="Arial" w:hAnsi="Arial" w:cs="Arial"/>
        <w:sz w:val="16"/>
        <w:szCs w:val="16"/>
        <w:lang w:eastAsia="cs-CZ"/>
      </w:rPr>
    </w:pPr>
    <w:r w:rsidRPr="00E130BF">
      <w:rPr>
        <w:rFonts w:ascii="Arial" w:hAnsi="Arial" w:cs="Arial"/>
        <w:sz w:val="16"/>
        <w:szCs w:val="16"/>
      </w:rPr>
      <w:tab/>
    </w:r>
    <w:r w:rsidRPr="00E130BF">
      <w:rPr>
        <w:rFonts w:ascii="Arial" w:hAnsi="Arial" w:cs="Arial"/>
        <w:sz w:val="16"/>
        <w:szCs w:val="16"/>
      </w:rPr>
      <w:fldChar w:fldCharType="begin"/>
    </w:r>
    <w:r w:rsidRPr="00E130BF">
      <w:rPr>
        <w:rFonts w:ascii="Arial" w:hAnsi="Arial" w:cs="Arial"/>
        <w:sz w:val="16"/>
        <w:szCs w:val="16"/>
      </w:rPr>
      <w:instrText>PAGE   \* MERGEFORMAT</w:instrText>
    </w:r>
    <w:r w:rsidRPr="00E130BF">
      <w:rPr>
        <w:rFonts w:ascii="Arial" w:hAnsi="Arial" w:cs="Arial"/>
        <w:sz w:val="16"/>
        <w:szCs w:val="16"/>
      </w:rPr>
      <w:fldChar w:fldCharType="separate"/>
    </w:r>
    <w:r w:rsidR="003417CA">
      <w:rPr>
        <w:rFonts w:ascii="Arial" w:hAnsi="Arial" w:cs="Arial"/>
        <w:noProof/>
        <w:sz w:val="16"/>
        <w:szCs w:val="16"/>
      </w:rPr>
      <w:t>1</w:t>
    </w:r>
    <w:r w:rsidRPr="00E130BF">
      <w:rPr>
        <w:rFonts w:ascii="Arial" w:hAnsi="Arial" w:cs="Arial"/>
        <w:sz w:val="16"/>
        <w:szCs w:val="16"/>
      </w:rPr>
      <w:fldChar w:fldCharType="end"/>
    </w:r>
    <w:r w:rsidRPr="00E130BF">
      <w:rPr>
        <w:rFonts w:ascii="Arial" w:hAnsi="Arial" w:cs="Arial"/>
        <w:sz w:val="16"/>
        <w:szCs w:val="16"/>
      </w:rPr>
      <w:t>/</w:t>
    </w:r>
    <w:r w:rsidRPr="00E130BF">
      <w:rPr>
        <w:rFonts w:ascii="Arial" w:hAnsi="Arial" w:cs="Arial"/>
        <w:sz w:val="16"/>
        <w:szCs w:val="16"/>
      </w:rPr>
      <w:fldChar w:fldCharType="begin"/>
    </w:r>
    <w:r w:rsidRPr="00E130BF">
      <w:rPr>
        <w:rFonts w:ascii="Arial" w:hAnsi="Arial" w:cs="Arial"/>
        <w:sz w:val="16"/>
        <w:szCs w:val="16"/>
      </w:rPr>
      <w:instrText xml:space="preserve"> NUMPAGES   \* MERGEFORMAT </w:instrText>
    </w:r>
    <w:r w:rsidRPr="00E130BF">
      <w:rPr>
        <w:rFonts w:ascii="Arial" w:hAnsi="Arial" w:cs="Arial"/>
        <w:sz w:val="16"/>
        <w:szCs w:val="16"/>
      </w:rPr>
      <w:fldChar w:fldCharType="separate"/>
    </w:r>
    <w:r w:rsidR="003417CA">
      <w:rPr>
        <w:rFonts w:ascii="Arial" w:hAnsi="Arial" w:cs="Arial"/>
        <w:noProof/>
        <w:sz w:val="16"/>
        <w:szCs w:val="16"/>
      </w:rPr>
      <w:t>3</w:t>
    </w:r>
    <w:r w:rsidRPr="00E130B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95" w:rsidRDefault="009F5A95">
      <w:pPr>
        <w:spacing w:after="0" w:line="240" w:lineRule="auto"/>
      </w:pPr>
      <w:r>
        <w:separator/>
      </w:r>
    </w:p>
  </w:footnote>
  <w:footnote w:type="continuationSeparator" w:id="0">
    <w:p w:rsidR="009F5A95" w:rsidRDefault="009F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E6F" w:rsidRDefault="009F5A95">
    <w:pPr>
      <w:pStyle w:val="Zhlav"/>
    </w:pPr>
  </w:p>
  <w:p w:rsidR="00B45538" w:rsidRPr="00A21C96" w:rsidRDefault="009F5A95" w:rsidP="00CF44F7">
    <w:pPr>
      <w:pStyle w:val="Zhlav"/>
      <w:tabs>
        <w:tab w:val="left" w:pos="5529"/>
      </w:tabs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5B7C"/>
    <w:multiLevelType w:val="hybridMultilevel"/>
    <w:tmpl w:val="C4964466"/>
    <w:lvl w:ilvl="0" w:tplc="611A9FBA">
      <w:start w:val="3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05055"/>
    <w:multiLevelType w:val="hybridMultilevel"/>
    <w:tmpl w:val="31E6A87A"/>
    <w:lvl w:ilvl="0" w:tplc="341A25C6">
      <w:start w:val="1"/>
      <w:numFmt w:val="decimal"/>
      <w:lvlText w:val="%1."/>
      <w:lvlJc w:val="left"/>
      <w:pPr>
        <w:ind w:left="270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428" w:hanging="360"/>
      </w:pPr>
    </w:lvl>
    <w:lvl w:ilvl="2" w:tplc="0405001B" w:tentative="1">
      <w:start w:val="1"/>
      <w:numFmt w:val="lowerRoman"/>
      <w:lvlText w:val="%3."/>
      <w:lvlJc w:val="right"/>
      <w:pPr>
        <w:ind w:left="4148" w:hanging="180"/>
      </w:pPr>
    </w:lvl>
    <w:lvl w:ilvl="3" w:tplc="0405000F" w:tentative="1">
      <w:start w:val="1"/>
      <w:numFmt w:val="decimal"/>
      <w:lvlText w:val="%4."/>
      <w:lvlJc w:val="left"/>
      <w:pPr>
        <w:ind w:left="4868" w:hanging="360"/>
      </w:pPr>
    </w:lvl>
    <w:lvl w:ilvl="4" w:tplc="04050019" w:tentative="1">
      <w:start w:val="1"/>
      <w:numFmt w:val="lowerLetter"/>
      <w:lvlText w:val="%5."/>
      <w:lvlJc w:val="left"/>
      <w:pPr>
        <w:ind w:left="5588" w:hanging="360"/>
      </w:pPr>
    </w:lvl>
    <w:lvl w:ilvl="5" w:tplc="0405001B" w:tentative="1">
      <w:start w:val="1"/>
      <w:numFmt w:val="lowerRoman"/>
      <w:lvlText w:val="%6."/>
      <w:lvlJc w:val="right"/>
      <w:pPr>
        <w:ind w:left="6308" w:hanging="180"/>
      </w:pPr>
    </w:lvl>
    <w:lvl w:ilvl="6" w:tplc="0405000F" w:tentative="1">
      <w:start w:val="1"/>
      <w:numFmt w:val="decimal"/>
      <w:lvlText w:val="%7."/>
      <w:lvlJc w:val="left"/>
      <w:pPr>
        <w:ind w:left="7028" w:hanging="360"/>
      </w:pPr>
    </w:lvl>
    <w:lvl w:ilvl="7" w:tplc="04050019" w:tentative="1">
      <w:start w:val="1"/>
      <w:numFmt w:val="lowerLetter"/>
      <w:lvlText w:val="%8."/>
      <w:lvlJc w:val="left"/>
      <w:pPr>
        <w:ind w:left="7748" w:hanging="360"/>
      </w:pPr>
    </w:lvl>
    <w:lvl w:ilvl="8" w:tplc="040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">
    <w:nsid w:val="345D13C7"/>
    <w:multiLevelType w:val="hybridMultilevel"/>
    <w:tmpl w:val="00FC16BE"/>
    <w:lvl w:ilvl="0" w:tplc="0FDA8AF2">
      <w:start w:val="4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FD1FD6"/>
    <w:multiLevelType w:val="hybridMultilevel"/>
    <w:tmpl w:val="AB94D126"/>
    <w:lvl w:ilvl="0" w:tplc="341A25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1663B"/>
    <w:multiLevelType w:val="hybridMultilevel"/>
    <w:tmpl w:val="514C3C32"/>
    <w:lvl w:ilvl="0" w:tplc="1BDE8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D66D0"/>
    <w:multiLevelType w:val="hybridMultilevel"/>
    <w:tmpl w:val="60BEB0B4"/>
    <w:lvl w:ilvl="0" w:tplc="2B50268E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60"/>
    <w:rsid w:val="00230B74"/>
    <w:rsid w:val="003417CA"/>
    <w:rsid w:val="00587E60"/>
    <w:rsid w:val="00734289"/>
    <w:rsid w:val="008916E5"/>
    <w:rsid w:val="009F5A95"/>
    <w:rsid w:val="00C10F60"/>
    <w:rsid w:val="00E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1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0F60"/>
  </w:style>
  <w:style w:type="paragraph" w:styleId="Zpat">
    <w:name w:val="footer"/>
    <w:basedOn w:val="Normln"/>
    <w:link w:val="ZpatChar"/>
    <w:uiPriority w:val="99"/>
    <w:semiHidden/>
    <w:unhideWhenUsed/>
    <w:rsid w:val="00C1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0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1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0F60"/>
  </w:style>
  <w:style w:type="paragraph" w:styleId="Zpat">
    <w:name w:val="footer"/>
    <w:basedOn w:val="Normln"/>
    <w:link w:val="ZpatChar"/>
    <w:uiPriority w:val="99"/>
    <w:semiHidden/>
    <w:unhideWhenUsed/>
    <w:rsid w:val="00C1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Hellerová Martina</dc:creator>
  <cp:lastModifiedBy>Kubričanová Zora</cp:lastModifiedBy>
  <cp:revision>2</cp:revision>
  <dcterms:created xsi:type="dcterms:W3CDTF">2018-02-28T12:50:00Z</dcterms:created>
  <dcterms:modified xsi:type="dcterms:W3CDTF">2018-02-28T12:50:00Z</dcterms:modified>
</cp:coreProperties>
</file>