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A6" w:rsidRPr="00F87B72" w:rsidRDefault="00B644A6" w:rsidP="00B644A6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03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</w:p>
    <w:p w:rsidR="00B644A6" w:rsidRDefault="00B644A6" w:rsidP="00B644A6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B644A6" w:rsidRDefault="00B644A6" w:rsidP="00B644A6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B644A6" w:rsidRPr="00721B2A" w:rsidRDefault="00B644A6" w:rsidP="00B644A6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 w:rsidRPr="008B108B">
        <w:rPr>
          <w:rFonts w:ascii="Calibri" w:hAnsi="Calibri" w:cs="Tahoma"/>
          <w:sz w:val="20"/>
          <w:szCs w:val="20"/>
          <w:highlight w:val="black"/>
        </w:rPr>
        <w:t>Ing. Josefem Viktorou</w:t>
      </w:r>
    </w:p>
    <w:p w:rsidR="00B644A6" w:rsidRPr="00721B2A" w:rsidRDefault="00B644A6" w:rsidP="00B644A6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B644A6" w:rsidRPr="00721B2A" w:rsidRDefault="00B644A6" w:rsidP="00B644A6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B644A6" w:rsidRPr="00721B2A" w:rsidRDefault="00B644A6" w:rsidP="00B644A6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B644A6" w:rsidRDefault="00B644A6" w:rsidP="00B644A6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B644A6" w:rsidRPr="00721B2A" w:rsidRDefault="00B644A6" w:rsidP="00B644A6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B644A6" w:rsidRDefault="00B644A6" w:rsidP="00B644A6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Společnost Modrý </w:t>
      </w:r>
      <w:proofErr w:type="gramStart"/>
      <w:r>
        <w:rPr>
          <w:rFonts w:ascii="Calibri" w:hAnsi="Calibri" w:cs="Tahoma"/>
          <w:sz w:val="20"/>
          <w:szCs w:val="20"/>
        </w:rPr>
        <w:t xml:space="preserve">svět </w:t>
      </w:r>
      <w:proofErr w:type="spellStart"/>
      <w:r>
        <w:rPr>
          <w:rFonts w:ascii="Calibri" w:hAnsi="Calibri" w:cs="Tahoma"/>
          <w:sz w:val="20"/>
          <w:szCs w:val="20"/>
        </w:rPr>
        <w:t>z.s</w:t>
      </w:r>
      <w:proofErr w:type="spellEnd"/>
      <w:r>
        <w:rPr>
          <w:rFonts w:ascii="Calibri" w:hAnsi="Calibri" w:cs="Tahoma"/>
          <w:sz w:val="20"/>
          <w:szCs w:val="20"/>
        </w:rPr>
        <w:t>.</w:t>
      </w:r>
      <w:proofErr w:type="gramEnd"/>
      <w:r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>
        <w:rPr>
          <w:rFonts w:ascii="Calibri" w:hAnsi="Calibri" w:cs="Tahoma"/>
          <w:b w:val="0"/>
          <w:sz w:val="20"/>
          <w:szCs w:val="20"/>
        </w:rPr>
        <w:tab/>
        <w:t xml:space="preserve">zastoupený </w:t>
      </w:r>
      <w:r w:rsidRPr="008B108B">
        <w:rPr>
          <w:rFonts w:ascii="Calibri" w:hAnsi="Calibri" w:cs="Tahoma"/>
          <w:b w:val="0"/>
          <w:sz w:val="20"/>
          <w:szCs w:val="20"/>
          <w:highlight w:val="black"/>
        </w:rPr>
        <w:t>Václavem Veselým</w:t>
      </w:r>
    </w:p>
    <w:p w:rsidR="00B644A6" w:rsidRDefault="00B644A6" w:rsidP="00B644A6">
      <w:pPr>
        <w:pStyle w:val="Nadpis1"/>
        <w:ind w:left="3969" w:hanging="3969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proofErr w:type="spellStart"/>
      <w:r>
        <w:rPr>
          <w:rFonts w:ascii="Calibri" w:hAnsi="Calibri" w:cs="Tahoma"/>
          <w:b w:val="0"/>
          <w:sz w:val="20"/>
          <w:szCs w:val="20"/>
        </w:rPr>
        <w:t>Kaňk</w:t>
      </w:r>
      <w:proofErr w:type="spellEnd"/>
      <w:r>
        <w:rPr>
          <w:rFonts w:ascii="Calibri" w:hAnsi="Calibri" w:cs="Tahoma"/>
          <w:b w:val="0"/>
          <w:sz w:val="20"/>
          <w:szCs w:val="20"/>
        </w:rPr>
        <w:t xml:space="preserve"> 149, 284 04 Kutná Hora</w:t>
      </w:r>
    </w:p>
    <w:p w:rsidR="00B644A6" w:rsidRPr="00C0125F" w:rsidRDefault="00B644A6" w:rsidP="00B644A6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/>
          <w:b w:val="0"/>
          <w:sz w:val="20"/>
          <w:szCs w:val="20"/>
        </w:rPr>
        <w:t>49545507</w:t>
      </w:r>
    </w:p>
    <w:p w:rsidR="00B644A6" w:rsidRPr="00C0125F" w:rsidRDefault="00B644A6" w:rsidP="00B644A6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>
        <w:rPr>
          <w:rFonts w:ascii="Calibri" w:hAnsi="Calibri" w:cs="Tahoma"/>
          <w:b w:val="0"/>
          <w:sz w:val="20"/>
          <w:szCs w:val="20"/>
        </w:rPr>
        <w:t>172782993/0600</w:t>
      </w:r>
    </w:p>
    <w:p w:rsidR="00B644A6" w:rsidRPr="00C0125F" w:rsidRDefault="00B644A6" w:rsidP="00B644A6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B644A6" w:rsidRPr="00C0125F" w:rsidRDefault="00B644A6" w:rsidP="00B644A6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B644A6" w:rsidRDefault="00B644A6" w:rsidP="00B644A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644A6" w:rsidRDefault="00B644A6" w:rsidP="00B644A6">
      <w:pPr>
        <w:autoSpaceDE w:val="0"/>
        <w:autoSpaceDN w:val="0"/>
        <w:adjustRightInd w:val="0"/>
        <w:rPr>
          <w:rFonts w:ascii="Verdana" w:hAnsi="Verdana"/>
          <w:b/>
        </w:rPr>
      </w:pPr>
    </w:p>
    <w:p w:rsidR="00B644A6" w:rsidRPr="0069726C" w:rsidRDefault="00B644A6" w:rsidP="00B644A6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B644A6" w:rsidRPr="0069726C" w:rsidRDefault="00B644A6" w:rsidP="00B644A6">
      <w:pPr>
        <w:pStyle w:val="Zkladntext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 xml:space="preserve">19. </w:t>
      </w:r>
      <w:proofErr w:type="spellStart"/>
      <w:r>
        <w:rPr>
          <w:rFonts w:ascii="Calibri" w:hAnsi="Calibri" w:cs="Calibri"/>
          <w:b/>
          <w:sz w:val="20"/>
          <w:szCs w:val="20"/>
        </w:rPr>
        <w:t>Tyjátrfest</w:t>
      </w:r>
      <w:proofErr w:type="spellEnd"/>
      <w:r w:rsidRPr="0069726C">
        <w:rPr>
          <w:rFonts w:ascii="Calibri" w:hAnsi="Calibri" w:cs="Calibri"/>
          <w:b/>
          <w:bCs/>
          <w:sz w:val="20"/>
          <w:szCs w:val="20"/>
        </w:rPr>
        <w:t xml:space="preserve">“,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8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=83 000,- Kč</w:t>
      </w:r>
      <w:r>
        <w:rPr>
          <w:rFonts w:ascii="Calibri" w:hAnsi="Calibri" w:cs="Calibri"/>
          <w:sz w:val="20"/>
          <w:szCs w:val="20"/>
        </w:rPr>
        <w:t xml:space="preserve">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osmdesátrřitisíckorunčeských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03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18. 10. 2017.</w:t>
      </w: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2018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B644A6" w:rsidRPr="0069726C" w:rsidRDefault="00B644A6" w:rsidP="00B644A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B644A6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644A6" w:rsidRDefault="00B644A6" w:rsidP="00B644A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644A6" w:rsidRPr="00EC53DF" w:rsidRDefault="00B644A6" w:rsidP="00B644A6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B644A6" w:rsidRPr="00EC53DF" w:rsidRDefault="00B644A6" w:rsidP="00B644A6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B644A6" w:rsidRPr="00EC53DF" w:rsidRDefault="00B644A6" w:rsidP="00B644A6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B644A6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644A6" w:rsidRPr="007452F6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B644A6" w:rsidRPr="0069726C" w:rsidRDefault="00B644A6" w:rsidP="00B644A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B644A6" w:rsidRPr="0069726C" w:rsidRDefault="00B644A6" w:rsidP="00B644A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B644A6" w:rsidRPr="0069726C" w:rsidRDefault="00B644A6" w:rsidP="00B644A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B644A6" w:rsidRPr="0069726C" w:rsidRDefault="00B644A6" w:rsidP="00B644A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8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8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B644A6" w:rsidRPr="0069726C" w:rsidRDefault="00B644A6" w:rsidP="00B644A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B644A6" w:rsidRPr="0069726C" w:rsidRDefault="00B644A6" w:rsidP="00B644A6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B644A6" w:rsidRPr="0069726C" w:rsidRDefault="00B644A6" w:rsidP="00B644A6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B644A6" w:rsidRPr="0069726C" w:rsidRDefault="00B644A6" w:rsidP="00B644A6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B644A6" w:rsidRPr="0069726C" w:rsidRDefault="00B644A6" w:rsidP="00B644A6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B644A6" w:rsidRPr="0069726C" w:rsidRDefault="00B644A6" w:rsidP="00B644A6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B644A6" w:rsidRPr="0069726C" w:rsidRDefault="00B644A6" w:rsidP="00B644A6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B644A6" w:rsidRPr="0069726C" w:rsidRDefault="00B644A6" w:rsidP="00B644A6">
      <w:pPr>
        <w:pStyle w:val="Odstavecseseznamem"/>
        <w:jc w:val="both"/>
        <w:rPr>
          <w:rFonts w:ascii="Calibri" w:hAnsi="Calibri" w:cs="Calibri"/>
        </w:rPr>
      </w:pPr>
    </w:p>
    <w:p w:rsidR="00B644A6" w:rsidRPr="0069726C" w:rsidRDefault="00B644A6" w:rsidP="00B644A6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B644A6" w:rsidRPr="0069726C" w:rsidRDefault="00B644A6" w:rsidP="00B644A6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lastRenderedPageBreak/>
        <w:t>Náklady uvedené pod písmenem e) nesmí přesáhnout 10 % uznatelných nákladů projektu.</w:t>
      </w:r>
    </w:p>
    <w:p w:rsidR="00B644A6" w:rsidRDefault="00B644A6" w:rsidP="00B644A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B644A6" w:rsidRDefault="00B644A6" w:rsidP="00B644A6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B644A6" w:rsidRDefault="00B644A6" w:rsidP="00B644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B644A6" w:rsidRDefault="00B644A6" w:rsidP="00B644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B644A6" w:rsidRDefault="00B644A6" w:rsidP="00B644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B644A6" w:rsidRPr="000403DF" w:rsidRDefault="00B644A6" w:rsidP="00B644A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B644A6" w:rsidRPr="0069726C" w:rsidRDefault="00B644A6" w:rsidP="00B644A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27/18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30. 1. 2018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>19. 2. 2018</w:t>
      </w: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ab/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.........................................................                    </w:t>
      </w:r>
    </w:p>
    <w:p w:rsidR="00B644A6" w:rsidRDefault="00B644A6" w:rsidP="00B644A6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</w:t>
      </w:r>
      <w:r w:rsidRPr="008B108B">
        <w:rPr>
          <w:rFonts w:ascii="Calibri" w:hAnsi="Calibri" w:cs="Calibri"/>
          <w:color w:val="000000"/>
          <w:sz w:val="20"/>
          <w:szCs w:val="20"/>
          <w:highlight w:val="black"/>
        </w:rPr>
        <w:t>Václav Veselý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 </w:t>
      </w:r>
      <w:r w:rsidRPr="008B108B">
        <w:rPr>
          <w:rFonts w:ascii="Calibri" w:hAnsi="Calibri" w:cs="Calibri"/>
          <w:sz w:val="20"/>
          <w:szCs w:val="20"/>
          <w:highlight w:val="black"/>
        </w:rPr>
        <w:t>Ing. Josef Viktora (starosta)</w:t>
      </w:r>
    </w:p>
    <w:p w:rsidR="00B644A6" w:rsidRPr="0069726C" w:rsidRDefault="00B644A6" w:rsidP="00B644A6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statutární zástupce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B644A6" w:rsidRDefault="00B644A6" w:rsidP="00B644A6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8B108B">
        <w:rPr>
          <w:rFonts w:ascii="Calibri" w:hAnsi="Calibri" w:cs="Calibri"/>
          <w:sz w:val="20"/>
          <w:szCs w:val="20"/>
          <w:highlight w:val="black"/>
        </w:rPr>
        <w:t>Mgr. Zahradníčková</w:t>
      </w:r>
      <w:bookmarkStart w:id="0" w:name="_GoBack"/>
      <w:bookmarkEnd w:id="0"/>
      <w:r w:rsidRPr="00A93DD4">
        <w:rPr>
          <w:rFonts w:ascii="Calibri" w:hAnsi="Calibri" w:cs="Calibri"/>
          <w:sz w:val="20"/>
          <w:szCs w:val="20"/>
        </w:rPr>
        <w:t xml:space="preserve">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B644A6" w:rsidRPr="00B644A6" w:rsidRDefault="00B644A6" w:rsidP="00B644A6">
      <w:pPr>
        <w:rPr>
          <w:rFonts w:ascii="Calibri" w:hAnsi="Calibri" w:cs="Calibri"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B644A6" w:rsidRPr="0069726C" w:rsidRDefault="00B644A6" w:rsidP="00B644A6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03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8</w:t>
      </w:r>
      <w:r w:rsidRPr="00781D1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V</w:t>
      </w:r>
      <w:r w:rsidRPr="00781D15">
        <w:rPr>
          <w:rFonts w:ascii="Calibri" w:hAnsi="Calibri" w:cs="Calibri"/>
          <w:sz w:val="20"/>
          <w:szCs w:val="20"/>
        </w:rPr>
        <w:t>/KUL</w:t>
      </w:r>
    </w:p>
    <w:p w:rsidR="00B644A6" w:rsidRPr="0069726C" w:rsidRDefault="00B644A6" w:rsidP="00B644A6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B644A6" w:rsidRPr="00721B2A" w:rsidTr="00EA6CBD">
        <w:tc>
          <w:tcPr>
            <w:tcW w:w="6804" w:type="dxa"/>
            <w:shd w:val="clear" w:color="auto" w:fill="D9D9D9"/>
          </w:tcPr>
          <w:p w:rsidR="00B644A6" w:rsidRPr="000A4135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B644A6" w:rsidRPr="000A4135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B644A6" w:rsidRPr="00721B2A" w:rsidTr="00EA6CBD">
        <w:tc>
          <w:tcPr>
            <w:tcW w:w="6804" w:type="dxa"/>
          </w:tcPr>
          <w:p w:rsidR="00B644A6" w:rsidRPr="00721B2A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B644A6" w:rsidRPr="00721B2A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300</w:t>
            </w:r>
          </w:p>
        </w:tc>
      </w:tr>
      <w:tr w:rsidR="00B644A6" w:rsidRPr="00721B2A" w:rsidTr="00EA6CBD">
        <w:tc>
          <w:tcPr>
            <w:tcW w:w="6804" w:type="dxa"/>
          </w:tcPr>
          <w:p w:rsidR="00B644A6" w:rsidRPr="00721B2A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B644A6" w:rsidRPr="00721B2A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40</w:t>
            </w:r>
          </w:p>
        </w:tc>
      </w:tr>
      <w:tr w:rsidR="00B644A6" w:rsidTr="00EA6CBD">
        <w:tc>
          <w:tcPr>
            <w:tcW w:w="6804" w:type="dxa"/>
          </w:tcPr>
          <w:p w:rsidR="00B644A6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B644A6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  <w:tr w:rsidR="00B644A6" w:rsidTr="00EA6CBD">
        <w:tc>
          <w:tcPr>
            <w:tcW w:w="6804" w:type="dxa"/>
          </w:tcPr>
          <w:p w:rsidR="00B644A6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</w:t>
            </w:r>
            <w:r w:rsidRPr="00AD5504">
              <w:rPr>
                <w:rFonts w:ascii="Calibri" w:hAnsi="Calibri" w:cs="Tahoma"/>
                <w:sz w:val="20"/>
                <w:szCs w:val="20"/>
              </w:rPr>
              <w:t>www.kutnahora.cz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B644A6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  <w:tr w:rsidR="00B644A6" w:rsidTr="00EA6CBD">
        <w:tc>
          <w:tcPr>
            <w:tcW w:w="6804" w:type="dxa"/>
          </w:tcPr>
          <w:p w:rsidR="00B644A6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místních umělců min.</w:t>
            </w:r>
          </w:p>
        </w:tc>
        <w:tc>
          <w:tcPr>
            <w:tcW w:w="1985" w:type="dxa"/>
          </w:tcPr>
          <w:p w:rsidR="00B644A6" w:rsidRDefault="00B644A6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636"/>
    <w:multiLevelType w:val="hybridMultilevel"/>
    <w:tmpl w:val="E38C1244"/>
    <w:lvl w:ilvl="0" w:tplc="8AE2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E0DAF"/>
    <w:multiLevelType w:val="hybridMultilevel"/>
    <w:tmpl w:val="49605B20"/>
    <w:lvl w:ilvl="0" w:tplc="3ECEE85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9023A"/>
    <w:multiLevelType w:val="hybridMultilevel"/>
    <w:tmpl w:val="21FAEADE"/>
    <w:lvl w:ilvl="0" w:tplc="C4602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6"/>
    <w:rsid w:val="00035498"/>
    <w:rsid w:val="00334FA0"/>
    <w:rsid w:val="008B108B"/>
    <w:rsid w:val="00B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4A6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B644A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4A6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644A6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644A6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B644A6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644A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4A6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B644A6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4A6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644A6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644A6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B644A6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644A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Brandejská Jaroslava</cp:lastModifiedBy>
  <cp:revision>3</cp:revision>
  <dcterms:created xsi:type="dcterms:W3CDTF">2018-02-28T07:34:00Z</dcterms:created>
  <dcterms:modified xsi:type="dcterms:W3CDTF">2018-02-28T07:35:00Z</dcterms:modified>
</cp:coreProperties>
</file>